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E17EE3">
      <w:pPr>
        <w:pStyle w:val="6"/>
        <w:rPr>
          <w:rFonts w:hint="default" w:ascii="Times New Roman" w:hAnsi="Times New Roman" w:eastAsia="宋体" w:cs="Times New Roman"/>
          <w:color w:val="000000" w:themeColor="text1"/>
          <w:sz w:val="20"/>
          <w14:textFill>
            <w14:solidFill>
              <w14:schemeClr w14:val="tx1"/>
            </w14:solidFill>
          </w14:textFill>
        </w:rPr>
      </w:pPr>
    </w:p>
    <w:p w14:paraId="59BC08E5">
      <w:pPr>
        <w:pStyle w:val="6"/>
        <w:rPr>
          <w:rFonts w:hint="default" w:ascii="Times New Roman" w:hAnsi="Times New Roman" w:eastAsia="宋体" w:cs="Times New Roman"/>
          <w:color w:val="000000" w:themeColor="text1"/>
          <w:sz w:val="20"/>
          <w14:textFill>
            <w14:solidFill>
              <w14:schemeClr w14:val="tx1"/>
            </w14:solidFill>
          </w14:textFill>
        </w:rPr>
      </w:pPr>
    </w:p>
    <w:p w14:paraId="1687E030">
      <w:pPr>
        <w:pStyle w:val="6"/>
        <w:rPr>
          <w:rFonts w:hint="default" w:ascii="Times New Roman" w:hAnsi="Times New Roman" w:eastAsia="宋体" w:cs="Times New Roman"/>
          <w:color w:val="000000" w:themeColor="text1"/>
          <w:sz w:val="20"/>
          <w14:textFill>
            <w14:solidFill>
              <w14:schemeClr w14:val="tx1"/>
            </w14:solidFill>
          </w14:textFill>
        </w:rPr>
      </w:pPr>
    </w:p>
    <w:p w14:paraId="1DE630D3">
      <w:pPr>
        <w:pStyle w:val="6"/>
        <w:rPr>
          <w:rFonts w:hint="default" w:ascii="Times New Roman" w:hAnsi="Times New Roman" w:eastAsia="宋体" w:cs="Times New Roman"/>
          <w:color w:val="000000" w:themeColor="text1"/>
          <w:sz w:val="20"/>
          <w14:textFill>
            <w14:solidFill>
              <w14:schemeClr w14:val="tx1"/>
            </w14:solidFill>
          </w14:textFill>
        </w:rPr>
      </w:pPr>
    </w:p>
    <w:p w14:paraId="597A832D">
      <w:pPr>
        <w:keepNext w:val="0"/>
        <w:keepLines w:val="0"/>
        <w:pageBreakBefore w:val="0"/>
        <w:widowControl w:val="0"/>
        <w:kinsoku/>
        <w:wordWrap/>
        <w:overflowPunct/>
        <w:topLinePunct w:val="0"/>
        <w:autoSpaceDE w:val="0"/>
        <w:autoSpaceDN w:val="0"/>
        <w:bidi w:val="0"/>
        <w:adjustRightInd/>
        <w:snapToGrid/>
        <w:spacing w:before="0"/>
        <w:ind w:left="0" w:right="0" w:firstLine="0" w:firstLineChars="0"/>
        <w:jc w:val="center"/>
        <w:textAlignment w:val="auto"/>
        <w:rPr>
          <w:rFonts w:hint="default" w:ascii="Times New Roman" w:hAnsi="Times New Roman" w:eastAsia="宋体" w:cs="Times New Roman"/>
          <w:b/>
          <w:color w:val="000000" w:themeColor="text1"/>
          <w:sz w:val="44"/>
          <w:szCs w:val="24"/>
          <w:lang w:eastAsia="zh-CN"/>
          <w14:textFill>
            <w14:solidFill>
              <w14:schemeClr w14:val="tx1"/>
            </w14:solidFill>
          </w14:textFill>
        </w:rPr>
      </w:pPr>
      <w:r>
        <w:rPr>
          <w:rFonts w:hint="default" w:ascii="Times New Roman" w:hAnsi="Times New Roman" w:eastAsia="宋体" w:cs="Times New Roman"/>
          <w:b/>
          <w:color w:val="000000" w:themeColor="text1"/>
          <w:sz w:val="44"/>
          <w:szCs w:val="24"/>
          <w:lang w:eastAsia="zh-CN"/>
          <w14:textFill>
            <w14:solidFill>
              <w14:schemeClr w14:val="tx1"/>
            </w14:solidFill>
          </w14:textFill>
        </w:rPr>
        <w:t>坎山村20MW光伏发电项目</w:t>
      </w:r>
    </w:p>
    <w:p w14:paraId="6ECA87A3">
      <w:pPr>
        <w:keepNext w:val="0"/>
        <w:keepLines w:val="0"/>
        <w:pageBreakBefore w:val="0"/>
        <w:widowControl w:val="0"/>
        <w:kinsoku/>
        <w:wordWrap/>
        <w:overflowPunct/>
        <w:topLinePunct w:val="0"/>
        <w:autoSpaceDE w:val="0"/>
        <w:autoSpaceDN w:val="0"/>
        <w:bidi w:val="0"/>
        <w:adjustRightInd/>
        <w:snapToGrid/>
        <w:spacing w:before="0"/>
        <w:ind w:left="0" w:right="0" w:firstLine="0" w:firstLineChars="0"/>
        <w:jc w:val="center"/>
        <w:textAlignment w:val="auto"/>
        <w:rPr>
          <w:rFonts w:hint="default" w:ascii="Times New Roman" w:hAnsi="Times New Roman" w:eastAsia="宋体" w:cs="Times New Roman"/>
          <w:b/>
          <w:color w:val="000000" w:themeColor="text1"/>
          <w:sz w:val="44"/>
          <w:szCs w:val="24"/>
          <w14:textFill>
            <w14:solidFill>
              <w14:schemeClr w14:val="tx1"/>
            </w14:solidFill>
          </w14:textFill>
        </w:rPr>
      </w:pPr>
      <w:r>
        <w:rPr>
          <w:rFonts w:hint="default" w:ascii="Times New Roman" w:hAnsi="Times New Roman" w:eastAsia="宋体" w:cs="Times New Roman"/>
          <w:b/>
          <w:color w:val="000000" w:themeColor="text1"/>
          <w:sz w:val="44"/>
          <w:szCs w:val="24"/>
          <w14:textFill>
            <w14:solidFill>
              <w14:schemeClr w14:val="tx1"/>
            </w14:solidFill>
          </w14:textFill>
        </w:rPr>
        <w:t>竣工环境保护验收调查报告表</w:t>
      </w:r>
    </w:p>
    <w:p w14:paraId="50944458">
      <w:pPr>
        <w:pStyle w:val="6"/>
        <w:rPr>
          <w:rFonts w:hint="default" w:ascii="Times New Roman" w:hAnsi="Times New Roman" w:eastAsia="宋体" w:cs="Times New Roman"/>
          <w:b/>
          <w:color w:val="000000" w:themeColor="text1"/>
          <w:sz w:val="36"/>
          <w14:textFill>
            <w14:solidFill>
              <w14:schemeClr w14:val="tx1"/>
            </w14:solidFill>
          </w14:textFill>
        </w:rPr>
      </w:pPr>
    </w:p>
    <w:p w14:paraId="0FA0876B">
      <w:pPr>
        <w:pStyle w:val="6"/>
        <w:rPr>
          <w:rFonts w:hint="default" w:ascii="Times New Roman" w:hAnsi="Times New Roman" w:eastAsia="宋体" w:cs="Times New Roman"/>
          <w:b/>
          <w:color w:val="000000" w:themeColor="text1"/>
          <w:sz w:val="36"/>
          <w14:textFill>
            <w14:solidFill>
              <w14:schemeClr w14:val="tx1"/>
            </w14:solidFill>
          </w14:textFill>
        </w:rPr>
      </w:pPr>
    </w:p>
    <w:p w14:paraId="2A664981">
      <w:pPr>
        <w:pStyle w:val="6"/>
        <w:rPr>
          <w:rFonts w:hint="default" w:ascii="Times New Roman" w:hAnsi="Times New Roman" w:eastAsia="宋体" w:cs="Times New Roman"/>
          <w:b/>
          <w:color w:val="000000" w:themeColor="text1"/>
          <w:sz w:val="36"/>
          <w14:textFill>
            <w14:solidFill>
              <w14:schemeClr w14:val="tx1"/>
            </w14:solidFill>
          </w14:textFill>
        </w:rPr>
      </w:pPr>
    </w:p>
    <w:p w14:paraId="4059D3CE">
      <w:pPr>
        <w:pStyle w:val="6"/>
        <w:rPr>
          <w:rFonts w:hint="default" w:ascii="Times New Roman" w:hAnsi="Times New Roman" w:eastAsia="宋体" w:cs="Times New Roman"/>
          <w:b/>
          <w:color w:val="000000" w:themeColor="text1"/>
          <w:sz w:val="36"/>
          <w14:textFill>
            <w14:solidFill>
              <w14:schemeClr w14:val="tx1"/>
            </w14:solidFill>
          </w14:textFill>
        </w:rPr>
      </w:pPr>
    </w:p>
    <w:p w14:paraId="04F4BE5D">
      <w:pPr>
        <w:pStyle w:val="6"/>
        <w:rPr>
          <w:rFonts w:hint="default" w:ascii="Times New Roman" w:hAnsi="Times New Roman" w:eastAsia="宋体" w:cs="Times New Roman"/>
          <w:b/>
          <w:color w:val="000000" w:themeColor="text1"/>
          <w:sz w:val="36"/>
          <w14:textFill>
            <w14:solidFill>
              <w14:schemeClr w14:val="tx1"/>
            </w14:solidFill>
          </w14:textFill>
        </w:rPr>
      </w:pPr>
    </w:p>
    <w:p w14:paraId="3FCE63FB">
      <w:pPr>
        <w:pStyle w:val="6"/>
        <w:rPr>
          <w:rFonts w:hint="default" w:ascii="Times New Roman" w:hAnsi="Times New Roman" w:eastAsia="宋体" w:cs="Times New Roman"/>
          <w:b/>
          <w:color w:val="000000" w:themeColor="text1"/>
          <w:sz w:val="36"/>
          <w14:textFill>
            <w14:solidFill>
              <w14:schemeClr w14:val="tx1"/>
            </w14:solidFill>
          </w14:textFill>
        </w:rPr>
      </w:pPr>
    </w:p>
    <w:p w14:paraId="32A0B8C8">
      <w:pPr>
        <w:keepNext w:val="0"/>
        <w:keepLines w:val="0"/>
        <w:pageBreakBefore w:val="0"/>
        <w:widowControl w:val="0"/>
        <w:kinsoku/>
        <w:wordWrap/>
        <w:overflowPunct/>
        <w:topLinePunct w:val="0"/>
        <w:autoSpaceDE w:val="0"/>
        <w:autoSpaceDN w:val="0"/>
        <w:bidi w:val="0"/>
        <w:adjustRightInd/>
        <w:snapToGrid/>
        <w:spacing w:before="0" w:line="459" w:lineRule="auto"/>
        <w:ind w:left="0" w:right="0" w:firstLine="0" w:firstLineChars="0"/>
        <w:jc w:val="center"/>
        <w:textAlignment w:val="auto"/>
        <w:rPr>
          <w:rFonts w:hint="default" w:ascii="Times New Roman" w:hAnsi="Times New Roman" w:eastAsia="宋体" w:cs="Times New Roman"/>
          <w:b/>
          <w:color w:val="000000" w:themeColor="text1"/>
          <w:w w:val="95"/>
          <w:sz w:val="32"/>
          <w14:textFill>
            <w14:solidFill>
              <w14:schemeClr w14:val="tx1"/>
            </w14:solidFill>
          </w14:textFill>
        </w:rPr>
      </w:pPr>
    </w:p>
    <w:p w14:paraId="418CD855">
      <w:pPr>
        <w:keepNext w:val="0"/>
        <w:keepLines w:val="0"/>
        <w:pageBreakBefore w:val="0"/>
        <w:widowControl w:val="0"/>
        <w:kinsoku/>
        <w:wordWrap/>
        <w:overflowPunct/>
        <w:topLinePunct w:val="0"/>
        <w:autoSpaceDE w:val="0"/>
        <w:autoSpaceDN w:val="0"/>
        <w:bidi w:val="0"/>
        <w:adjustRightInd/>
        <w:snapToGrid/>
        <w:spacing w:before="0" w:line="459" w:lineRule="auto"/>
        <w:ind w:left="0" w:right="0" w:firstLine="0" w:firstLineChars="0"/>
        <w:jc w:val="center"/>
        <w:textAlignment w:val="auto"/>
        <w:rPr>
          <w:rFonts w:hint="default" w:ascii="Times New Roman" w:hAnsi="Times New Roman" w:eastAsia="宋体" w:cs="Times New Roman"/>
          <w:b/>
          <w:color w:val="000000" w:themeColor="text1"/>
          <w:w w:val="95"/>
          <w:sz w:val="32"/>
          <w:lang w:val="en-US" w:eastAsia="zh-CN"/>
          <w14:textFill>
            <w14:solidFill>
              <w14:schemeClr w14:val="tx1"/>
            </w14:solidFill>
          </w14:textFill>
        </w:rPr>
      </w:pPr>
      <w:r>
        <w:rPr>
          <w:rFonts w:hint="default" w:ascii="Times New Roman" w:hAnsi="Times New Roman" w:eastAsia="宋体" w:cs="Times New Roman"/>
          <w:b/>
          <w:color w:val="000000" w:themeColor="text1"/>
          <w:w w:val="95"/>
          <w:sz w:val="32"/>
          <w14:textFill>
            <w14:solidFill>
              <w14:schemeClr w14:val="tx1"/>
            </w14:solidFill>
          </w14:textFill>
        </w:rPr>
        <w:t>建设单位：</w:t>
      </w:r>
      <w:r>
        <w:rPr>
          <w:rFonts w:hint="default" w:ascii="Times New Roman" w:hAnsi="Times New Roman" w:eastAsia="宋体" w:cs="Times New Roman"/>
          <w:b/>
          <w:color w:val="000000" w:themeColor="text1"/>
          <w:w w:val="95"/>
          <w:sz w:val="32"/>
          <w:lang w:eastAsia="zh-CN"/>
          <w14:textFill>
            <w14:solidFill>
              <w14:schemeClr w14:val="tx1"/>
            </w14:solidFill>
          </w14:textFill>
        </w:rPr>
        <w:t>霍邱韩瑞新能源发电有限公司</w:t>
      </w:r>
    </w:p>
    <w:p w14:paraId="14D3DE06">
      <w:pPr>
        <w:pStyle w:val="6"/>
        <w:rPr>
          <w:rFonts w:hint="default" w:ascii="Times New Roman" w:hAnsi="Times New Roman" w:eastAsia="宋体" w:cs="Times New Roman"/>
          <w:b/>
          <w:color w:val="000000" w:themeColor="text1"/>
          <w:sz w:val="32"/>
          <w14:textFill>
            <w14:solidFill>
              <w14:schemeClr w14:val="tx1"/>
            </w14:solidFill>
          </w14:textFill>
        </w:rPr>
      </w:pPr>
    </w:p>
    <w:p w14:paraId="740542E6">
      <w:pPr>
        <w:pStyle w:val="6"/>
        <w:rPr>
          <w:rFonts w:hint="default" w:ascii="Times New Roman" w:hAnsi="Times New Roman" w:eastAsia="宋体" w:cs="Times New Roman"/>
          <w:b/>
          <w:color w:val="000000" w:themeColor="text1"/>
          <w:sz w:val="32"/>
          <w14:textFill>
            <w14:solidFill>
              <w14:schemeClr w14:val="tx1"/>
            </w14:solidFill>
          </w14:textFill>
        </w:rPr>
      </w:pPr>
    </w:p>
    <w:p w14:paraId="61F55674">
      <w:pPr>
        <w:pStyle w:val="6"/>
        <w:rPr>
          <w:rFonts w:hint="default" w:ascii="Times New Roman" w:hAnsi="Times New Roman" w:eastAsia="宋体" w:cs="Times New Roman"/>
          <w:b/>
          <w:color w:val="000000" w:themeColor="text1"/>
          <w:sz w:val="32"/>
          <w14:textFill>
            <w14:solidFill>
              <w14:schemeClr w14:val="tx1"/>
            </w14:solidFill>
          </w14:textFill>
        </w:rPr>
      </w:pPr>
    </w:p>
    <w:p w14:paraId="5EB899D0">
      <w:pPr>
        <w:pStyle w:val="6"/>
        <w:rPr>
          <w:rFonts w:hint="default" w:ascii="Times New Roman" w:hAnsi="Times New Roman" w:eastAsia="宋体" w:cs="Times New Roman"/>
          <w:b/>
          <w:color w:val="000000" w:themeColor="text1"/>
          <w:sz w:val="32"/>
          <w14:textFill>
            <w14:solidFill>
              <w14:schemeClr w14:val="tx1"/>
            </w14:solidFill>
          </w14:textFill>
        </w:rPr>
      </w:pPr>
    </w:p>
    <w:p w14:paraId="0478B64E">
      <w:pPr>
        <w:pStyle w:val="6"/>
        <w:spacing w:before="8"/>
        <w:rPr>
          <w:rFonts w:hint="default" w:ascii="Times New Roman" w:hAnsi="Times New Roman" w:eastAsia="宋体" w:cs="Times New Roman"/>
          <w:b/>
          <w:color w:val="000000" w:themeColor="text1"/>
          <w:sz w:val="30"/>
          <w14:textFill>
            <w14:solidFill>
              <w14:schemeClr w14:val="tx1"/>
            </w14:solidFill>
          </w14:textFill>
        </w:rPr>
      </w:pPr>
    </w:p>
    <w:p w14:paraId="05BE6696">
      <w:pPr>
        <w:spacing w:before="0"/>
        <w:ind w:left="0" w:leftChars="0" w:right="230" w:firstLine="0" w:firstLineChars="0"/>
        <w:jc w:val="center"/>
        <w:rPr>
          <w:rFonts w:hint="default" w:ascii="Times New Roman" w:hAnsi="Times New Roman" w:eastAsia="宋体" w:cs="Times New Roman"/>
          <w:b/>
          <w:bCs/>
          <w:color w:val="000000" w:themeColor="text1"/>
          <w:sz w:val="32"/>
          <w14:textFill>
            <w14:solidFill>
              <w14:schemeClr w14:val="tx1"/>
            </w14:solidFill>
          </w14:textFill>
        </w:rPr>
      </w:pPr>
      <w:r>
        <w:rPr>
          <w:rFonts w:hint="default" w:ascii="Times New Roman" w:hAnsi="Times New Roman" w:eastAsia="宋体" w:cs="Times New Roman"/>
          <w:b/>
          <w:bCs/>
          <w:color w:val="000000" w:themeColor="text1"/>
          <w:sz w:val="32"/>
          <w14:textFill>
            <w14:solidFill>
              <w14:schemeClr w14:val="tx1"/>
            </w14:solidFill>
          </w14:textFill>
        </w:rPr>
        <w:t>编制日期：</w:t>
      </w:r>
      <w:r>
        <w:rPr>
          <w:rFonts w:hint="default" w:ascii="Times New Roman" w:hAnsi="Times New Roman" w:eastAsia="宋体" w:cs="Times New Roman"/>
          <w:b/>
          <w:bCs/>
          <w:color w:val="000000" w:themeColor="text1"/>
          <w:sz w:val="32"/>
          <w:lang w:val="en-US" w:eastAsia="zh-CN"/>
          <w14:textFill>
            <w14:solidFill>
              <w14:schemeClr w14:val="tx1"/>
            </w14:solidFill>
          </w14:textFill>
        </w:rPr>
        <w:t>二O二五</w:t>
      </w:r>
      <w:r>
        <w:rPr>
          <w:rFonts w:hint="default" w:ascii="Times New Roman" w:hAnsi="Times New Roman" w:eastAsia="宋体" w:cs="Times New Roman"/>
          <w:b/>
          <w:bCs/>
          <w:color w:val="000000" w:themeColor="text1"/>
          <w:sz w:val="32"/>
          <w14:textFill>
            <w14:solidFill>
              <w14:schemeClr w14:val="tx1"/>
            </w14:solidFill>
          </w14:textFill>
        </w:rPr>
        <w:t>年</w:t>
      </w:r>
      <w:r>
        <w:rPr>
          <w:rFonts w:hint="default" w:ascii="Times New Roman" w:hAnsi="Times New Roman" w:eastAsia="宋体" w:cs="Times New Roman"/>
          <w:b/>
          <w:bCs/>
          <w:color w:val="000000" w:themeColor="text1"/>
          <w:sz w:val="32"/>
          <w:lang w:val="en-US" w:eastAsia="zh-CN"/>
          <w14:textFill>
            <w14:solidFill>
              <w14:schemeClr w14:val="tx1"/>
            </w14:solidFill>
          </w14:textFill>
        </w:rPr>
        <w:t>四</w:t>
      </w:r>
      <w:r>
        <w:rPr>
          <w:rFonts w:hint="default" w:ascii="Times New Roman" w:hAnsi="Times New Roman" w:eastAsia="宋体" w:cs="Times New Roman"/>
          <w:b/>
          <w:bCs/>
          <w:color w:val="000000" w:themeColor="text1"/>
          <w:sz w:val="32"/>
          <w14:textFill>
            <w14:solidFill>
              <w14:schemeClr w14:val="tx1"/>
            </w14:solidFill>
          </w14:textFill>
        </w:rPr>
        <w:t>月</w:t>
      </w:r>
    </w:p>
    <w:p w14:paraId="1F0E9938">
      <w:pPr>
        <w:spacing w:after="0"/>
        <w:jc w:val="center"/>
        <w:rPr>
          <w:rFonts w:hint="default" w:ascii="Times New Roman" w:hAnsi="Times New Roman" w:eastAsia="宋体" w:cs="Times New Roman"/>
          <w:color w:val="000000" w:themeColor="text1"/>
          <w:sz w:val="32"/>
          <w14:textFill>
            <w14:solidFill>
              <w14:schemeClr w14:val="tx1"/>
            </w14:solidFill>
          </w14:textFill>
        </w:rPr>
        <w:sectPr>
          <w:type w:val="continuous"/>
          <w:pgSz w:w="11910" w:h="16840"/>
          <w:pgMar w:top="1457" w:right="1525" w:bottom="1457" w:left="1525" w:header="720" w:footer="720" w:gutter="0"/>
          <w:pgBorders>
            <w:top w:val="none" w:sz="0" w:space="0"/>
            <w:left w:val="none" w:sz="0" w:space="0"/>
            <w:bottom w:val="none" w:sz="0" w:space="0"/>
            <w:right w:val="none" w:sz="0" w:space="0"/>
          </w:pgBorders>
          <w:pgNumType w:fmt="decimal"/>
          <w:cols w:space="720" w:num="1"/>
        </w:sectPr>
      </w:pPr>
    </w:p>
    <w:p w14:paraId="7A3AD8CC">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14:textFill>
            <w14:solidFill>
              <w14:schemeClr w14:val="tx1"/>
            </w14:solidFill>
          </w14:textFill>
        </w:rPr>
      </w:pPr>
    </w:p>
    <w:p w14:paraId="46D55BE8">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lang w:eastAsia="zh-CN"/>
          <w14:textFill>
            <w14:solidFill>
              <w14:schemeClr w14:val="tx1"/>
            </w14:solidFill>
          </w14:textFill>
        </w:rPr>
      </w:pPr>
      <w:r>
        <w:rPr>
          <w:rFonts w:hint="default" w:ascii="Times New Roman" w:hAnsi="Times New Roman" w:eastAsia="宋体" w:cs="Times New Roman"/>
          <w:b/>
          <w:color w:val="000000" w:themeColor="text1"/>
          <w:sz w:val="28"/>
          <w14:textFill>
            <w14:solidFill>
              <w14:schemeClr w14:val="tx1"/>
            </w14:solidFill>
          </w14:textFill>
        </w:rPr>
        <w:t>建设单位法人</w:t>
      </w:r>
      <w:r>
        <w:rPr>
          <w:rFonts w:hint="default" w:ascii="Times New Roman" w:hAnsi="Times New Roman" w:eastAsia="宋体" w:cs="Times New Roman"/>
          <w:b/>
          <w:color w:val="000000" w:themeColor="text1"/>
          <w:sz w:val="28"/>
          <w:lang w:eastAsia="zh-CN"/>
          <w14:textFill>
            <w14:solidFill>
              <w14:schemeClr w14:val="tx1"/>
            </w14:solidFill>
          </w14:textFill>
        </w:rPr>
        <w:t>代表</w:t>
      </w:r>
      <w:r>
        <w:rPr>
          <w:rFonts w:hint="default" w:ascii="Times New Roman" w:hAnsi="Times New Roman" w:eastAsia="宋体" w:cs="Times New Roman"/>
          <w:b/>
          <w:color w:val="000000" w:themeColor="text1"/>
          <w:sz w:val="28"/>
          <w14:textFill>
            <w14:solidFill>
              <w14:schemeClr w14:val="tx1"/>
            </w14:solidFill>
          </w14:textFill>
        </w:rPr>
        <w:t>：</w:t>
      </w:r>
      <w:r>
        <w:rPr>
          <w:rFonts w:hint="default" w:ascii="Times New Roman" w:hAnsi="Times New Roman" w:eastAsia="宋体" w:cs="Times New Roman"/>
          <w:b/>
          <w:color w:val="000000" w:themeColor="text1"/>
          <w:sz w:val="28"/>
          <w:lang w:val="en-US" w:eastAsia="zh-CN"/>
          <w14:textFill>
            <w14:solidFill>
              <w14:schemeClr w14:val="tx1"/>
            </w14:solidFill>
          </w14:textFill>
        </w:rPr>
        <w:t>罗会武</w:t>
      </w:r>
    </w:p>
    <w:p w14:paraId="5E86A453">
      <w:pPr>
        <w:keepNext w:val="0"/>
        <w:keepLines w:val="0"/>
        <w:pageBreakBefore w:val="0"/>
        <w:widowControl w:val="0"/>
        <w:kinsoku/>
        <w:wordWrap/>
        <w:overflowPunct/>
        <w:topLinePunct w:val="0"/>
        <w:autoSpaceDE w:val="0"/>
        <w:autoSpaceDN w:val="0"/>
        <w:bidi w:val="0"/>
        <w:adjustRightInd/>
        <w:snapToGrid/>
        <w:spacing w:before="0" w:line="520" w:lineRule="auto"/>
        <w:ind w:left="0" w:right="0" w:firstLine="0"/>
        <w:jc w:val="left"/>
        <w:textAlignment w:val="auto"/>
        <w:rPr>
          <w:rFonts w:hint="default" w:ascii="Times New Roman" w:hAnsi="Times New Roman" w:eastAsia="宋体" w:cs="Times New Roman"/>
          <w:b/>
          <w:color w:val="000000" w:themeColor="text1"/>
          <w:sz w:val="28"/>
          <w:lang w:val="en-US" w:eastAsia="zh-CN"/>
          <w14:textFill>
            <w14:solidFill>
              <w14:schemeClr w14:val="tx1"/>
            </w14:solidFill>
          </w14:textFill>
        </w:rPr>
      </w:pPr>
      <w:r>
        <w:rPr>
          <w:rFonts w:hint="default" w:ascii="Times New Roman" w:hAnsi="Times New Roman" w:eastAsia="宋体" w:cs="Times New Roman"/>
          <w:b/>
          <w:color w:val="000000" w:themeColor="text1"/>
          <w:sz w:val="28"/>
          <w:lang w:val="en-US" w:eastAsia="zh-CN"/>
          <w14:textFill>
            <w14:solidFill>
              <w14:schemeClr w14:val="tx1"/>
            </w14:solidFill>
          </w14:textFill>
        </w:rPr>
        <w:t>报告编写</w:t>
      </w:r>
      <w:r>
        <w:rPr>
          <w:rFonts w:hint="default" w:ascii="Times New Roman" w:hAnsi="Times New Roman" w:eastAsia="宋体" w:cs="Times New Roman"/>
          <w:b/>
          <w:color w:val="000000" w:themeColor="text1"/>
          <w:sz w:val="28"/>
          <w14:textFill>
            <w14:solidFill>
              <w14:schemeClr w14:val="tx1"/>
            </w14:solidFill>
          </w14:textFill>
        </w:rPr>
        <w:t>负责人：</w:t>
      </w:r>
      <w:r>
        <w:rPr>
          <w:rFonts w:hint="default" w:ascii="Times New Roman" w:hAnsi="Times New Roman" w:eastAsia="宋体" w:cs="Times New Roman"/>
          <w:b/>
          <w:color w:val="000000" w:themeColor="text1"/>
          <w:sz w:val="28"/>
          <w:lang w:val="en-US" w:eastAsia="zh-CN"/>
          <w14:textFill>
            <w14:solidFill>
              <w14:schemeClr w14:val="tx1"/>
            </w14:solidFill>
          </w14:textFill>
        </w:rPr>
        <w:t>田虎</w:t>
      </w:r>
    </w:p>
    <w:p w14:paraId="28BC544B">
      <w:pPr>
        <w:keepNext w:val="0"/>
        <w:keepLines w:val="0"/>
        <w:pageBreakBefore w:val="0"/>
        <w:widowControl w:val="0"/>
        <w:kinsoku/>
        <w:wordWrap/>
        <w:overflowPunct/>
        <w:topLinePunct w:val="0"/>
        <w:autoSpaceDE w:val="0"/>
        <w:autoSpaceDN w:val="0"/>
        <w:bidi w:val="0"/>
        <w:adjustRightInd/>
        <w:snapToGrid/>
        <w:spacing w:before="0"/>
        <w:ind w:left="0" w:right="0" w:firstLine="0"/>
        <w:jc w:val="left"/>
        <w:textAlignment w:val="auto"/>
        <w:rPr>
          <w:rFonts w:hint="default" w:ascii="Times New Roman" w:hAnsi="Times New Roman" w:eastAsia="宋体" w:cs="Times New Roman"/>
          <w:b/>
          <w:color w:val="000000" w:themeColor="text1"/>
          <w:sz w:val="28"/>
          <w14:textFill>
            <w14:solidFill>
              <w14:schemeClr w14:val="tx1"/>
            </w14:solidFill>
          </w14:textFill>
        </w:rPr>
      </w:pPr>
      <w:r>
        <w:rPr>
          <w:rFonts w:hint="default" w:ascii="Times New Roman" w:hAnsi="Times New Roman" w:eastAsia="宋体" w:cs="Times New Roman"/>
          <w:b/>
          <w:color w:val="000000" w:themeColor="text1"/>
          <w:sz w:val="28"/>
          <w14:textFill>
            <w14:solidFill>
              <w14:schemeClr w14:val="tx1"/>
            </w14:solidFill>
          </w14:textFill>
        </w:rPr>
        <w:t>填表人：</w:t>
      </w:r>
      <w:r>
        <w:rPr>
          <w:rFonts w:hint="default" w:ascii="Times New Roman" w:hAnsi="Times New Roman" w:eastAsia="宋体" w:cs="Times New Roman"/>
          <w:b/>
          <w:color w:val="000000" w:themeColor="text1"/>
          <w:sz w:val="28"/>
          <w:lang w:val="en-US" w:eastAsia="zh-CN"/>
          <w14:textFill>
            <w14:solidFill>
              <w14:schemeClr w14:val="tx1"/>
            </w14:solidFill>
          </w14:textFill>
        </w:rPr>
        <w:t>田虎</w:t>
      </w:r>
    </w:p>
    <w:p w14:paraId="0633C8DB">
      <w:pPr>
        <w:pStyle w:val="6"/>
        <w:rPr>
          <w:rFonts w:hint="default" w:ascii="Times New Roman" w:hAnsi="Times New Roman" w:eastAsia="宋体" w:cs="Times New Roman"/>
          <w:b/>
          <w:color w:val="000000" w:themeColor="text1"/>
          <w:sz w:val="20"/>
          <w14:textFill>
            <w14:solidFill>
              <w14:schemeClr w14:val="tx1"/>
            </w14:solidFill>
          </w14:textFill>
        </w:rPr>
      </w:pPr>
    </w:p>
    <w:p w14:paraId="621BE709">
      <w:pPr>
        <w:pStyle w:val="6"/>
        <w:rPr>
          <w:rFonts w:hint="default" w:ascii="Times New Roman" w:hAnsi="Times New Roman" w:eastAsia="宋体" w:cs="Times New Roman"/>
          <w:b/>
          <w:color w:val="000000" w:themeColor="text1"/>
          <w:sz w:val="20"/>
          <w14:textFill>
            <w14:solidFill>
              <w14:schemeClr w14:val="tx1"/>
            </w14:solidFill>
          </w14:textFill>
        </w:rPr>
      </w:pPr>
    </w:p>
    <w:p w14:paraId="597B5BD4">
      <w:pPr>
        <w:pStyle w:val="6"/>
        <w:rPr>
          <w:rFonts w:hint="default" w:ascii="Times New Roman" w:hAnsi="Times New Roman" w:eastAsia="宋体" w:cs="Times New Roman"/>
          <w:b/>
          <w:color w:val="000000" w:themeColor="text1"/>
          <w:sz w:val="20"/>
          <w14:textFill>
            <w14:solidFill>
              <w14:schemeClr w14:val="tx1"/>
            </w14:solidFill>
          </w14:textFill>
        </w:rPr>
      </w:pPr>
    </w:p>
    <w:p w14:paraId="1A5A1A7A">
      <w:pPr>
        <w:pStyle w:val="6"/>
        <w:rPr>
          <w:rFonts w:hint="default" w:ascii="Times New Roman" w:hAnsi="Times New Roman" w:eastAsia="宋体" w:cs="Times New Roman"/>
          <w:b/>
          <w:color w:val="000000" w:themeColor="text1"/>
          <w:sz w:val="20"/>
          <w14:textFill>
            <w14:solidFill>
              <w14:schemeClr w14:val="tx1"/>
            </w14:solidFill>
          </w14:textFill>
        </w:rPr>
      </w:pPr>
    </w:p>
    <w:p w14:paraId="48D51921">
      <w:pPr>
        <w:pStyle w:val="6"/>
        <w:rPr>
          <w:rFonts w:hint="default" w:ascii="Times New Roman" w:hAnsi="Times New Roman" w:eastAsia="宋体" w:cs="Times New Roman"/>
          <w:b/>
          <w:color w:val="000000" w:themeColor="text1"/>
          <w:sz w:val="20"/>
          <w14:textFill>
            <w14:solidFill>
              <w14:schemeClr w14:val="tx1"/>
            </w14:solidFill>
          </w14:textFill>
        </w:rPr>
      </w:pPr>
    </w:p>
    <w:p w14:paraId="63204BB1">
      <w:pPr>
        <w:pStyle w:val="6"/>
        <w:rPr>
          <w:rFonts w:hint="default" w:ascii="Times New Roman" w:hAnsi="Times New Roman" w:eastAsia="宋体" w:cs="Times New Roman"/>
          <w:b/>
          <w:color w:val="000000" w:themeColor="text1"/>
          <w:sz w:val="20"/>
          <w14:textFill>
            <w14:solidFill>
              <w14:schemeClr w14:val="tx1"/>
            </w14:solidFill>
          </w14:textFill>
        </w:rPr>
      </w:pPr>
    </w:p>
    <w:p w14:paraId="050A6DE1">
      <w:pPr>
        <w:pStyle w:val="6"/>
        <w:rPr>
          <w:rFonts w:hint="default" w:ascii="Times New Roman" w:hAnsi="Times New Roman" w:eastAsia="宋体" w:cs="Times New Roman"/>
          <w:b/>
          <w:color w:val="000000" w:themeColor="text1"/>
          <w:sz w:val="20"/>
          <w14:textFill>
            <w14:solidFill>
              <w14:schemeClr w14:val="tx1"/>
            </w14:solidFill>
          </w14:textFill>
        </w:rPr>
      </w:pPr>
    </w:p>
    <w:p w14:paraId="4CBEDD69">
      <w:pPr>
        <w:pStyle w:val="6"/>
        <w:rPr>
          <w:rFonts w:hint="default" w:ascii="Times New Roman" w:hAnsi="Times New Roman" w:eastAsia="宋体" w:cs="Times New Roman"/>
          <w:b/>
          <w:color w:val="000000" w:themeColor="text1"/>
          <w:sz w:val="20"/>
          <w14:textFill>
            <w14:solidFill>
              <w14:schemeClr w14:val="tx1"/>
            </w14:solidFill>
          </w14:textFill>
        </w:rPr>
      </w:pPr>
    </w:p>
    <w:p w14:paraId="21E71EF0">
      <w:pPr>
        <w:pStyle w:val="6"/>
        <w:rPr>
          <w:rFonts w:hint="default" w:ascii="Times New Roman" w:hAnsi="Times New Roman" w:eastAsia="宋体" w:cs="Times New Roman"/>
          <w:b/>
          <w:color w:val="000000" w:themeColor="text1"/>
          <w:sz w:val="20"/>
          <w14:textFill>
            <w14:solidFill>
              <w14:schemeClr w14:val="tx1"/>
            </w14:solidFill>
          </w14:textFill>
        </w:rPr>
      </w:pPr>
    </w:p>
    <w:tbl>
      <w:tblPr>
        <w:tblStyle w:val="16"/>
        <w:tblW w:w="5155" w:type="pct"/>
        <w:jc w:val="center"/>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Layout w:type="autofit"/>
        <w:tblCellMar>
          <w:top w:w="0" w:type="dxa"/>
          <w:left w:w="0" w:type="dxa"/>
          <w:bottom w:w="0" w:type="dxa"/>
          <w:right w:w="0" w:type="dxa"/>
        </w:tblCellMar>
      </w:tblPr>
      <w:tblGrid>
        <w:gridCol w:w="1092"/>
        <w:gridCol w:w="3230"/>
        <w:gridCol w:w="1045"/>
        <w:gridCol w:w="3196"/>
      </w:tblGrid>
      <w:tr w14:paraId="02BBA778">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43" w:hRule="atLeast"/>
          <w:jc w:val="center"/>
        </w:trPr>
        <w:tc>
          <w:tcPr>
            <w:tcW w:w="638" w:type="pct"/>
            <w:tcBorders>
              <w:tl2br w:val="nil"/>
              <w:tr2bl w:val="nil"/>
            </w:tcBorders>
            <w:vAlign w:val="center"/>
          </w:tcPr>
          <w:p w14:paraId="0ADE721B">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建设单位</w:t>
            </w:r>
          </w:p>
        </w:tc>
        <w:tc>
          <w:tcPr>
            <w:tcW w:w="1886" w:type="pct"/>
            <w:tcBorders>
              <w:tl2br w:val="nil"/>
              <w:tr2bl w:val="nil"/>
            </w:tcBorders>
            <w:vAlign w:val="center"/>
          </w:tcPr>
          <w:p w14:paraId="373791DA">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c>
          <w:tcPr>
            <w:tcW w:w="610" w:type="pct"/>
            <w:tcBorders>
              <w:tl2br w:val="nil"/>
              <w:tr2bl w:val="nil"/>
            </w:tcBorders>
            <w:vAlign w:val="center"/>
          </w:tcPr>
          <w:p w14:paraId="7C101931">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调查单位</w:t>
            </w:r>
          </w:p>
        </w:tc>
        <w:tc>
          <w:tcPr>
            <w:tcW w:w="3195" w:type="dxa"/>
            <w:tcBorders>
              <w:tl2br w:val="nil"/>
              <w:tr2bl w:val="nil"/>
            </w:tcBorders>
            <w:vAlign w:val="center"/>
          </w:tcPr>
          <w:p w14:paraId="674D929E">
            <w:pPr>
              <w:pStyle w:val="23"/>
              <w:keepNext w:val="0"/>
              <w:keepLines w:val="0"/>
              <w:pageBreakBefore w:val="0"/>
              <w:widowControl/>
              <w:kinsoku/>
              <w:wordWrap/>
              <w:overflowPunct/>
              <w:topLinePunct w:val="0"/>
              <w:autoSpaceDE w:val="0"/>
              <w:autoSpaceDN w:val="0"/>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r>
      <w:tr w14:paraId="322925CB">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8" w:hRule="atLeast"/>
          <w:jc w:val="center"/>
        </w:trPr>
        <w:tc>
          <w:tcPr>
            <w:tcW w:w="638" w:type="pct"/>
            <w:tcBorders>
              <w:tl2br w:val="nil"/>
              <w:tr2bl w:val="nil"/>
            </w:tcBorders>
            <w:vAlign w:val="center"/>
          </w:tcPr>
          <w:p w14:paraId="353D41EA">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电话</w:t>
            </w:r>
          </w:p>
        </w:tc>
        <w:tc>
          <w:tcPr>
            <w:tcW w:w="1886" w:type="pct"/>
            <w:tcBorders>
              <w:tl2br w:val="nil"/>
              <w:tr2bl w:val="nil"/>
            </w:tcBorders>
            <w:vAlign w:val="center"/>
          </w:tcPr>
          <w:p w14:paraId="017C392D">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15502124085</w:t>
            </w:r>
          </w:p>
        </w:tc>
        <w:tc>
          <w:tcPr>
            <w:tcW w:w="610" w:type="pct"/>
            <w:tcBorders>
              <w:tl2br w:val="nil"/>
              <w:tr2bl w:val="nil"/>
            </w:tcBorders>
            <w:vAlign w:val="center"/>
          </w:tcPr>
          <w:p w14:paraId="47207C7E">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电话</w:t>
            </w:r>
          </w:p>
        </w:tc>
        <w:tc>
          <w:tcPr>
            <w:tcW w:w="3195" w:type="dxa"/>
            <w:tcBorders>
              <w:tl2br w:val="nil"/>
              <w:tr2bl w:val="nil"/>
            </w:tcBorders>
            <w:vAlign w:val="center"/>
          </w:tcPr>
          <w:p w14:paraId="2D2075BF">
            <w:pPr>
              <w:pStyle w:val="23"/>
              <w:keepNext w:val="0"/>
              <w:keepLines w:val="0"/>
              <w:pageBreakBefore w:val="0"/>
              <w:widowControl/>
              <w:kinsoku/>
              <w:wordWrap/>
              <w:overflowPunct/>
              <w:topLinePunct w:val="0"/>
              <w:autoSpaceDE w:val="0"/>
              <w:autoSpaceDN w:val="0"/>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15502124085</w:t>
            </w:r>
          </w:p>
        </w:tc>
      </w:tr>
      <w:tr w14:paraId="6C06E0AB">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7" w:hRule="atLeast"/>
          <w:jc w:val="center"/>
        </w:trPr>
        <w:tc>
          <w:tcPr>
            <w:tcW w:w="638" w:type="pct"/>
            <w:tcBorders>
              <w:tl2br w:val="nil"/>
              <w:tr2bl w:val="nil"/>
            </w:tcBorders>
            <w:vAlign w:val="center"/>
          </w:tcPr>
          <w:p w14:paraId="7969C5F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1886" w:type="pct"/>
            <w:tcBorders>
              <w:tl2br w:val="nil"/>
              <w:tr2bl w:val="nil"/>
            </w:tcBorders>
            <w:vAlign w:val="center"/>
          </w:tcPr>
          <w:p w14:paraId="45F677C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610" w:type="pct"/>
            <w:tcBorders>
              <w:tl2br w:val="nil"/>
              <w:tr2bl w:val="nil"/>
            </w:tcBorders>
            <w:vAlign w:val="center"/>
          </w:tcPr>
          <w:p w14:paraId="344942E5">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3195" w:type="dxa"/>
            <w:tcBorders>
              <w:tl2br w:val="nil"/>
              <w:tr2bl w:val="nil"/>
            </w:tcBorders>
            <w:vAlign w:val="center"/>
          </w:tcPr>
          <w:p w14:paraId="4A03A502">
            <w:pPr>
              <w:pStyle w:val="23"/>
              <w:keepNext w:val="0"/>
              <w:keepLines w:val="0"/>
              <w:pageBreakBefore w:val="0"/>
              <w:widowControl/>
              <w:kinsoku/>
              <w:wordWrap/>
              <w:overflowPunct/>
              <w:topLinePunct w:val="0"/>
              <w:autoSpaceDE w:val="0"/>
              <w:autoSpaceDN w:val="0"/>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r>
      <w:tr w14:paraId="38570654">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627" w:hRule="atLeast"/>
          <w:jc w:val="center"/>
        </w:trPr>
        <w:tc>
          <w:tcPr>
            <w:tcW w:w="638" w:type="pct"/>
            <w:tcBorders>
              <w:tl2br w:val="nil"/>
              <w:tr2bl w:val="nil"/>
            </w:tcBorders>
            <w:vAlign w:val="center"/>
          </w:tcPr>
          <w:p w14:paraId="0978D489">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邮编</w:t>
            </w:r>
          </w:p>
        </w:tc>
        <w:tc>
          <w:tcPr>
            <w:tcW w:w="1886" w:type="pct"/>
            <w:tcBorders>
              <w:tl2br w:val="nil"/>
              <w:tr2bl w:val="nil"/>
            </w:tcBorders>
            <w:vAlign w:val="center"/>
          </w:tcPr>
          <w:p w14:paraId="33F98D13">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74</w:t>
            </w:r>
            <w:r>
              <w:rPr>
                <w:rFonts w:hint="default" w:ascii="Times New Roman" w:hAnsi="Times New Roman" w:eastAsia="宋体" w:cs="Times New Roman"/>
                <w:color w:val="000000" w:themeColor="text1"/>
                <w:sz w:val="24"/>
                <w:szCs w:val="24"/>
                <w14:textFill>
                  <w14:solidFill>
                    <w14:schemeClr w14:val="tx1"/>
                  </w14:solidFill>
                </w14:textFill>
              </w:rPr>
              <w:t>00</w:t>
            </w:r>
          </w:p>
        </w:tc>
        <w:tc>
          <w:tcPr>
            <w:tcW w:w="610" w:type="pct"/>
            <w:tcBorders>
              <w:tl2br w:val="nil"/>
              <w:tr2bl w:val="nil"/>
            </w:tcBorders>
            <w:vAlign w:val="center"/>
          </w:tcPr>
          <w:p w14:paraId="23977A8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邮编</w:t>
            </w:r>
          </w:p>
        </w:tc>
        <w:tc>
          <w:tcPr>
            <w:tcW w:w="3195" w:type="dxa"/>
            <w:tcBorders>
              <w:tl2br w:val="nil"/>
              <w:tr2bl w:val="nil"/>
            </w:tcBorders>
            <w:vAlign w:val="center"/>
          </w:tcPr>
          <w:p w14:paraId="06F67C19">
            <w:pPr>
              <w:pStyle w:val="23"/>
              <w:keepNext w:val="0"/>
              <w:keepLines w:val="0"/>
              <w:pageBreakBefore w:val="0"/>
              <w:widowControl/>
              <w:kinsoku/>
              <w:wordWrap/>
              <w:overflowPunct/>
              <w:topLinePunct w:val="0"/>
              <w:autoSpaceDE w:val="0"/>
              <w:autoSpaceDN w:val="0"/>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74</w:t>
            </w:r>
            <w:r>
              <w:rPr>
                <w:rFonts w:hint="default" w:ascii="Times New Roman" w:hAnsi="Times New Roman" w:eastAsia="宋体" w:cs="Times New Roman"/>
                <w:color w:val="000000" w:themeColor="text1"/>
                <w:sz w:val="24"/>
                <w:szCs w:val="24"/>
                <w14:textFill>
                  <w14:solidFill>
                    <w14:schemeClr w14:val="tx1"/>
                  </w14:solidFill>
                </w14:textFill>
              </w:rPr>
              <w:t>00</w:t>
            </w:r>
          </w:p>
        </w:tc>
      </w:tr>
      <w:tr w14:paraId="71360167">
        <w:tblPrEx>
          <w:tblBorders>
            <w:top w:val="single" w:color="000000" w:sz="4" w:space="0"/>
            <w:left w:val="none" w:color="auto" w:sz="0" w:space="0"/>
            <w:bottom w:val="single" w:color="000000" w:sz="4"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2541" w:hRule="atLeast"/>
          <w:jc w:val="center"/>
        </w:trPr>
        <w:tc>
          <w:tcPr>
            <w:tcW w:w="638" w:type="pct"/>
            <w:tcBorders>
              <w:tl2br w:val="nil"/>
              <w:tr2bl w:val="nil"/>
            </w:tcBorders>
            <w:vAlign w:val="center"/>
          </w:tcPr>
          <w:p w14:paraId="23A6F02B">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地址</w:t>
            </w:r>
          </w:p>
        </w:tc>
        <w:tc>
          <w:tcPr>
            <w:tcW w:w="1886" w:type="pct"/>
            <w:tcBorders>
              <w:tl2br w:val="nil"/>
              <w:tr2bl w:val="nil"/>
            </w:tcBorders>
            <w:vAlign w:val="center"/>
          </w:tcPr>
          <w:p w14:paraId="7FEB77AC">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六安市霍邱县邵岗乡坎山村X035县道东</w:t>
            </w:r>
          </w:p>
        </w:tc>
        <w:tc>
          <w:tcPr>
            <w:tcW w:w="610" w:type="pct"/>
            <w:tcBorders>
              <w:tl2br w:val="nil"/>
              <w:tr2bl w:val="nil"/>
            </w:tcBorders>
            <w:vAlign w:val="center"/>
          </w:tcPr>
          <w:p w14:paraId="5F3E0404">
            <w:pPr>
              <w:pStyle w:val="23"/>
              <w:keepNext w:val="0"/>
              <w:keepLines w:val="0"/>
              <w:pageBreakBefore w:val="0"/>
              <w:widowControl/>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地址：</w:t>
            </w:r>
          </w:p>
        </w:tc>
        <w:tc>
          <w:tcPr>
            <w:tcW w:w="3195" w:type="dxa"/>
            <w:tcBorders>
              <w:tl2br w:val="nil"/>
              <w:tr2bl w:val="nil"/>
            </w:tcBorders>
            <w:vAlign w:val="center"/>
          </w:tcPr>
          <w:p w14:paraId="3355C529">
            <w:pPr>
              <w:pStyle w:val="23"/>
              <w:keepNext w:val="0"/>
              <w:keepLines w:val="0"/>
              <w:pageBreakBefore w:val="0"/>
              <w:widowControl/>
              <w:kinsoku/>
              <w:wordWrap/>
              <w:overflowPunct/>
              <w:topLinePunct w:val="0"/>
              <w:autoSpaceDE w:val="0"/>
              <w:autoSpaceDN w:val="0"/>
              <w:bidi w:val="0"/>
              <w:adjustRightInd/>
              <w:snapToGrid/>
              <w:ind w:left="0" w:leftChars="0" w:right="0" w:rightChars="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六安市霍邱县邵岗乡坎山村X035县道东</w:t>
            </w:r>
          </w:p>
        </w:tc>
      </w:tr>
    </w:tbl>
    <w:p w14:paraId="06EFA087">
      <w:pPr>
        <w:pStyle w:val="6"/>
        <w:rPr>
          <w:rFonts w:hint="default" w:ascii="Times New Roman" w:hAnsi="Times New Roman" w:eastAsia="宋体" w:cs="Times New Roman"/>
          <w:b/>
          <w:color w:val="000000" w:themeColor="text1"/>
          <w:sz w:val="20"/>
          <w14:textFill>
            <w14:solidFill>
              <w14:schemeClr w14:val="tx1"/>
            </w14:solidFill>
          </w14:textFill>
        </w:rPr>
      </w:pPr>
    </w:p>
    <w:p w14:paraId="4439FE82">
      <w:pPr>
        <w:pStyle w:val="6"/>
        <w:rPr>
          <w:rFonts w:hint="default" w:ascii="Times New Roman" w:hAnsi="Times New Roman" w:eastAsia="宋体" w:cs="Times New Roman"/>
          <w:b/>
          <w:color w:val="000000" w:themeColor="text1"/>
          <w:sz w:val="20"/>
          <w14:textFill>
            <w14:solidFill>
              <w14:schemeClr w14:val="tx1"/>
            </w14:solidFill>
          </w14:textFill>
        </w:rPr>
      </w:pPr>
    </w:p>
    <w:p w14:paraId="70D7697A">
      <w:pPr>
        <w:pStyle w:val="6"/>
        <w:rPr>
          <w:rFonts w:hint="default" w:ascii="Times New Roman" w:hAnsi="Times New Roman" w:eastAsia="宋体" w:cs="Times New Roman"/>
          <w:b/>
          <w:color w:val="000000" w:themeColor="text1"/>
          <w:sz w:val="20"/>
          <w14:textFill>
            <w14:solidFill>
              <w14:schemeClr w14:val="tx1"/>
            </w14:solidFill>
          </w14:textFill>
        </w:rPr>
      </w:pPr>
    </w:p>
    <w:p w14:paraId="705A4976">
      <w:pPr>
        <w:pStyle w:val="6"/>
        <w:rPr>
          <w:rFonts w:hint="default" w:ascii="Times New Roman" w:hAnsi="Times New Roman" w:eastAsia="宋体" w:cs="Times New Roman"/>
          <w:b/>
          <w:color w:val="000000" w:themeColor="text1"/>
          <w:sz w:val="20"/>
          <w14:textFill>
            <w14:solidFill>
              <w14:schemeClr w14:val="tx1"/>
            </w14:solidFill>
          </w14:textFill>
        </w:rPr>
      </w:pPr>
    </w:p>
    <w:p w14:paraId="579F214E">
      <w:pPr>
        <w:pStyle w:val="6"/>
        <w:rPr>
          <w:rFonts w:hint="default" w:ascii="Times New Roman" w:hAnsi="Times New Roman" w:eastAsia="宋体" w:cs="Times New Roman"/>
          <w:b/>
          <w:color w:val="000000" w:themeColor="text1"/>
          <w:sz w:val="20"/>
          <w14:textFill>
            <w14:solidFill>
              <w14:schemeClr w14:val="tx1"/>
            </w14:solidFill>
          </w14:textFill>
        </w:rPr>
      </w:pPr>
    </w:p>
    <w:p w14:paraId="08A4E329">
      <w:pPr>
        <w:pStyle w:val="6"/>
        <w:rPr>
          <w:rFonts w:hint="default" w:ascii="Times New Roman" w:hAnsi="Times New Roman" w:eastAsia="宋体" w:cs="Times New Roman"/>
          <w:b/>
          <w:color w:val="000000" w:themeColor="text1"/>
          <w:sz w:val="20"/>
          <w14:textFill>
            <w14:solidFill>
              <w14:schemeClr w14:val="tx1"/>
            </w14:solidFill>
          </w14:textFill>
        </w:rPr>
      </w:pPr>
    </w:p>
    <w:p w14:paraId="65E302A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第一部分</w:t>
      </w:r>
    </w:p>
    <w:tbl>
      <w:tblPr>
        <w:tblStyle w:val="16"/>
        <w:tblpPr w:leftFromText="180" w:rightFromText="180" w:vertAnchor="text" w:horzAnchor="page" w:tblpX="3562" w:tblpY="892"/>
        <w:tblOverlap w:val="never"/>
        <w:tblW w:w="0" w:type="auto"/>
        <w:tblInd w:w="0" w:type="dxa"/>
        <w:tblLayout w:type="fixed"/>
        <w:tblCellMar>
          <w:top w:w="0" w:type="dxa"/>
          <w:left w:w="108" w:type="dxa"/>
          <w:bottom w:w="0" w:type="dxa"/>
          <w:right w:w="108" w:type="dxa"/>
        </w:tblCellMar>
      </w:tblPr>
      <w:tblGrid>
        <w:gridCol w:w="5010"/>
      </w:tblGrid>
      <w:tr w14:paraId="093E39BA">
        <w:tblPrEx>
          <w:tblCellMar>
            <w:top w:w="0" w:type="dxa"/>
            <w:left w:w="108" w:type="dxa"/>
            <w:bottom w:w="0" w:type="dxa"/>
            <w:right w:w="108" w:type="dxa"/>
          </w:tblCellMar>
        </w:tblPrEx>
        <w:trPr>
          <w:trHeight w:val="1339" w:hRule="atLeast"/>
        </w:trPr>
        <w:tc>
          <w:tcPr>
            <w:tcW w:w="5010" w:type="dxa"/>
            <w:noWrap w:val="0"/>
            <w:vAlign w:val="top"/>
          </w:tcPr>
          <w:p w14:paraId="1097A65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8"/>
                <w:w w:val="94"/>
                <w:kern w:val="0"/>
                <w:sz w:val="48"/>
                <w:szCs w:val="48"/>
              </w:rPr>
            </w:pPr>
            <w:r>
              <w:rPr>
                <w:rFonts w:hint="default" w:ascii="Times New Roman" w:hAnsi="Times New Roman" w:cs="Times New Roman"/>
                <w:b/>
                <w:color w:val="auto"/>
                <w:spacing w:val="8"/>
                <w:w w:val="94"/>
                <w:kern w:val="0"/>
                <w:sz w:val="48"/>
                <w:szCs w:val="48"/>
              </w:rPr>
              <w:t>建设项目竣工环境保护</w:t>
            </w:r>
          </w:p>
          <w:p w14:paraId="647C542A">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6"/>
                <w:w w:val="94"/>
                <w:kern w:val="0"/>
                <w:sz w:val="48"/>
                <w:szCs w:val="48"/>
              </w:rPr>
            </w:pPr>
            <w:r>
              <w:rPr>
                <w:rFonts w:hint="default" w:ascii="Times New Roman" w:hAnsi="Times New Roman" w:cs="Times New Roman"/>
                <w:b/>
                <w:color w:val="auto"/>
                <w:spacing w:val="8"/>
                <w:w w:val="94"/>
                <w:kern w:val="0"/>
                <w:sz w:val="48"/>
                <w:szCs w:val="48"/>
              </w:rPr>
              <w:t>验</w:t>
            </w:r>
            <w:r>
              <w:rPr>
                <w:rFonts w:hint="default" w:ascii="Times New Roman" w:hAnsi="Times New Roman" w:cs="Times New Roman"/>
                <w:b/>
                <w:color w:val="auto"/>
                <w:spacing w:val="6"/>
                <w:w w:val="94"/>
                <w:kern w:val="0"/>
                <w:sz w:val="48"/>
                <w:szCs w:val="48"/>
              </w:rPr>
              <w:t>收</w:t>
            </w:r>
            <w:r>
              <w:rPr>
                <w:rFonts w:hint="default" w:ascii="Times New Roman" w:hAnsi="Times New Roman" w:cs="Times New Roman"/>
                <w:b/>
                <w:color w:val="auto"/>
                <w:spacing w:val="20"/>
                <w:sz w:val="48"/>
                <w:szCs w:val="48"/>
              </w:rPr>
              <w:t>监测报告表</w:t>
            </w:r>
          </w:p>
        </w:tc>
      </w:tr>
      <w:tr w14:paraId="307574F7">
        <w:tblPrEx>
          <w:tblCellMar>
            <w:top w:w="0" w:type="dxa"/>
            <w:left w:w="108" w:type="dxa"/>
            <w:bottom w:w="0" w:type="dxa"/>
            <w:right w:w="108" w:type="dxa"/>
          </w:tblCellMar>
        </w:tblPrEx>
        <w:tc>
          <w:tcPr>
            <w:tcW w:w="5010" w:type="dxa"/>
            <w:noWrap w:val="0"/>
            <w:vAlign w:val="top"/>
          </w:tcPr>
          <w:p w14:paraId="2567F461">
            <w:pPr>
              <w:ind w:firstLine="1526"/>
              <w:jc w:val="center"/>
              <w:rPr>
                <w:rFonts w:hint="default" w:ascii="Times New Roman" w:hAnsi="Times New Roman" w:cs="Times New Roman"/>
                <w:b/>
                <w:color w:val="auto"/>
                <w:spacing w:val="20"/>
                <w:sz w:val="72"/>
                <w:szCs w:val="72"/>
              </w:rPr>
            </w:pPr>
          </w:p>
        </w:tc>
      </w:tr>
    </w:tbl>
    <w:p w14:paraId="23F5407E">
      <w:pPr>
        <w:pStyle w:val="6"/>
        <w:rPr>
          <w:rFonts w:hint="default" w:ascii="Times New Roman" w:hAnsi="Times New Roman" w:cs="Times New Roman"/>
          <w:b/>
          <w:bCs/>
          <w:color w:val="auto"/>
          <w:sz w:val="28"/>
          <w:szCs w:val="28"/>
        </w:rPr>
      </w:pPr>
    </w:p>
    <w:p w14:paraId="3F6A6E0E">
      <w:pPr>
        <w:rPr>
          <w:rFonts w:hint="default" w:ascii="Times New Roman" w:hAnsi="Times New Roman" w:cs="Times New Roman"/>
          <w:b/>
          <w:bCs/>
          <w:color w:val="auto"/>
          <w:sz w:val="28"/>
          <w:szCs w:val="28"/>
        </w:rPr>
      </w:pPr>
    </w:p>
    <w:p w14:paraId="50A6E2F9">
      <w:pPr>
        <w:pStyle w:val="2"/>
        <w:numPr>
          <w:ilvl w:val="3"/>
          <w:numId w:val="0"/>
        </w:numPr>
        <w:ind w:leftChars="0" w:right="0" w:rightChars="0"/>
        <w:rPr>
          <w:rFonts w:hint="default" w:ascii="Times New Roman" w:hAnsi="Times New Roman" w:cs="Times New Roman"/>
          <w:color w:val="auto"/>
        </w:rPr>
      </w:pPr>
    </w:p>
    <w:p w14:paraId="3EE4035F">
      <w:pPr>
        <w:rPr>
          <w:rFonts w:hint="default" w:ascii="Times New Roman" w:hAnsi="Times New Roman" w:cs="Times New Roman"/>
          <w:b/>
          <w:bCs/>
          <w:color w:val="auto"/>
          <w:sz w:val="28"/>
          <w:szCs w:val="28"/>
        </w:rPr>
      </w:pPr>
    </w:p>
    <w:p w14:paraId="1D3A918E">
      <w:pPr>
        <w:pStyle w:val="2"/>
        <w:rPr>
          <w:rFonts w:hint="default" w:ascii="Times New Roman" w:hAnsi="Times New Roman" w:cs="Times New Roman"/>
          <w:color w:val="auto"/>
        </w:rPr>
        <w:sectPr>
          <w:head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224BC162">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表1</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建设项目总体情况</w:t>
      </w:r>
    </w:p>
    <w:tbl>
      <w:tblPr>
        <w:tblStyle w:val="16"/>
        <w:tblW w:w="506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6"/>
        <w:gridCol w:w="1646"/>
        <w:gridCol w:w="988"/>
        <w:gridCol w:w="539"/>
        <w:gridCol w:w="482"/>
        <w:gridCol w:w="625"/>
        <w:gridCol w:w="1281"/>
        <w:gridCol w:w="665"/>
        <w:gridCol w:w="1202"/>
      </w:tblGrid>
      <w:tr w14:paraId="69BB9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0D8DFF4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建设项目名称</w:t>
            </w:r>
          </w:p>
        </w:tc>
        <w:tc>
          <w:tcPr>
            <w:tcW w:w="4133" w:type="pct"/>
            <w:gridSpan w:val="8"/>
            <w:vAlign w:val="center"/>
          </w:tcPr>
          <w:p w14:paraId="23C2374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p>
        </w:tc>
      </w:tr>
      <w:tr w14:paraId="2FE0A0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 w:hRule="atLeast"/>
          <w:jc w:val="center"/>
        </w:trPr>
        <w:tc>
          <w:tcPr>
            <w:tcW w:w="866" w:type="pct"/>
            <w:vAlign w:val="center"/>
          </w:tcPr>
          <w:p w14:paraId="6BD9C583">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建设单位</w:t>
            </w:r>
          </w:p>
        </w:tc>
        <w:tc>
          <w:tcPr>
            <w:tcW w:w="4133" w:type="pct"/>
            <w:gridSpan w:val="8"/>
            <w:vAlign w:val="center"/>
          </w:tcPr>
          <w:p w14:paraId="3E2483F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r>
      <w:tr w14:paraId="6FA89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67EB263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法人代表/授权代表</w:t>
            </w:r>
          </w:p>
        </w:tc>
        <w:tc>
          <w:tcPr>
            <w:tcW w:w="916" w:type="pct"/>
            <w:vAlign w:val="center"/>
          </w:tcPr>
          <w:p w14:paraId="35D215DF">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罗会武</w:t>
            </w:r>
          </w:p>
        </w:tc>
        <w:tc>
          <w:tcPr>
            <w:tcW w:w="549" w:type="pct"/>
            <w:vAlign w:val="center"/>
          </w:tcPr>
          <w:p w14:paraId="171C342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联系人</w:t>
            </w:r>
          </w:p>
        </w:tc>
        <w:tc>
          <w:tcPr>
            <w:tcW w:w="2667" w:type="pct"/>
            <w:gridSpan w:val="6"/>
            <w:vAlign w:val="center"/>
          </w:tcPr>
          <w:p w14:paraId="1101653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罗会武</w:t>
            </w:r>
          </w:p>
        </w:tc>
      </w:tr>
      <w:tr w14:paraId="5C0BBB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1" w:hRule="atLeast"/>
          <w:jc w:val="center"/>
        </w:trPr>
        <w:tc>
          <w:tcPr>
            <w:tcW w:w="866" w:type="pct"/>
            <w:vAlign w:val="center"/>
          </w:tcPr>
          <w:p w14:paraId="140FADC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通讯地址</w:t>
            </w:r>
          </w:p>
        </w:tc>
        <w:tc>
          <w:tcPr>
            <w:tcW w:w="4133" w:type="pct"/>
            <w:gridSpan w:val="8"/>
            <w:vAlign w:val="center"/>
          </w:tcPr>
          <w:p w14:paraId="2E556E4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六安市霍邱县邵岗乡坎山村X035县道东</w:t>
            </w:r>
          </w:p>
        </w:tc>
      </w:tr>
      <w:tr w14:paraId="5F5759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BC20F5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联系电话</w:t>
            </w:r>
          </w:p>
        </w:tc>
        <w:tc>
          <w:tcPr>
            <w:tcW w:w="916" w:type="pct"/>
            <w:vAlign w:val="center"/>
          </w:tcPr>
          <w:p w14:paraId="4979F362">
            <w:pPr>
              <w:pStyle w:val="29"/>
              <w:bidi w:val="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15502124085</w:t>
            </w:r>
          </w:p>
        </w:tc>
        <w:tc>
          <w:tcPr>
            <w:tcW w:w="549" w:type="pct"/>
            <w:vAlign w:val="center"/>
          </w:tcPr>
          <w:p w14:paraId="199CA09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传真</w:t>
            </w:r>
          </w:p>
        </w:tc>
        <w:tc>
          <w:tcPr>
            <w:tcW w:w="568" w:type="pct"/>
            <w:gridSpan w:val="2"/>
            <w:vAlign w:val="center"/>
          </w:tcPr>
          <w:p w14:paraId="5D1DF038">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w w:val="99"/>
                <w:sz w:val="24"/>
                <w:szCs w:val="24"/>
                <w14:textFill>
                  <w14:solidFill>
                    <w14:schemeClr w14:val="tx1"/>
                  </w14:solidFill>
                </w14:textFill>
              </w:rPr>
              <w:t>/</w:t>
            </w:r>
          </w:p>
        </w:tc>
        <w:tc>
          <w:tcPr>
            <w:tcW w:w="1061" w:type="pct"/>
            <w:gridSpan w:val="2"/>
            <w:vAlign w:val="center"/>
          </w:tcPr>
          <w:p w14:paraId="5DF9CE0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邮政编码</w:t>
            </w:r>
          </w:p>
        </w:tc>
        <w:tc>
          <w:tcPr>
            <w:tcW w:w="1037" w:type="pct"/>
            <w:gridSpan w:val="2"/>
            <w:vAlign w:val="center"/>
          </w:tcPr>
          <w:p w14:paraId="15C1518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74</w:t>
            </w:r>
            <w:r>
              <w:rPr>
                <w:rFonts w:hint="default" w:ascii="Times New Roman" w:hAnsi="Times New Roman" w:eastAsia="宋体" w:cs="Times New Roman"/>
                <w:color w:val="000000" w:themeColor="text1"/>
                <w:sz w:val="24"/>
                <w:szCs w:val="24"/>
                <w14:textFill>
                  <w14:solidFill>
                    <w14:schemeClr w14:val="tx1"/>
                  </w14:solidFill>
                </w14:textFill>
              </w:rPr>
              <w:t>00</w:t>
            </w:r>
          </w:p>
        </w:tc>
      </w:tr>
      <w:tr w14:paraId="308A11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866" w:type="pct"/>
            <w:vAlign w:val="center"/>
          </w:tcPr>
          <w:p w14:paraId="74D58987">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建设地点</w:t>
            </w:r>
          </w:p>
        </w:tc>
        <w:tc>
          <w:tcPr>
            <w:tcW w:w="4133" w:type="pct"/>
            <w:gridSpan w:val="8"/>
            <w:vAlign w:val="center"/>
          </w:tcPr>
          <w:p w14:paraId="4FEEB1B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六安市霍邱县邵岗乡坎山村X035县道东</w:t>
            </w:r>
          </w:p>
        </w:tc>
      </w:tr>
      <w:tr w14:paraId="2527C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17222D4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项目建设</w:t>
            </w:r>
          </w:p>
          <w:p w14:paraId="722571B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性质</w:t>
            </w:r>
          </w:p>
        </w:tc>
        <w:tc>
          <w:tcPr>
            <w:tcW w:w="1466" w:type="pct"/>
            <w:gridSpan w:val="2"/>
            <w:vAlign w:val="center"/>
          </w:tcPr>
          <w:p w14:paraId="01AD270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新建</w:t>
            </w:r>
          </w:p>
        </w:tc>
        <w:tc>
          <w:tcPr>
            <w:tcW w:w="568" w:type="pct"/>
            <w:gridSpan w:val="2"/>
            <w:vAlign w:val="center"/>
          </w:tcPr>
          <w:p w14:paraId="32275A9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行业类别</w:t>
            </w:r>
          </w:p>
        </w:tc>
        <w:tc>
          <w:tcPr>
            <w:tcW w:w="2098" w:type="pct"/>
            <w:gridSpan w:val="4"/>
            <w:vAlign w:val="center"/>
          </w:tcPr>
          <w:p w14:paraId="5602051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kern w:val="0"/>
                <w:sz w:val="24"/>
              </w:rPr>
              <w:t>D4415太阳能发电</w:t>
            </w:r>
          </w:p>
        </w:tc>
      </w:tr>
      <w:tr w14:paraId="51C62A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6E8A440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环境影响报告表名称</w:t>
            </w:r>
          </w:p>
        </w:tc>
        <w:tc>
          <w:tcPr>
            <w:tcW w:w="4133" w:type="pct"/>
            <w:gridSpan w:val="8"/>
            <w:vAlign w:val="center"/>
          </w:tcPr>
          <w:p w14:paraId="09F5438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r>
              <w:rPr>
                <w:rFonts w:hint="default" w:ascii="Times New Roman" w:hAnsi="Times New Roman" w:eastAsia="宋体" w:cs="Times New Roman"/>
                <w:color w:val="000000" w:themeColor="text1"/>
                <w:sz w:val="24"/>
                <w:szCs w:val="24"/>
                <w14:textFill>
                  <w14:solidFill>
                    <w14:schemeClr w14:val="tx1"/>
                  </w14:solidFill>
                </w14:textFill>
              </w:rPr>
              <w:t>环境影响报告表</w:t>
            </w:r>
          </w:p>
        </w:tc>
      </w:tr>
      <w:tr w14:paraId="5ACC0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9" w:hRule="atLeast"/>
          <w:jc w:val="center"/>
        </w:trPr>
        <w:tc>
          <w:tcPr>
            <w:tcW w:w="866" w:type="pct"/>
            <w:vAlign w:val="center"/>
          </w:tcPr>
          <w:p w14:paraId="2360584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环境影响评价单位</w:t>
            </w:r>
          </w:p>
        </w:tc>
        <w:tc>
          <w:tcPr>
            <w:tcW w:w="4133" w:type="pct"/>
            <w:gridSpan w:val="8"/>
            <w:vAlign w:val="center"/>
          </w:tcPr>
          <w:p w14:paraId="03683A3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安徽省四维环境工程有限公司</w:t>
            </w:r>
          </w:p>
        </w:tc>
      </w:tr>
      <w:tr w14:paraId="447D6D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3A315B9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初步设计单位</w:t>
            </w:r>
          </w:p>
        </w:tc>
        <w:tc>
          <w:tcPr>
            <w:tcW w:w="4133" w:type="pct"/>
            <w:gridSpan w:val="8"/>
            <w:vAlign w:val="center"/>
          </w:tcPr>
          <w:p w14:paraId="7C1E08F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信息产业电子第十一设计研究院科技工程股份有限公司</w:t>
            </w:r>
          </w:p>
        </w:tc>
      </w:tr>
      <w:tr w14:paraId="5151FE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738C064">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环境影响评价审批部门</w:t>
            </w:r>
          </w:p>
        </w:tc>
        <w:tc>
          <w:tcPr>
            <w:tcW w:w="916" w:type="pct"/>
            <w:vAlign w:val="center"/>
          </w:tcPr>
          <w:p w14:paraId="52BC3FB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原六安市环境保护局</w:t>
            </w:r>
          </w:p>
        </w:tc>
        <w:tc>
          <w:tcPr>
            <w:tcW w:w="549" w:type="pct"/>
            <w:vAlign w:val="center"/>
          </w:tcPr>
          <w:p w14:paraId="6FDC585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文号</w:t>
            </w:r>
          </w:p>
        </w:tc>
        <w:tc>
          <w:tcPr>
            <w:tcW w:w="916" w:type="pct"/>
            <w:gridSpan w:val="3"/>
            <w:vAlign w:val="center"/>
          </w:tcPr>
          <w:p w14:paraId="23C61350">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w:t>
            </w:r>
            <w:r>
              <w:rPr>
                <w:rFonts w:hint="default" w:ascii="Times New Roman" w:hAnsi="Times New Roman" w:eastAsia="宋体" w:cs="Times New Roman"/>
                <w:color w:val="000000" w:themeColor="text1"/>
                <w:sz w:val="24"/>
                <w:szCs w:val="24"/>
                <w14:textFill>
                  <w14:solidFill>
                    <w14:schemeClr w14:val="tx1"/>
                  </w14:solidFill>
                </w14:textFill>
              </w:rPr>
              <w:t>环</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评</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号</w:t>
            </w:r>
          </w:p>
        </w:tc>
        <w:tc>
          <w:tcPr>
            <w:tcW w:w="713" w:type="pct"/>
            <w:vAlign w:val="center"/>
          </w:tcPr>
          <w:p w14:paraId="0355B1F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时间</w:t>
            </w:r>
          </w:p>
        </w:tc>
        <w:tc>
          <w:tcPr>
            <w:tcW w:w="1037" w:type="pct"/>
            <w:gridSpan w:val="2"/>
            <w:vAlign w:val="center"/>
          </w:tcPr>
          <w:p w14:paraId="0E3E469F">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p>
        </w:tc>
      </w:tr>
      <w:tr w14:paraId="0B0909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1572786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建设项目核准部门</w:t>
            </w:r>
          </w:p>
        </w:tc>
        <w:tc>
          <w:tcPr>
            <w:tcW w:w="916" w:type="pct"/>
            <w:vAlign w:val="center"/>
          </w:tcPr>
          <w:p w14:paraId="7C8F4D7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六安市</w:t>
            </w:r>
            <w:r>
              <w:rPr>
                <w:rFonts w:hint="default" w:ascii="Times New Roman" w:hAnsi="Times New Roman" w:eastAsia="宋体" w:cs="Times New Roman"/>
                <w:color w:val="000000" w:themeColor="text1"/>
                <w:sz w:val="24"/>
                <w:szCs w:val="24"/>
                <w:lang w:eastAsia="zh-CN"/>
                <w14:textFill>
                  <w14:solidFill>
                    <w14:schemeClr w14:val="tx1"/>
                  </w14:solidFill>
                </w14:textFill>
              </w:rPr>
              <w:t>发展和改革委员会</w:t>
            </w:r>
          </w:p>
        </w:tc>
        <w:tc>
          <w:tcPr>
            <w:tcW w:w="549" w:type="pct"/>
            <w:vAlign w:val="center"/>
          </w:tcPr>
          <w:p w14:paraId="746DC08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文号</w:t>
            </w:r>
          </w:p>
        </w:tc>
        <w:tc>
          <w:tcPr>
            <w:tcW w:w="916" w:type="pct"/>
            <w:gridSpan w:val="3"/>
            <w:vAlign w:val="center"/>
          </w:tcPr>
          <w:p w14:paraId="7BB6A3B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w:t>
            </w:r>
            <w:r>
              <w:rPr>
                <w:rFonts w:hint="default" w:ascii="Times New Roman" w:hAnsi="Times New Roman" w:eastAsia="宋体" w:cs="Times New Roman"/>
                <w:color w:val="000000" w:themeColor="text1"/>
                <w:sz w:val="24"/>
                <w:szCs w:val="24"/>
                <w14:textFill>
                  <w14:solidFill>
                    <w14:schemeClr w14:val="tx1"/>
                  </w14:solidFill>
                </w14:textFill>
              </w:rPr>
              <w:t>发改</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审批备</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16</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282</w:t>
            </w:r>
            <w:r>
              <w:rPr>
                <w:rFonts w:hint="default" w:ascii="Times New Roman" w:hAnsi="Times New Roman" w:eastAsia="宋体" w:cs="Times New Roman"/>
                <w:color w:val="000000" w:themeColor="text1"/>
                <w:sz w:val="24"/>
                <w:szCs w:val="24"/>
                <w14:textFill>
                  <w14:solidFill>
                    <w14:schemeClr w14:val="tx1"/>
                  </w14:solidFill>
                </w14:textFill>
              </w:rPr>
              <w:t>号</w:t>
            </w:r>
          </w:p>
        </w:tc>
        <w:tc>
          <w:tcPr>
            <w:tcW w:w="713" w:type="pct"/>
            <w:vAlign w:val="center"/>
          </w:tcPr>
          <w:p w14:paraId="22B152A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时间</w:t>
            </w:r>
          </w:p>
        </w:tc>
        <w:tc>
          <w:tcPr>
            <w:tcW w:w="1037" w:type="pct"/>
            <w:gridSpan w:val="2"/>
            <w:vAlign w:val="center"/>
          </w:tcPr>
          <w:p w14:paraId="660C288B">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16</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p>
        </w:tc>
      </w:tr>
      <w:tr w14:paraId="15A074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4E6F9C8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环境保护设施</w:t>
            </w:r>
          </w:p>
          <w:p w14:paraId="4AE582E9">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设计单位</w:t>
            </w:r>
          </w:p>
        </w:tc>
        <w:tc>
          <w:tcPr>
            <w:tcW w:w="4133" w:type="pct"/>
            <w:gridSpan w:val="8"/>
            <w:vAlign w:val="center"/>
          </w:tcPr>
          <w:p w14:paraId="6DC2B32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信息产业电子第十一设计研究院科技工程股份有限公司</w:t>
            </w:r>
          </w:p>
        </w:tc>
      </w:tr>
      <w:tr w14:paraId="00318A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0" w:hRule="atLeast"/>
          <w:jc w:val="center"/>
        </w:trPr>
        <w:tc>
          <w:tcPr>
            <w:tcW w:w="866" w:type="pct"/>
            <w:vAlign w:val="center"/>
          </w:tcPr>
          <w:p w14:paraId="56AA1CFE">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环境保护设施</w:t>
            </w:r>
          </w:p>
          <w:p w14:paraId="5F944D96">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施工单位</w:t>
            </w:r>
          </w:p>
        </w:tc>
        <w:tc>
          <w:tcPr>
            <w:tcW w:w="4133" w:type="pct"/>
            <w:gridSpan w:val="8"/>
            <w:vAlign w:val="center"/>
          </w:tcPr>
          <w:p w14:paraId="419FA091">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p>
        </w:tc>
      </w:tr>
      <w:tr w14:paraId="1A7DFF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0E5AB167">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环境保护设施</w:t>
            </w:r>
          </w:p>
          <w:p w14:paraId="5B44BA9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监测单位</w:t>
            </w:r>
          </w:p>
        </w:tc>
        <w:tc>
          <w:tcPr>
            <w:tcW w:w="4133" w:type="pct"/>
            <w:gridSpan w:val="8"/>
            <w:vAlign w:val="center"/>
          </w:tcPr>
          <w:p w14:paraId="598D83BD">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安徽鑫程检测科技有限公司</w:t>
            </w:r>
          </w:p>
        </w:tc>
      </w:tr>
      <w:tr w14:paraId="6AD66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5ACCA65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投资总概算</w:t>
            </w:r>
          </w:p>
          <w:p w14:paraId="712DCCB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916" w:type="pct"/>
            <w:vAlign w:val="center"/>
          </w:tcPr>
          <w:p w14:paraId="05D42D2D">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12833.38</w:t>
            </w:r>
          </w:p>
        </w:tc>
        <w:tc>
          <w:tcPr>
            <w:tcW w:w="850" w:type="pct"/>
            <w:gridSpan w:val="2"/>
            <w:vAlign w:val="center"/>
          </w:tcPr>
          <w:p w14:paraId="11DADA61">
            <w:pPr>
              <w:pStyle w:val="23"/>
              <w:keepNext w:val="0"/>
              <w:keepLines w:val="0"/>
              <w:pageBreakBefore w:val="0"/>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环境保护投资（万元）</w:t>
            </w:r>
          </w:p>
        </w:tc>
        <w:tc>
          <w:tcPr>
            <w:tcW w:w="616" w:type="pct"/>
            <w:gridSpan w:val="2"/>
            <w:vAlign w:val="center"/>
          </w:tcPr>
          <w:p w14:paraId="4391466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220</w:t>
            </w:r>
          </w:p>
        </w:tc>
        <w:tc>
          <w:tcPr>
            <w:tcW w:w="1083" w:type="pct"/>
            <w:gridSpan w:val="2"/>
            <w:vAlign w:val="center"/>
          </w:tcPr>
          <w:p w14:paraId="48D677E3">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环境保护投资占</w:t>
            </w:r>
          </w:p>
          <w:p w14:paraId="7791397F">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总投资比例</w:t>
            </w:r>
          </w:p>
        </w:tc>
        <w:tc>
          <w:tcPr>
            <w:tcW w:w="667" w:type="pct"/>
            <w:vAlign w:val="center"/>
          </w:tcPr>
          <w:p w14:paraId="52654F6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1.71</w:t>
            </w:r>
            <w:r>
              <w:rPr>
                <w:rFonts w:hint="default" w:ascii="Times New Roman" w:hAnsi="Times New Roman" w:eastAsia="宋体" w:cs="Times New Roman"/>
                <w:color w:val="auto"/>
                <w:sz w:val="24"/>
                <w:szCs w:val="24"/>
              </w:rPr>
              <w:t>%</w:t>
            </w:r>
          </w:p>
        </w:tc>
      </w:tr>
      <w:tr w14:paraId="2A9507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0" w:hRule="atLeast"/>
          <w:jc w:val="center"/>
        </w:trPr>
        <w:tc>
          <w:tcPr>
            <w:tcW w:w="866" w:type="pct"/>
            <w:vAlign w:val="center"/>
          </w:tcPr>
          <w:p w14:paraId="09F86A65">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实际总投资</w:t>
            </w:r>
          </w:p>
          <w:p w14:paraId="7DC19EA8">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916" w:type="pct"/>
            <w:vAlign w:val="center"/>
          </w:tcPr>
          <w:p w14:paraId="3664454D">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11500</w:t>
            </w:r>
          </w:p>
        </w:tc>
        <w:tc>
          <w:tcPr>
            <w:tcW w:w="850" w:type="pct"/>
            <w:gridSpan w:val="2"/>
            <w:vAlign w:val="center"/>
          </w:tcPr>
          <w:p w14:paraId="5405516B">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w:t>
            </w:r>
          </w:p>
          <w:p w14:paraId="0BD48E0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（万元）</w:t>
            </w:r>
          </w:p>
        </w:tc>
        <w:tc>
          <w:tcPr>
            <w:tcW w:w="616" w:type="pct"/>
            <w:gridSpan w:val="2"/>
            <w:vAlign w:val="center"/>
          </w:tcPr>
          <w:p w14:paraId="2ED674D6">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168.5</w:t>
            </w:r>
          </w:p>
        </w:tc>
        <w:tc>
          <w:tcPr>
            <w:tcW w:w="1083" w:type="pct"/>
            <w:gridSpan w:val="2"/>
            <w:vAlign w:val="center"/>
          </w:tcPr>
          <w:p w14:paraId="7DF037DA">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环境保护投资占</w:t>
            </w:r>
          </w:p>
          <w:p w14:paraId="55A3C6CC">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总投资比例</w:t>
            </w:r>
          </w:p>
        </w:tc>
        <w:tc>
          <w:tcPr>
            <w:tcW w:w="667" w:type="pct"/>
            <w:vAlign w:val="center"/>
          </w:tcPr>
          <w:p w14:paraId="62F43E15">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1.47</w:t>
            </w:r>
            <w:r>
              <w:rPr>
                <w:rFonts w:hint="default" w:ascii="Times New Roman" w:hAnsi="Times New Roman" w:eastAsia="宋体" w:cs="Times New Roman"/>
                <w:color w:val="auto"/>
                <w:sz w:val="24"/>
                <w:szCs w:val="24"/>
              </w:rPr>
              <w:t>%</w:t>
            </w:r>
          </w:p>
        </w:tc>
      </w:tr>
      <w:tr w14:paraId="3C59B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866" w:type="pct"/>
            <w:vAlign w:val="center"/>
          </w:tcPr>
          <w:p w14:paraId="3DA363D2">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项目开工日期</w:t>
            </w:r>
          </w:p>
        </w:tc>
        <w:tc>
          <w:tcPr>
            <w:tcW w:w="916" w:type="pct"/>
            <w:vAlign w:val="center"/>
          </w:tcPr>
          <w:p w14:paraId="7C523AF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月</w:t>
            </w:r>
          </w:p>
        </w:tc>
        <w:tc>
          <w:tcPr>
            <w:tcW w:w="1466" w:type="pct"/>
            <w:gridSpan w:val="4"/>
            <w:vAlign w:val="center"/>
          </w:tcPr>
          <w:p w14:paraId="75956101">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环境保护设施投入</w:t>
            </w:r>
          </w:p>
          <w:p w14:paraId="1C5C1A9F">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调试日期</w:t>
            </w:r>
          </w:p>
        </w:tc>
        <w:tc>
          <w:tcPr>
            <w:tcW w:w="1750" w:type="pct"/>
            <w:gridSpan w:val="3"/>
            <w:vAlign w:val="center"/>
          </w:tcPr>
          <w:p w14:paraId="7A30303B">
            <w:pPr>
              <w:keepNext w:val="0"/>
              <w:keepLines w:val="0"/>
              <w:pageBreakBefore w:val="0"/>
              <w:widowControl w:val="0"/>
              <w:kinsoku/>
              <w:wordWrap/>
              <w:overflowPunct/>
              <w:topLinePunct w:val="0"/>
              <w:autoSpaceDE w:val="0"/>
              <w:autoSpaceDN w:val="0"/>
              <w:bidi w:val="0"/>
              <w:adjustRightInd/>
              <w:snapToGrid/>
              <w:spacing w:before="0" w:line="240" w:lineRule="auto"/>
              <w:ind w:left="0" w:right="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202</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月</w:t>
            </w:r>
          </w:p>
        </w:tc>
      </w:tr>
    </w:tbl>
    <w:p w14:paraId="7C910632">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4"/>
          <w:szCs w:val="24"/>
          <w14:textFill>
            <w14:solidFill>
              <w14:schemeClr w14:val="tx1"/>
            </w14:solidFill>
          </w14:textFill>
        </w:rPr>
        <w:sectPr>
          <w:footerReference r:id="rId6" w:type="default"/>
          <w:pgSz w:w="11910" w:h="16840"/>
          <w:pgMar w:top="1457" w:right="1525" w:bottom="1220" w:left="1525" w:header="0" w:footer="567" w:gutter="0"/>
          <w:pgBorders>
            <w:top w:val="none" w:sz="0" w:space="0"/>
            <w:left w:val="none" w:sz="0" w:space="0"/>
            <w:bottom w:val="none" w:sz="0" w:space="0"/>
            <w:right w:val="none" w:sz="0" w:space="0"/>
          </w:pgBorders>
          <w:pgNumType w:fmt="decimal" w:start="1"/>
          <w:cols w:space="720" w:num="1"/>
        </w:sectPr>
      </w:pPr>
    </w:p>
    <w:tbl>
      <w:tblPr>
        <w:tblStyle w:val="16"/>
        <w:tblW w:w="505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54"/>
        <w:gridCol w:w="5"/>
        <w:gridCol w:w="7405"/>
        <w:gridCol w:w="7"/>
      </w:tblGrid>
      <w:tr w14:paraId="437D25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1673" w:hRule="atLeast"/>
          <w:jc w:val="center"/>
        </w:trPr>
        <w:tc>
          <w:tcPr>
            <w:tcW w:w="866" w:type="pct"/>
            <w:vAlign w:val="center"/>
          </w:tcPr>
          <w:p w14:paraId="6F09595C">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环评阶段项目建设内容</w:t>
            </w:r>
          </w:p>
        </w:tc>
        <w:tc>
          <w:tcPr>
            <w:tcW w:w="4129" w:type="pct"/>
            <w:gridSpan w:val="2"/>
            <w:vAlign w:val="center"/>
          </w:tcPr>
          <w:p w14:paraId="6731BDA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项目规划占地面积527.1626亩，拟铺设260wp多晶硅电池组件77440块，总装机容量20MW，年均发电量约2046万</w:t>
            </w:r>
            <w:r>
              <w:rPr>
                <w:rFonts w:hint="default" w:ascii="Times New Roman" w:hAnsi="Times New Roman" w:eastAsia="宋体" w:cs="Times New Roman"/>
                <w:color w:val="000000" w:themeColor="text1"/>
                <w:lang w:eastAsia="zh-CN"/>
                <w14:textFill>
                  <w14:solidFill>
                    <w14:schemeClr w14:val="tx1"/>
                  </w14:solidFill>
                </w14:textFill>
              </w:rPr>
              <w:t>kW</w:t>
            </w:r>
            <w:r>
              <w:rPr>
                <w:rFonts w:hint="default" w:ascii="Times New Roman" w:hAnsi="Times New Roman" w:eastAsia="宋体" w:cs="Times New Roman"/>
                <w:color w:val="000000" w:themeColor="text1"/>
                <w14:textFill>
                  <w14:solidFill>
                    <w14:schemeClr w14:val="tx1"/>
                  </w14:solidFill>
                </w14:textFill>
              </w:rPr>
              <w:t>·h，项目发电全额上网</w:t>
            </w:r>
            <w:r>
              <w:rPr>
                <w:rFonts w:hint="default" w:ascii="Times New Roman" w:hAnsi="Times New Roman" w:eastAsia="宋体" w:cs="Times New Roman"/>
                <w:color w:val="000000" w:themeColor="text1"/>
                <w:lang w:val="en-US" w:eastAsia="zh-CN"/>
                <w14:textFill>
                  <w14:solidFill>
                    <w14:schemeClr w14:val="tx1"/>
                  </w14:solidFill>
                </w14:textFill>
              </w:rPr>
              <w:t>。</w:t>
            </w:r>
          </w:p>
        </w:tc>
      </w:tr>
      <w:tr w14:paraId="2ACC3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gridAfter w:val="1"/>
          <w:wAfter w:w="3" w:type="pct"/>
          <w:trHeight w:val="1849" w:hRule="atLeast"/>
          <w:jc w:val="center"/>
        </w:trPr>
        <w:tc>
          <w:tcPr>
            <w:tcW w:w="866" w:type="pct"/>
            <w:vAlign w:val="center"/>
          </w:tcPr>
          <w:p w14:paraId="045229DA">
            <w:pPr>
              <w:keepNext w:val="0"/>
              <w:keepLines w:val="0"/>
              <w:pageBreakBefore w:val="0"/>
              <w:widowControl w:val="0"/>
              <w:kinsoku/>
              <w:wordWrap/>
              <w:overflowPunct/>
              <w:topLinePunct w:val="0"/>
              <w:autoSpaceDE w:val="0"/>
              <w:autoSpaceDN w:val="0"/>
              <w:bidi w:val="0"/>
              <w:adjustRightInd/>
              <w:snapToGrid/>
              <w:spacing w:before="0" w:line="360" w:lineRule="exact"/>
              <w:ind w:left="0" w:right="0" w:firstLine="0" w:firstLineChars="0"/>
              <w:jc w:val="center"/>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color w:val="000000" w:themeColor="text1"/>
                <w:sz w:val="24"/>
                <w:szCs w:val="24"/>
                <w14:textFill>
                  <w14:solidFill>
                    <w14:schemeClr w14:val="tx1"/>
                  </w14:solidFill>
                </w14:textFill>
              </w:rPr>
              <w:t>项目实际建设内容</w:t>
            </w:r>
          </w:p>
        </w:tc>
        <w:tc>
          <w:tcPr>
            <w:tcW w:w="4129" w:type="pct"/>
            <w:gridSpan w:val="2"/>
            <w:vAlign w:val="center"/>
          </w:tcPr>
          <w:p w14:paraId="596E610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w:t>
            </w:r>
            <w:r>
              <w:rPr>
                <w:rFonts w:hint="default" w:ascii="Times New Roman" w:hAnsi="Times New Roman" w:eastAsia="宋体" w:cs="Times New Roman"/>
                <w:color w:val="000000" w:themeColor="text1"/>
                <w:lang w:val="en-US" w:eastAsia="zh-CN"/>
                <w14:textFill>
                  <w14:solidFill>
                    <w14:schemeClr w14:val="tx1"/>
                  </w14:solidFill>
                </w14:textFill>
              </w:rPr>
              <w:t>实际</w:t>
            </w:r>
            <w:r>
              <w:rPr>
                <w:rFonts w:hint="default" w:ascii="Times New Roman" w:hAnsi="Times New Roman" w:eastAsia="宋体" w:cs="Times New Roman"/>
                <w:color w:val="000000" w:themeColor="text1"/>
                <w14:textFill>
                  <w14:solidFill>
                    <w14:schemeClr w14:val="tx1"/>
                  </w14:solidFill>
                </w14:textFill>
              </w:rPr>
              <w:t>占地面积</w:t>
            </w:r>
            <w:r>
              <w:rPr>
                <w:rFonts w:hint="default" w:ascii="Times New Roman" w:hAnsi="Times New Roman" w:eastAsia="宋体" w:cs="Times New Roman"/>
                <w:color w:val="000000" w:themeColor="text1"/>
                <w:lang w:val="en-US" w:eastAsia="zh-CN"/>
                <w14:textFill>
                  <w14:solidFill>
                    <w14:schemeClr w14:val="tx1"/>
                  </w14:solidFill>
                </w14:textFill>
              </w:rPr>
              <w:t>约460</w:t>
            </w:r>
            <w:r>
              <w:rPr>
                <w:rFonts w:hint="default" w:ascii="Times New Roman" w:hAnsi="Times New Roman" w:eastAsia="宋体" w:cs="Times New Roman"/>
                <w:color w:val="000000" w:themeColor="text1"/>
                <w14:textFill>
                  <w14:solidFill>
                    <w14:schemeClr w14:val="tx1"/>
                  </w14:solidFill>
                </w14:textFill>
              </w:rPr>
              <w:t>亩</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铺设2</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14:textFill>
                  <w14:solidFill>
                    <w14:schemeClr w14:val="tx1"/>
                  </w14:solidFill>
                </w14:textFill>
              </w:rPr>
              <w:t>0wp多晶硅电池组件74074块，总装机容量</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MW，年均发电量约2046万</w:t>
            </w:r>
            <w:r>
              <w:rPr>
                <w:rFonts w:hint="default" w:ascii="Times New Roman" w:hAnsi="Times New Roman" w:eastAsia="宋体" w:cs="Times New Roman"/>
                <w:color w:val="000000" w:themeColor="text1"/>
                <w:lang w:eastAsia="zh-CN"/>
                <w14:textFill>
                  <w14:solidFill>
                    <w14:schemeClr w14:val="tx1"/>
                  </w14:solidFill>
                </w14:textFill>
              </w:rPr>
              <w:t>kW</w:t>
            </w:r>
            <w:r>
              <w:rPr>
                <w:rFonts w:hint="default" w:ascii="Times New Roman" w:hAnsi="Times New Roman" w:eastAsia="宋体" w:cs="Times New Roman"/>
                <w:color w:val="000000" w:themeColor="text1"/>
                <w14:textFill>
                  <w14:solidFill>
                    <w14:schemeClr w14:val="tx1"/>
                  </w14:solidFill>
                </w14:textFill>
              </w:rPr>
              <w:t>·h，项目发电全额上网</w:t>
            </w:r>
            <w:r>
              <w:rPr>
                <w:rFonts w:hint="default" w:ascii="Times New Roman" w:hAnsi="Times New Roman" w:eastAsia="宋体" w:cs="Times New Roman"/>
                <w:color w:val="000000" w:themeColor="text1"/>
                <w:lang w:val="en-US" w:eastAsia="zh-CN"/>
                <w14:textFill>
                  <w14:solidFill>
                    <w14:schemeClr w14:val="tx1"/>
                  </w14:solidFill>
                </w14:textFill>
              </w:rPr>
              <w:t>。</w:t>
            </w:r>
          </w:p>
        </w:tc>
      </w:tr>
      <w:tr w14:paraId="01F358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jc w:val="center"/>
        </w:trPr>
        <w:tc>
          <w:tcPr>
            <w:tcW w:w="869" w:type="pct"/>
            <w:gridSpan w:val="2"/>
            <w:tcBorders>
              <w:tl2br w:val="nil"/>
              <w:tr2bl w:val="nil"/>
            </w:tcBorders>
            <w:vAlign w:val="center"/>
          </w:tcPr>
          <w:p w14:paraId="0297BC81">
            <w:pPr>
              <w:pStyle w:val="23"/>
              <w:bidi w:val="0"/>
              <w:jc w:val="cente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项目建设过程简述</w:t>
            </w:r>
          </w:p>
        </w:tc>
        <w:tc>
          <w:tcPr>
            <w:tcW w:w="4130" w:type="pct"/>
            <w:gridSpan w:val="2"/>
            <w:tcBorders>
              <w:tl2br w:val="nil"/>
              <w:tr2bl w:val="nil"/>
            </w:tcBorders>
          </w:tcPr>
          <w:p w14:paraId="38171598">
            <w:pPr>
              <w:keepNext w:val="0"/>
              <w:keepLines w:val="0"/>
              <w:pageBreakBefore w:val="0"/>
              <w:widowControl w:val="0"/>
              <w:numPr>
                <w:ilvl w:val="0"/>
                <w:numId w:val="0"/>
              </w:numPr>
              <w:kinsoku/>
              <w:wordWrap/>
              <w:overflowPunct/>
              <w:topLinePunct w:val="0"/>
              <w:autoSpaceDE w:val="0"/>
              <w:autoSpaceDN w:val="0"/>
              <w:bidi w:val="0"/>
              <w:adjustRightInd/>
              <w:snapToGrid/>
              <w:ind w:left="120" w:leftChars="50" w:right="120" w:rightChars="50" w:firstLine="482" w:firstLineChars="20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14:textFill>
                  <w14:solidFill>
                    <w14:schemeClr w14:val="tx1"/>
                  </w14:solidFill>
                </w14:textFill>
              </w:rPr>
              <w:t>工程立项情况</w:t>
            </w:r>
          </w:p>
          <w:p w14:paraId="1DBC7EB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根据</w:t>
            </w:r>
            <w:r>
              <w:rPr>
                <w:rFonts w:hint="default" w:ascii="Times New Roman" w:hAnsi="Times New Roman" w:eastAsia="宋体" w:cs="Times New Roman"/>
                <w:color w:val="000000" w:themeColor="text1"/>
                <w:sz w:val="24"/>
                <w:szCs w:val="24"/>
                <w14:textFill>
                  <w14:solidFill>
                    <w14:schemeClr w14:val="tx1"/>
                  </w14:solidFill>
                </w14:textFill>
              </w:rPr>
              <w:t>中华人民共和国国家发展和改革委员会令《产业结构调整指导目录（20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14:textFill>
                  <w14:solidFill>
                    <w14:schemeClr w14:val="tx1"/>
                  </w14:solidFill>
                </w14:textFill>
              </w:rPr>
              <w:t>年本）》</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工程</w:t>
            </w:r>
            <w:r>
              <w:rPr>
                <w:rFonts w:hint="default" w:ascii="Times New Roman" w:hAnsi="Times New Roman" w:eastAsia="宋体" w:cs="Times New Roman"/>
                <w:color w:val="000000" w:themeColor="text1"/>
                <w:sz w:val="24"/>
                <w:szCs w:val="24"/>
                <w14:textFill>
                  <w14:solidFill>
                    <w14:schemeClr w14:val="tx1"/>
                  </w14:solidFill>
                </w14:textFill>
              </w:rPr>
              <w:t>属于</w:t>
            </w:r>
            <w:r>
              <w:rPr>
                <w:rFonts w:hint="default" w:ascii="Times New Roman" w:hAnsi="Times New Roman" w:eastAsia="宋体" w:cs="Times New Roman"/>
                <w:color w:val="000000" w:themeColor="text1"/>
                <w:sz w:val="24"/>
                <w:szCs w:val="24"/>
                <w:lang w:eastAsia="zh-CN"/>
                <w14:textFill>
                  <w14:solidFill>
                    <w14:schemeClr w14:val="tx1"/>
                  </w14:solidFill>
                </w14:textFill>
              </w:rPr>
              <w:t>“鼓励</w:t>
            </w:r>
            <w:r>
              <w:rPr>
                <w:rFonts w:hint="default" w:ascii="Times New Roman" w:hAnsi="Times New Roman" w:eastAsia="宋体" w:cs="Times New Roman"/>
                <w:color w:val="000000" w:themeColor="text1"/>
                <w:sz w:val="24"/>
                <w:szCs w:val="24"/>
                <w14:textFill>
                  <w14:solidFill>
                    <w14:schemeClr w14:val="tx1"/>
                  </w14:solidFill>
                </w14:textFill>
              </w:rPr>
              <w:t>类”</w:t>
            </w:r>
            <w:r>
              <w:rPr>
                <w:rFonts w:hint="default" w:ascii="Times New Roman" w:hAnsi="Times New Roman" w:eastAsia="宋体" w:cs="Times New Roman"/>
                <w:color w:val="000000" w:themeColor="text1"/>
                <w:sz w:val="24"/>
                <w:szCs w:val="24"/>
                <w:lang w:eastAsia="zh-CN"/>
                <w14:textFill>
                  <w14:solidFill>
                    <w14:schemeClr w14:val="tx1"/>
                  </w14:solidFill>
                </w14:textFill>
              </w:rPr>
              <w:t>中“</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五、新能源、5、发电互补技术与应用</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本工程</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于</w:t>
            </w:r>
            <w:r>
              <w:rPr>
                <w:rFonts w:hint="default" w:ascii="Times New Roman" w:hAnsi="Times New Roman" w:eastAsia="宋体" w:cs="Times New Roman"/>
                <w:color w:val="000000" w:themeColor="text1"/>
                <w:sz w:val="24"/>
                <w:szCs w:val="24"/>
                <w14:textFill>
                  <w14:solidFill>
                    <w14:schemeClr w14:val="tx1"/>
                  </w14:solidFill>
                </w14:textFill>
              </w:rPr>
              <w:t>2016年11月27日</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经</w:t>
            </w:r>
            <w:r>
              <w:rPr>
                <w:rFonts w:hint="eastAsia" w:cs="Times New Roman"/>
                <w:color w:val="000000" w:themeColor="text1"/>
                <w:sz w:val="24"/>
                <w:szCs w:val="24"/>
                <w:lang w:val="en-US" w:eastAsia="zh-CN"/>
                <w14:textFill>
                  <w14:solidFill>
                    <w14:schemeClr w14:val="tx1"/>
                  </w14:solidFill>
                </w14:textFill>
              </w:rPr>
              <w:t>六安市</w:t>
            </w:r>
            <w:r>
              <w:rPr>
                <w:rFonts w:hint="default" w:ascii="Times New Roman" w:hAnsi="Times New Roman" w:eastAsia="宋体" w:cs="Times New Roman"/>
                <w:color w:val="000000" w:themeColor="text1"/>
                <w:sz w:val="24"/>
                <w:szCs w:val="24"/>
                <w:lang w:eastAsia="zh-CN"/>
                <w14:textFill>
                  <w14:solidFill>
                    <w14:schemeClr w14:val="tx1"/>
                  </w14:solidFill>
                </w14:textFill>
              </w:rPr>
              <w:t>发展和改革委员会</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备案，项目代码为：</w:t>
            </w:r>
            <w:r>
              <w:rPr>
                <w:rFonts w:hint="default" w:ascii="Times New Roman" w:hAnsi="Times New Roman" w:eastAsia="宋体" w:cs="Times New Roman"/>
                <w:color w:val="000000" w:themeColor="text1"/>
                <w:sz w:val="24"/>
                <w:szCs w:val="24"/>
                <w:shd w:val="clear" w:color="auto" w:fill="auto"/>
                <w:lang w:val="en-US" w:eastAsia="zh-CN"/>
                <w14:textFill>
                  <w14:solidFill>
                    <w14:schemeClr w14:val="tx1"/>
                  </w14:solidFill>
                </w14:textFill>
              </w:rPr>
              <w:t>2016-341552-44-03-018371，详见附件1</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。因此，本</w:t>
            </w:r>
            <w:r>
              <w:rPr>
                <w:rFonts w:hint="default" w:ascii="Times New Roman" w:hAnsi="Times New Roman" w:eastAsia="宋体" w:cs="Times New Roman"/>
                <w:color w:val="000000" w:themeColor="text1"/>
                <w:shd w:val="clear" w:color="auto" w:fill="auto"/>
                <w:lang w:val="en-US" w:eastAsia="zh-CN"/>
                <w14:textFill>
                  <w14:solidFill>
                    <w14:schemeClr w14:val="tx1"/>
                  </w14:solidFill>
                </w14:textFill>
              </w:rPr>
              <w:t>工程</w:t>
            </w:r>
            <w:r>
              <w:rPr>
                <w:rFonts w:hint="default" w:ascii="Times New Roman" w:hAnsi="Times New Roman" w:eastAsia="宋体" w:cs="Times New Roman"/>
                <w:color w:val="000000" w:themeColor="text1"/>
                <w:shd w:val="clear" w:color="auto" w:fill="auto"/>
                <w:lang w:eastAsia="zh-CN"/>
                <w14:textFill>
                  <w14:solidFill>
                    <w14:schemeClr w14:val="tx1"/>
                  </w14:solidFill>
                </w14:textFill>
              </w:rPr>
              <w:t>的建设</w:t>
            </w:r>
            <w:r>
              <w:rPr>
                <w:rFonts w:hint="default" w:ascii="Times New Roman" w:hAnsi="Times New Roman" w:eastAsia="宋体" w:cs="Times New Roman"/>
                <w:color w:val="000000" w:themeColor="text1"/>
                <w:shd w:val="clear" w:color="auto" w:fill="auto"/>
                <w14:textFill>
                  <w14:solidFill>
                    <w14:schemeClr w14:val="tx1"/>
                  </w14:solidFill>
                </w14:textFill>
              </w:rPr>
              <w:t>符合国家产业政策。</w:t>
            </w:r>
          </w:p>
          <w:p w14:paraId="6FDB11E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165C59B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2、工程环境影响评价情况</w:t>
            </w:r>
          </w:p>
          <w:p w14:paraId="55EE9AD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中华人民共和国环境保护法》、《中华人民共和国环境影响评价法》、《建设项目环境保护管理条例》、《建设项目环境影响评价分类管理名录》等有关实行建设项目环境影响评价制度的规定，本项目由安徽省四维环境工程有限公司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2017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月编制《坎山村20MW光伏发电项目环境影响报告表》</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27</w:t>
            </w:r>
            <w:r>
              <w:rPr>
                <w:rFonts w:hint="default" w:ascii="Times New Roman" w:hAnsi="Times New Roman" w:eastAsia="宋体" w:cs="Times New Roman"/>
                <w:color w:val="000000" w:themeColor="text1"/>
                <w:sz w:val="24"/>
                <w:szCs w:val="24"/>
                <w14:textFill>
                  <w14:solidFill>
                    <w14:schemeClr w14:val="tx1"/>
                  </w14:solidFill>
                </w14:textFill>
              </w:rPr>
              <w:t>日</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建设单位</w:t>
            </w:r>
            <w:r>
              <w:rPr>
                <w:rFonts w:hint="default" w:ascii="Times New Roman" w:hAnsi="Times New Roman" w:eastAsia="宋体" w:cs="Times New Roman"/>
                <w:color w:val="000000" w:themeColor="text1"/>
                <w:sz w:val="24"/>
                <w:szCs w:val="24"/>
                <w14:textFill>
                  <w14:solidFill>
                    <w14:schemeClr w14:val="tx1"/>
                  </w14:solidFill>
                </w14:textFill>
              </w:rPr>
              <w:t>取得</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了原六安市环境保护局《六安市环境保护局关于霍邱韩瑞新能源发电有限公司坎山村20MW光伏发电项目环境影响报告表的批复》（</w:t>
            </w:r>
            <w:r>
              <w:rPr>
                <w:rFonts w:hint="default" w:ascii="Times New Roman" w:hAnsi="Times New Roman" w:eastAsia="宋体" w:cs="Times New Roman"/>
                <w:color w:val="000000" w:themeColor="text1"/>
                <w:sz w:val="24"/>
                <w:szCs w:val="24"/>
                <w14:textFill>
                  <w14:solidFill>
                    <w14:schemeClr w14:val="tx1"/>
                  </w14:solidFill>
                </w14:textFill>
              </w:rPr>
              <w:t>六环评〔2017〕26号</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p>
          <w:p w14:paraId="2B2213A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5D855BE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3、工程建设情况</w:t>
            </w:r>
          </w:p>
          <w:p w14:paraId="070688BE">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auto"/>
                <w:lang w:val="en-US" w:eastAsia="zh-CN"/>
              </w:rPr>
            </w:pPr>
            <w:r>
              <w:rPr>
                <w:rFonts w:hint="eastAsia" w:cs="Times New Roman"/>
                <w:color w:val="auto"/>
                <w:sz w:val="24"/>
                <w:szCs w:val="24"/>
                <w:lang w:val="en-US" w:eastAsia="zh-CN"/>
              </w:rPr>
              <w:t>本项目于2017年由外资企业投资建设，2018年2月完成建设，后由于外资公司撤资，退出本项目运行建设，本项目一直处于暂停状态。2024年3月7日霍邱县人民政府再次启动招商引资，将</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eastAsia" w:cs="Times New Roman"/>
                <w:color w:val="000000" w:themeColor="text1"/>
                <w:sz w:val="24"/>
                <w:szCs w:val="24"/>
                <w:lang w:val="en-US" w:eastAsia="zh-CN"/>
                <w14:textFill>
                  <w14:solidFill>
                    <w14:schemeClr w14:val="tx1"/>
                  </w14:solidFill>
                </w14:textFill>
              </w:rPr>
              <w:t>股权变更至罗会武名下。招商引资后</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eastAsia" w:cs="Times New Roman"/>
                <w:color w:val="000000" w:themeColor="text1"/>
                <w:sz w:val="24"/>
                <w:szCs w:val="24"/>
                <w:lang w:val="en-US" w:eastAsia="zh-CN"/>
                <w14:textFill>
                  <w14:solidFill>
                    <w14:schemeClr w14:val="tx1"/>
                  </w14:solidFill>
                </w14:textFill>
              </w:rPr>
              <w:t>重新启动对本项目的建设，将本项目剩余工程和部分老旧设备进行更新建设。于2025年3月建设完成</w:t>
            </w:r>
            <w:r>
              <w:rPr>
                <w:rFonts w:hint="default" w:ascii="Times New Roman" w:hAnsi="Times New Roman" w:eastAsia="宋体" w:cs="Times New Roman"/>
                <w:color w:val="auto"/>
                <w:sz w:val="24"/>
                <w:szCs w:val="24"/>
              </w:rPr>
              <w:t>，随之项目进入试运行阶段。</w:t>
            </w:r>
          </w:p>
          <w:p w14:paraId="0123B68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p>
          <w:p w14:paraId="79787AA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4、验收工作情况</w:t>
            </w:r>
          </w:p>
          <w:p w14:paraId="7991F1E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根据《中华人民共和国环境保护法》及《建设项目竣工环境保护验收暂行办法》等有关规定，</w:t>
            </w:r>
            <w:r>
              <w:rPr>
                <w:rFonts w:hint="default" w:ascii="Times New Roman" w:hAnsi="Times New Roman" w:eastAsia="宋体" w:cs="Times New Roman"/>
                <w:color w:val="000000" w:themeColor="text1"/>
                <w:sz w:val="24"/>
                <w:szCs w:val="24"/>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sz w:val="24"/>
                <w:szCs w:val="24"/>
                <w14:textFill>
                  <w14:solidFill>
                    <w14:schemeClr w14:val="tx1"/>
                  </w14:solidFill>
                </w14:textFill>
              </w:rPr>
              <w:t>于202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月</w:t>
            </w:r>
            <w:r>
              <w:rPr>
                <w:rStyle w:val="31"/>
                <w:rFonts w:hint="default" w:ascii="Times New Roman" w:hAnsi="Times New Roman" w:eastAsia="宋体" w:cs="Times New Roman"/>
                <w:color w:val="000000" w:themeColor="text1"/>
                <w:sz w:val="24"/>
                <w:szCs w:val="24"/>
                <w14:textFill>
                  <w14:solidFill>
                    <w14:schemeClr w14:val="tx1"/>
                  </w14:solidFill>
                </w14:textFill>
              </w:rPr>
              <w:t>编制《</w:t>
            </w:r>
            <w:r>
              <w:rPr>
                <w:rStyle w:val="31"/>
                <w:rFonts w:hint="default" w:ascii="Times New Roman" w:hAnsi="Times New Roman" w:eastAsia="宋体" w:cs="Times New Roman"/>
                <w:color w:val="000000" w:themeColor="text1"/>
                <w:sz w:val="24"/>
                <w:szCs w:val="24"/>
                <w:lang w:eastAsia="zh-CN"/>
                <w14:textFill>
                  <w14:solidFill>
                    <w14:schemeClr w14:val="tx1"/>
                  </w14:solidFill>
                </w14:textFill>
              </w:rPr>
              <w:t>坎山村20MW光伏发电项目</w:t>
            </w:r>
            <w:r>
              <w:rPr>
                <w:rStyle w:val="31"/>
                <w:rFonts w:hint="default" w:ascii="Times New Roman" w:hAnsi="Times New Roman" w:eastAsia="宋体" w:cs="Times New Roman"/>
                <w:color w:val="000000" w:themeColor="text1"/>
                <w:sz w:val="24"/>
                <w:szCs w:val="24"/>
                <w14:textFill>
                  <w14:solidFill>
                    <w14:schemeClr w14:val="tx1"/>
                  </w14:solidFill>
                </w14:textFill>
              </w:rPr>
              <w:t>建设项目竣工环境保护验收调查报告表》。</w:t>
            </w:r>
            <w:r>
              <w:rPr>
                <w:rStyle w:val="31"/>
                <w:rFonts w:hint="eastAsia" w:cs="Times New Roman"/>
                <w:color w:val="000000" w:themeColor="text1"/>
                <w:sz w:val="24"/>
                <w:szCs w:val="24"/>
                <w:lang w:val="en-US" w:eastAsia="zh-CN"/>
                <w14:textFill>
                  <w14:solidFill>
                    <w14:schemeClr w14:val="tx1"/>
                  </w14:solidFill>
                </w14:textFill>
              </w:rPr>
              <w:t>企业</w:t>
            </w:r>
            <w:r>
              <w:rPr>
                <w:rStyle w:val="31"/>
                <w:rFonts w:hint="default" w:ascii="Times New Roman" w:hAnsi="Times New Roman" w:eastAsia="宋体" w:cs="Times New Roman"/>
                <w:color w:val="auto"/>
                <w:sz w:val="24"/>
                <w:szCs w:val="24"/>
              </w:rPr>
              <w:t>立即组织技术人员进行现场踏勘、收集工程资料等，对工程的生态影响及其恢复状况、工程的污染源分布及其防治措施等方面进行了重点调查；</w:t>
            </w:r>
            <w:r>
              <w:rPr>
                <w:rStyle w:val="31"/>
                <w:rFonts w:hint="default" w:ascii="Times New Roman" w:hAnsi="Times New Roman" w:eastAsia="宋体" w:cs="Times New Roman"/>
                <w:color w:val="auto"/>
                <w:sz w:val="24"/>
                <w:szCs w:val="24"/>
                <w:lang w:val="en-US" w:eastAsia="zh-CN"/>
              </w:rPr>
              <w:t>委托安徽鑫程检测科技有限公司</w:t>
            </w:r>
            <w:r>
              <w:rPr>
                <w:rStyle w:val="31"/>
                <w:rFonts w:hint="default" w:ascii="Times New Roman" w:hAnsi="Times New Roman" w:eastAsia="宋体" w:cs="Times New Roman"/>
                <w:color w:val="auto"/>
                <w:sz w:val="24"/>
                <w:szCs w:val="24"/>
              </w:rPr>
              <w:t>于</w:t>
            </w:r>
            <w:r>
              <w:rPr>
                <w:rStyle w:val="31"/>
                <w:rFonts w:hint="default" w:ascii="Times New Roman" w:hAnsi="Times New Roman" w:eastAsia="宋体" w:cs="Times New Roman"/>
                <w:color w:val="auto"/>
                <w:sz w:val="24"/>
                <w:szCs w:val="24"/>
                <w:lang w:val="en-US" w:eastAsia="zh-CN"/>
              </w:rPr>
              <w:t>2025年3月进行了现场监测；在此基础上编制完成了《</w:t>
            </w:r>
            <w:r>
              <w:rPr>
                <w:rStyle w:val="31"/>
                <w:rFonts w:hint="default" w:ascii="Times New Roman" w:hAnsi="Times New Roman" w:eastAsia="宋体" w:cs="Times New Roman"/>
                <w:color w:val="auto"/>
                <w:sz w:val="24"/>
                <w:szCs w:val="24"/>
                <w:lang w:eastAsia="zh-CN"/>
              </w:rPr>
              <w:t>坎山村20MW光伏发电项目</w:t>
            </w:r>
            <w:r>
              <w:rPr>
                <w:rStyle w:val="31"/>
                <w:rFonts w:hint="default" w:ascii="Times New Roman" w:hAnsi="Times New Roman" w:eastAsia="宋体" w:cs="Times New Roman"/>
                <w:color w:val="auto"/>
                <w:sz w:val="24"/>
                <w:szCs w:val="24"/>
              </w:rPr>
              <w:t>建设项目竣工环境保护验收调查报告表</w:t>
            </w:r>
            <w:r>
              <w:rPr>
                <w:rStyle w:val="31"/>
                <w:rFonts w:hint="default" w:ascii="Times New Roman" w:hAnsi="Times New Roman" w:eastAsia="宋体" w:cs="Times New Roman"/>
                <w:color w:val="auto"/>
                <w:sz w:val="24"/>
                <w:szCs w:val="24"/>
                <w:lang w:val="en-US" w:eastAsia="zh-CN"/>
              </w:rPr>
              <w:t>》。</w:t>
            </w:r>
          </w:p>
          <w:p w14:paraId="36E3F3D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2A840F2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1D5B698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96D7F2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E1A04D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6E42341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6AA71FC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49571A3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49545BC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B2E2CE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F5E261C">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04D59F3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DFC64B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Style w:val="31"/>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370A406D">
            <w:pPr>
              <w:keepNext w:val="0"/>
              <w:keepLines w:val="0"/>
              <w:pageBreakBefore w:val="0"/>
              <w:widowControl w:val="0"/>
              <w:kinsoku/>
              <w:wordWrap/>
              <w:overflowPunct/>
              <w:topLinePunct w:val="0"/>
              <w:autoSpaceDE w:val="0"/>
              <w:autoSpaceDN w:val="0"/>
              <w:bidi w:val="0"/>
              <w:adjustRightInd/>
              <w:snapToGrid/>
              <w:ind w:left="0" w:leftChars="0" w:right="120" w:rightChars="50" w:firstLine="0" w:firstLineChars="0"/>
              <w:textAlignment w:val="auto"/>
              <w:rPr>
                <w:rFonts w:hint="default" w:ascii="Times New Roman" w:hAnsi="Times New Roman" w:eastAsia="宋体" w:cs="Times New Roman"/>
                <w:color w:val="000000" w:themeColor="text1"/>
                <w:lang w:val="en-US"/>
                <w14:textFill>
                  <w14:solidFill>
                    <w14:schemeClr w14:val="tx1"/>
                  </w14:solidFill>
                </w14:textFill>
              </w:rPr>
            </w:pPr>
          </w:p>
        </w:tc>
      </w:tr>
    </w:tbl>
    <w:p w14:paraId="07C050BC">
      <w:pPr>
        <w:spacing w:after="0"/>
        <w:rPr>
          <w:rFonts w:hint="default" w:ascii="Times New Roman" w:hAnsi="Times New Roman" w:eastAsia="宋体" w:cs="Times New Roman"/>
          <w:color w:val="000000" w:themeColor="text1"/>
          <w:sz w:val="21"/>
          <w14:textFill>
            <w14:solidFill>
              <w14:schemeClr w14:val="tx1"/>
            </w14:solidFill>
          </w14:textFill>
        </w:rPr>
        <w:sectPr>
          <w:footerReference r:id="rId7" w:type="default"/>
          <w:pgSz w:w="11910" w:h="16840"/>
          <w:pgMar w:top="1457" w:right="1525" w:bottom="1220" w:left="1525" w:header="0" w:footer="567" w:gutter="0"/>
          <w:pgBorders>
            <w:top w:val="none" w:sz="0" w:space="0"/>
            <w:left w:val="none" w:sz="0" w:space="0"/>
            <w:bottom w:val="none" w:sz="0" w:space="0"/>
            <w:right w:val="none" w:sz="0" w:space="0"/>
          </w:pgBorders>
          <w:pgNumType w:fmt="decimal"/>
          <w:cols w:space="720" w:num="1"/>
        </w:sectPr>
      </w:pPr>
    </w:p>
    <w:p w14:paraId="284597A4">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表2</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调查范围、环境监测因子、敏感目标、调查重点</w:t>
      </w:r>
    </w:p>
    <w:tbl>
      <w:tblPr>
        <w:tblStyle w:val="17"/>
        <w:tblW w:w="48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1"/>
      </w:tblGrid>
      <w:tr w14:paraId="0F853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1F1F3726">
            <w:pPr>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textAlignment w:val="auto"/>
              <w:rPr>
                <w:rFonts w:hint="default" w:ascii="Times New Roman" w:hAnsi="Times New Roman" w:eastAsia="宋体" w:cs="Times New Roman"/>
                <w:b/>
                <w:bCs/>
                <w:color w:val="000000" w:themeColor="text1"/>
                <w:lang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编制依据</w:t>
            </w:r>
          </w:p>
          <w:p w14:paraId="3F2A2772">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1、环保法规</w:t>
            </w:r>
          </w:p>
          <w:p w14:paraId="7C2B8E07">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（1）《中华人民共和国环境保护法》，2015年1月1日实施；</w:t>
            </w:r>
          </w:p>
          <w:p w14:paraId="5903907E">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（2）《中华人民共和国环境影响评价法》，2018年12月29日修正；</w:t>
            </w:r>
          </w:p>
          <w:p w14:paraId="7DBA8C1C">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（3）《中华人民共和国水污染防治法》，2017年6月27日修正；</w:t>
            </w:r>
          </w:p>
          <w:p w14:paraId="03541794">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（4）《中华人民共和国大气污染防治法》，2018年10月26日修正；</w:t>
            </w:r>
          </w:p>
          <w:p w14:paraId="1D309143">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（5）《中华人民共和国噪声污染防治法》，2022年6月5日实施；</w:t>
            </w:r>
          </w:p>
          <w:p w14:paraId="51075628">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（6）《中华人民共和国固体废物污染环境防治法》，2020年9月1日起实施；</w:t>
            </w:r>
          </w:p>
          <w:p w14:paraId="41BC87BF">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（7）</w:t>
            </w:r>
            <w:r>
              <w:rPr>
                <w:rFonts w:hint="default" w:ascii="Times New Roman" w:hAnsi="Times New Roman" w:eastAsia="宋体" w:cs="Times New Roman"/>
                <w:color w:val="auto"/>
                <w:spacing w:val="-2"/>
                <w:sz w:val="24"/>
                <w:szCs w:val="24"/>
              </w:rPr>
              <w:t>《建设项目环境保护管理条例》国务院令</w:t>
            </w:r>
            <w:r>
              <w:rPr>
                <w:rFonts w:hint="eastAsia" w:cs="Times New Roman"/>
                <w:color w:val="auto"/>
                <w:spacing w:val="-2"/>
                <w:sz w:val="24"/>
                <w:szCs w:val="24"/>
                <w:lang w:eastAsia="zh-CN"/>
              </w:rPr>
              <w:t>〔2017〕682号</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50A93F4D">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（8）</w:t>
            </w:r>
            <w:r>
              <w:rPr>
                <w:rFonts w:hint="default" w:ascii="Times New Roman" w:hAnsi="Times New Roman" w:eastAsia="宋体" w:cs="Times New Roman"/>
                <w:color w:val="auto"/>
                <w:spacing w:val="-2"/>
                <w:sz w:val="24"/>
                <w:szCs w:val="24"/>
              </w:rPr>
              <w:t>《安徽省大气污染防治条例》，2015年3月1日起施行</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4005E568">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（9）</w:t>
            </w:r>
            <w:r>
              <w:rPr>
                <w:rFonts w:hint="default" w:ascii="Times New Roman" w:hAnsi="Times New Roman" w:eastAsia="宋体" w:cs="Times New Roman"/>
                <w:color w:val="auto"/>
                <w:spacing w:val="-2"/>
                <w:sz w:val="24"/>
                <w:szCs w:val="24"/>
              </w:rPr>
              <w:t>《安徽省环境保护条例》（20</w:t>
            </w:r>
            <w:r>
              <w:rPr>
                <w:rFonts w:hint="default" w:ascii="Times New Roman" w:hAnsi="Times New Roman" w:eastAsia="宋体" w:cs="Times New Roman"/>
                <w:color w:val="auto"/>
                <w:spacing w:val="-2"/>
                <w:sz w:val="24"/>
                <w:szCs w:val="24"/>
                <w:lang w:val="en-US" w:eastAsia="zh-CN"/>
              </w:rPr>
              <w:t>18</w:t>
            </w:r>
            <w:r>
              <w:rPr>
                <w:rFonts w:hint="default" w:ascii="Times New Roman" w:hAnsi="Times New Roman" w:eastAsia="宋体" w:cs="Times New Roman"/>
                <w:color w:val="auto"/>
                <w:spacing w:val="-2"/>
                <w:sz w:val="24"/>
                <w:szCs w:val="24"/>
              </w:rPr>
              <w:t>.1.1）</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1D16A990">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（10）</w:t>
            </w:r>
            <w:r>
              <w:rPr>
                <w:rFonts w:hint="default" w:ascii="Times New Roman" w:hAnsi="Times New Roman" w:eastAsia="宋体" w:cs="Times New Roman"/>
                <w:color w:val="auto"/>
                <w:spacing w:val="-2"/>
                <w:sz w:val="24"/>
                <w:szCs w:val="24"/>
              </w:rPr>
              <w:t>《国务院关于印发水污染防治行动计划的通知》，国发</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r>
              <w:rPr>
                <w:rFonts w:hint="default" w:ascii="Times New Roman" w:hAnsi="Times New Roman" w:eastAsia="宋体" w:cs="Times New Roman"/>
                <w:color w:val="auto"/>
                <w:spacing w:val="-2"/>
                <w:sz w:val="24"/>
                <w:szCs w:val="24"/>
              </w:rPr>
              <w:t>2015</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r>
              <w:rPr>
                <w:rFonts w:hint="default" w:ascii="Times New Roman" w:hAnsi="Times New Roman" w:eastAsia="宋体" w:cs="Times New Roman"/>
                <w:color w:val="auto"/>
                <w:spacing w:val="-2"/>
                <w:sz w:val="24"/>
                <w:szCs w:val="24"/>
              </w:rPr>
              <w:t>17号，2015年4月2日</w:t>
            </w: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w:t>
            </w:r>
          </w:p>
          <w:p w14:paraId="4A28FFAF">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p>
          <w:p w14:paraId="1C634CF2">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2、建设项目竣工环境保护验收技术规范</w:t>
            </w:r>
          </w:p>
          <w:p w14:paraId="4308CF4C">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（1）《建设项目竣工环境保护验收暂行办法》，国环规环评〔2017〕4号；</w:t>
            </w:r>
          </w:p>
          <w:p w14:paraId="1AB18B0B">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（2）《关于建设项目环境保护设施竣工验收监测管理有关问题的通知》，环发〔2000〕38号；</w:t>
            </w:r>
          </w:p>
          <w:p w14:paraId="54DC3C97">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（3）国家环境保护总局《建设项目竣工环境保护验收技术规范 生态影响类》（HJ/T394-2007）；</w:t>
            </w:r>
          </w:p>
          <w:p w14:paraId="77D0A2EE">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t>（4）《关于印发〈污染影响类建设项目重大变动清单（试行）〉的通知》（环办环评函〔2020〕688号）</w:t>
            </w:r>
            <w:r>
              <w:rPr>
                <w:rFonts w:hint="eastAsia" w:cs="Times New Roman"/>
                <w:color w:val="000000" w:themeColor="text1"/>
                <w:kern w:val="0"/>
                <w:sz w:val="24"/>
                <w:szCs w:val="21"/>
                <w:lang w:val="en-US" w:eastAsia="zh-CN" w:bidi="zh-CN"/>
                <w14:textFill>
                  <w14:solidFill>
                    <w14:schemeClr w14:val="tx1"/>
                  </w14:solidFill>
                </w14:textFill>
              </w:rPr>
              <w:t>；</w:t>
            </w:r>
          </w:p>
          <w:p w14:paraId="6FC51360">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eastAsia" w:cs="Times New Roman"/>
                <w:color w:val="000000" w:themeColor="text1"/>
                <w:kern w:val="0"/>
                <w:sz w:val="24"/>
                <w:szCs w:val="21"/>
                <w:lang w:val="en-US" w:eastAsia="zh-CN" w:bidi="zh-CN"/>
                <w14:textFill>
                  <w14:solidFill>
                    <w14:schemeClr w14:val="tx1"/>
                  </w14:solidFill>
                </w14:textFill>
              </w:rPr>
            </w:pPr>
            <w:r>
              <w:rPr>
                <w:rFonts w:hint="eastAsia" w:cs="Times New Roman"/>
                <w:color w:val="000000" w:themeColor="text1"/>
                <w:kern w:val="0"/>
                <w:sz w:val="24"/>
                <w:szCs w:val="21"/>
                <w:lang w:val="en-US" w:eastAsia="zh-CN" w:bidi="zh-CN"/>
                <w14:textFill>
                  <w14:solidFill>
                    <w14:schemeClr w14:val="tx1"/>
                  </w14:solidFill>
                </w14:textFill>
              </w:rPr>
              <w:t>（5）《安徽省生态环境厅关于规范建设项目环境影响评价调整变更工作的通知》（皖环函〔2023〕997号）；</w:t>
            </w:r>
          </w:p>
          <w:p w14:paraId="004DFC55">
            <w:pPr>
              <w:pStyle w:val="23"/>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eastAsia" w:cs="Times New Roman"/>
                <w:color w:val="000000" w:themeColor="text1"/>
                <w:kern w:val="0"/>
                <w:sz w:val="24"/>
                <w:szCs w:val="21"/>
                <w:lang w:val="en-US" w:eastAsia="zh-CN" w:bidi="zh-CN"/>
                <w14:textFill>
                  <w14:solidFill>
                    <w14:schemeClr w14:val="tx1"/>
                  </w14:solidFill>
                </w14:textFill>
              </w:rPr>
              <w:t>（6）生态影响类建设项目重大变动清单。</w:t>
            </w:r>
          </w:p>
          <w:p w14:paraId="2A8A6905">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pPr>
          </w:p>
          <w:p w14:paraId="5740C4AD">
            <w:pPr>
              <w:pStyle w:val="23"/>
              <w:keepNext w:val="0"/>
              <w:keepLines w:val="0"/>
              <w:pageBreakBefore w:val="0"/>
              <w:widowControl/>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eastAsia="宋体" w:cs="Times New Roman"/>
                <w:color w:val="000000" w:themeColor="text1"/>
                <w:kern w:val="0"/>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kern w:val="0"/>
                <w:sz w:val="24"/>
                <w:szCs w:val="21"/>
                <w:lang w:val="en-US" w:eastAsia="zh-CN" w:bidi="zh-CN"/>
                <w14:textFill>
                  <w14:solidFill>
                    <w14:schemeClr w14:val="tx1"/>
                  </w14:solidFill>
                </w14:textFill>
              </w:rPr>
              <w:t>3、建设项目环境影响报告书（表）及其审批部门审批决定</w:t>
            </w:r>
          </w:p>
          <w:p w14:paraId="15A26F74">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lang w:eastAsia="zh-CN"/>
              </w:rPr>
              <w:t>安徽省四维环境工程有限公司</w:t>
            </w:r>
            <w:r>
              <w:rPr>
                <w:rFonts w:hint="default" w:ascii="Times New Roman" w:hAnsi="Times New Roman" w:eastAsia="宋体" w:cs="Times New Roman"/>
                <w:bCs/>
                <w:color w:val="auto"/>
                <w:kern w:val="0"/>
                <w:sz w:val="24"/>
              </w:rPr>
              <w:t>《霍邱韩瑞新能源发电有限公司坎山村20MW光伏发电项目环境影响报告表》</w:t>
            </w: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bCs/>
                <w:color w:val="auto"/>
                <w:kern w:val="0"/>
                <w:sz w:val="24"/>
                <w:lang w:val="en-US" w:eastAsia="zh-CN"/>
              </w:rPr>
              <w:t>报批稿</w:t>
            </w:r>
            <w:r>
              <w:rPr>
                <w:rFonts w:hint="default" w:ascii="Times New Roman" w:hAnsi="Times New Roman" w:eastAsia="宋体" w:cs="Times New Roman"/>
                <w:bCs/>
                <w:color w:val="auto"/>
                <w:kern w:val="0"/>
                <w:sz w:val="24"/>
                <w:lang w:eastAsia="zh-CN"/>
              </w:rPr>
              <w:t>）</w:t>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月；</w:t>
            </w:r>
          </w:p>
          <w:p w14:paraId="203A855E">
            <w:pPr>
              <w:adjustRightInd w:val="0"/>
              <w:snapToGrid w:val="0"/>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w:t>
            </w:r>
            <w:r>
              <w:rPr>
                <w:rFonts w:hint="default" w:ascii="Times New Roman" w:hAnsi="Times New Roman" w:eastAsia="宋体" w:cs="Times New Roman"/>
                <w:color w:val="auto"/>
                <w:sz w:val="24"/>
                <w:szCs w:val="24"/>
                <w:lang w:val="en-US" w:eastAsia="zh-CN"/>
              </w:rPr>
              <w:t>原六安市环境保护局</w:t>
            </w:r>
            <w:r>
              <w:rPr>
                <w:rFonts w:hint="default" w:ascii="Times New Roman" w:hAnsi="Times New Roman" w:eastAsia="宋体" w:cs="Times New Roman"/>
                <w:bCs/>
                <w:color w:val="auto"/>
                <w:kern w:val="0"/>
                <w:sz w:val="24"/>
              </w:rPr>
              <w:t>《关于霍邱韩瑞新能源发电有限公司坎山村20MW光伏发电项目环境影响报告</w:t>
            </w:r>
            <w:r>
              <w:rPr>
                <w:rFonts w:hint="default" w:ascii="Times New Roman" w:hAnsi="Times New Roman" w:eastAsia="宋体" w:cs="Times New Roman"/>
                <w:bCs/>
                <w:color w:val="auto"/>
                <w:kern w:val="0"/>
                <w:sz w:val="24"/>
                <w:lang w:val="en-US" w:eastAsia="zh-CN"/>
              </w:rPr>
              <w:t>表</w:t>
            </w:r>
            <w:r>
              <w:rPr>
                <w:rFonts w:hint="default" w:ascii="Times New Roman" w:hAnsi="Times New Roman" w:eastAsia="宋体" w:cs="Times New Roman"/>
                <w:bCs/>
                <w:color w:val="auto"/>
                <w:kern w:val="0"/>
                <w:sz w:val="24"/>
                <w:lang w:eastAsia="zh-CN"/>
              </w:rPr>
              <w:t>的</w:t>
            </w:r>
            <w:r>
              <w:rPr>
                <w:rFonts w:hint="default" w:ascii="Times New Roman" w:hAnsi="Times New Roman" w:eastAsia="宋体" w:cs="Times New Roman"/>
                <w:bCs/>
                <w:color w:val="auto"/>
                <w:kern w:val="0"/>
                <w:sz w:val="24"/>
                <w:lang w:val="en-US" w:eastAsia="zh-CN"/>
              </w:rPr>
              <w:t>批复</w:t>
            </w:r>
            <w:r>
              <w:rPr>
                <w:rFonts w:hint="default" w:ascii="Times New Roman" w:hAnsi="Times New Roman" w:eastAsia="宋体" w:cs="Times New Roman"/>
                <w:bCs/>
                <w:color w:val="auto"/>
                <w:kern w:val="0"/>
                <w:sz w:val="24"/>
              </w:rPr>
              <w:t>》（</w:t>
            </w:r>
            <w:r>
              <w:rPr>
                <w:rFonts w:hint="default" w:ascii="Times New Roman" w:hAnsi="Times New Roman" w:eastAsia="宋体" w:cs="Times New Roman"/>
                <w:bCs/>
                <w:color w:val="auto"/>
                <w:kern w:val="0"/>
                <w:sz w:val="24"/>
                <w:lang w:val="en-US" w:eastAsia="zh-CN"/>
              </w:rPr>
              <w:t>六</w:t>
            </w:r>
            <w:r>
              <w:rPr>
                <w:rFonts w:hint="default" w:ascii="Times New Roman" w:hAnsi="Times New Roman" w:eastAsia="宋体" w:cs="Times New Roman"/>
                <w:bCs/>
                <w:color w:val="auto"/>
                <w:kern w:val="0"/>
                <w:sz w:val="24"/>
              </w:rPr>
              <w:t>环</w:t>
            </w:r>
            <w:r>
              <w:rPr>
                <w:rFonts w:hint="default" w:ascii="Times New Roman" w:hAnsi="Times New Roman" w:eastAsia="宋体" w:cs="Times New Roman"/>
                <w:bCs/>
                <w:color w:val="auto"/>
                <w:kern w:val="0"/>
                <w:sz w:val="24"/>
                <w:lang w:val="en-US" w:eastAsia="zh-CN"/>
              </w:rPr>
              <w:t>评</w:t>
            </w:r>
            <w:r>
              <w:rPr>
                <w:rFonts w:hint="default" w:ascii="Times New Roman" w:hAnsi="Times New Roman" w:eastAsia="宋体" w:cs="Times New Roman"/>
                <w:bCs/>
                <w:color w:val="auto"/>
                <w:kern w:val="0"/>
                <w:sz w:val="24"/>
              </w:rPr>
              <w:t>〔20</w:t>
            </w:r>
            <w:r>
              <w:rPr>
                <w:rFonts w:hint="default" w:ascii="Times New Roman" w:hAnsi="Times New Roman" w:eastAsia="宋体" w:cs="Times New Roman"/>
                <w:bCs/>
                <w:color w:val="auto"/>
                <w:kern w:val="0"/>
                <w:sz w:val="24"/>
                <w:lang w:val="en-US" w:eastAsia="zh-CN"/>
              </w:rPr>
              <w:t>17</w:t>
            </w:r>
            <w:r>
              <w:rPr>
                <w:rFonts w:hint="default" w:ascii="Times New Roman" w:hAnsi="Times New Roman" w:eastAsia="宋体" w:cs="Times New Roman"/>
                <w:bCs/>
                <w:color w:val="auto"/>
                <w:kern w:val="0"/>
                <w:sz w:val="24"/>
              </w:rPr>
              <w:t>〕</w:t>
            </w:r>
            <w:r>
              <w:rPr>
                <w:rFonts w:hint="default" w:ascii="Times New Roman" w:hAnsi="Times New Roman" w:eastAsia="宋体" w:cs="Times New Roman"/>
                <w:bCs/>
                <w:color w:val="auto"/>
                <w:kern w:val="0"/>
                <w:sz w:val="24"/>
                <w:lang w:val="en-US" w:eastAsia="zh-CN"/>
              </w:rPr>
              <w:t>26</w:t>
            </w:r>
            <w:r>
              <w:rPr>
                <w:rFonts w:hint="default" w:ascii="Times New Roman" w:hAnsi="Times New Roman" w:eastAsia="宋体" w:cs="Times New Roman"/>
                <w:bCs/>
                <w:color w:val="auto"/>
                <w:kern w:val="0"/>
                <w:sz w:val="24"/>
              </w:rPr>
              <w:t>号）</w:t>
            </w:r>
            <w:r>
              <w:rPr>
                <w:rFonts w:hint="default" w:ascii="Times New Roman" w:hAnsi="Times New Roman" w:eastAsia="宋体" w:cs="Times New Roman"/>
                <w:color w:val="auto"/>
                <w:sz w:val="24"/>
                <w:szCs w:val="24"/>
              </w:rPr>
              <w:t>，201</w:t>
            </w:r>
            <w:r>
              <w:rPr>
                <w:rFonts w:hint="default"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月</w:t>
            </w:r>
            <w:r>
              <w:rPr>
                <w:rFonts w:hint="default" w:ascii="Times New Roman" w:hAnsi="Times New Roman" w:eastAsia="宋体" w:cs="Times New Roman"/>
                <w:color w:val="auto"/>
                <w:sz w:val="24"/>
                <w:szCs w:val="24"/>
                <w:lang w:val="en-US" w:eastAsia="zh-CN"/>
              </w:rPr>
              <w:t>27</w:t>
            </w:r>
            <w:r>
              <w:rPr>
                <w:rFonts w:hint="default" w:ascii="Times New Roman" w:hAnsi="Times New Roman" w:eastAsia="宋体" w:cs="Times New Roman"/>
                <w:color w:val="auto"/>
                <w:sz w:val="24"/>
                <w:szCs w:val="24"/>
              </w:rPr>
              <w:t>日。</w:t>
            </w:r>
          </w:p>
          <w:p w14:paraId="0142ADD9">
            <w:pPr>
              <w:pStyle w:val="23"/>
              <w:keepNext w:val="0"/>
              <w:keepLines w:val="0"/>
              <w:pageBreakBefore w:val="0"/>
              <w:widowControl/>
              <w:kinsoku/>
              <w:wordWrap/>
              <w:overflowPunct/>
              <w:topLinePunct w:val="0"/>
              <w:autoSpaceDE w:val="0"/>
              <w:autoSpaceDN w:val="0"/>
              <w:bidi w:val="0"/>
              <w:adjustRightInd/>
              <w:snapToGrid/>
              <w:spacing w:line="360" w:lineRule="auto"/>
              <w:jc w:val="both"/>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tc>
      </w:tr>
      <w:tr w14:paraId="18D7D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0FBF8388">
            <w:pPr>
              <w:keepNext w:val="0"/>
              <w:keepLines w:val="0"/>
              <w:pageBreakBefore w:val="0"/>
              <w:widowControl w:val="0"/>
              <w:kinsoku/>
              <w:wordWrap/>
              <w:overflowPunct/>
              <w:topLinePunct w:val="0"/>
              <w:autoSpaceDE w:val="0"/>
              <w:autoSpaceDN w:val="0"/>
              <w:bidi w:val="0"/>
              <w:adjustRightInd/>
              <w:snapToGrid/>
              <w:spacing w:before="0"/>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调查范围</w:t>
            </w:r>
          </w:p>
          <w:p w14:paraId="7B3EDD77">
            <w:pPr>
              <w:keepNext w:val="0"/>
              <w:keepLines w:val="0"/>
              <w:pageBreakBefore w:val="0"/>
              <w:widowControl w:val="0"/>
              <w:kinsoku/>
              <w:wordWrap/>
              <w:overflowPunct/>
              <w:topLinePunct w:val="0"/>
              <w:autoSpaceDE w:val="0"/>
              <w:autoSpaceDN w:val="0"/>
              <w:bidi w:val="0"/>
              <w:adjustRightInd/>
              <w:snapToGrid/>
              <w:ind w:left="0" w:leftChars="0" w:right="0" w:rightChars="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次竣工环境保护验收调查范围参照《坎山村20MW光伏发电项目环境影响评价报告表》及其批复中的评价范围，根据项目实际建设情况及对环境造成的影响，结合现场踏勘情况对调查范围进行适当调整，包括太阳能电池方阵区、逆变器、35kV升压器（箱式）道路区等。具体调查范围如表2-1所示。</w:t>
            </w:r>
          </w:p>
          <w:p w14:paraId="1DCCFE0F">
            <w:pPr>
              <w:pStyle w:val="19"/>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表</w:t>
            </w: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 xml:space="preserve">2-1 </w:t>
            </w:r>
            <w:r>
              <w:rPr>
                <w:rFonts w:hint="default" w:ascii="Times New Roman" w:hAnsi="Times New Roman" w:eastAsia="宋体" w:cs="Times New Roman"/>
                <w:color w:val="000000" w:themeColor="text1"/>
                <w:lang w:val="en-US" w:eastAsia="zh-CN"/>
                <w14:textFill>
                  <w14:solidFill>
                    <w14:schemeClr w14:val="tx1"/>
                  </w14:solidFill>
                </w14:textFill>
              </w:rPr>
              <w:t xml:space="preserve"> 调查项目及范围表</w:t>
            </w:r>
          </w:p>
          <w:tbl>
            <w:tblPr>
              <w:tblStyle w:val="17"/>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
              <w:gridCol w:w="2464"/>
              <w:gridCol w:w="5384"/>
            </w:tblGrid>
            <w:tr w14:paraId="48B91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02602F5C">
                  <w:pPr>
                    <w:pStyle w:val="24"/>
                    <w:keepNext w:val="0"/>
                    <w:keepLines w:val="0"/>
                    <w:pageBreakBefore w:val="0"/>
                    <w:widowControl w:val="0"/>
                    <w:kinsoku/>
                    <w:wordWrap/>
                    <w:overflowPunct/>
                    <w:topLinePunct w:val="0"/>
                    <w:autoSpaceDE/>
                    <w:autoSpaceDN/>
                    <w:bidi w:val="0"/>
                    <w:adjustRightInd/>
                    <w:snapToGrid w:val="0"/>
                    <w:ind w:left="-120" w:leftChars="-50" w:right="-120" w:rightChars="-5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序号</w:t>
                  </w:r>
                </w:p>
              </w:tc>
              <w:tc>
                <w:tcPr>
                  <w:tcW w:w="1398" w:type="pct"/>
                  <w:noWrap w:val="0"/>
                  <w:vAlign w:val="center"/>
                </w:tcPr>
                <w:p w14:paraId="0E64C70B">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类别</w:t>
                  </w:r>
                </w:p>
              </w:tc>
              <w:tc>
                <w:tcPr>
                  <w:tcW w:w="3055" w:type="pct"/>
                  <w:noWrap w:val="0"/>
                  <w:vAlign w:val="center"/>
                </w:tcPr>
                <w:p w14:paraId="7E650F01">
                  <w:pPr>
                    <w:pStyle w:val="24"/>
                    <w:bidi w:val="0"/>
                    <w:jc w:val="center"/>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本次验收的调查范围</w:t>
                  </w:r>
                </w:p>
              </w:tc>
            </w:tr>
            <w:tr w14:paraId="2C7A2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33550231">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p>
              </w:tc>
              <w:tc>
                <w:tcPr>
                  <w:tcW w:w="1398" w:type="pct"/>
                  <w:noWrap w:val="0"/>
                  <w:vAlign w:val="center"/>
                </w:tcPr>
                <w:p w14:paraId="6D007C0E">
                  <w:pPr>
                    <w:pStyle w:val="24"/>
                    <w:bidi w:val="0"/>
                    <w:ind w:firstLine="0" w:firstLineChars="0"/>
                    <w:jc w:val="center"/>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声环境</w:t>
                  </w:r>
                </w:p>
              </w:tc>
              <w:tc>
                <w:tcPr>
                  <w:tcW w:w="3055" w:type="pct"/>
                  <w:noWrap w:val="0"/>
                  <w:vAlign w:val="center"/>
                </w:tcPr>
                <w:p w14:paraId="0D668101">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项目厂界及厂界外50m范围内保护目标。</w:t>
                  </w:r>
                </w:p>
              </w:tc>
            </w:tr>
            <w:tr w14:paraId="1B965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635BBC11">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2</w:t>
                  </w:r>
                </w:p>
              </w:tc>
              <w:tc>
                <w:tcPr>
                  <w:tcW w:w="1398" w:type="pct"/>
                  <w:noWrap w:val="0"/>
                  <w:vAlign w:val="center"/>
                </w:tcPr>
                <w:p w14:paraId="616A480E">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水环境</w:t>
                  </w:r>
                </w:p>
              </w:tc>
              <w:tc>
                <w:tcPr>
                  <w:tcW w:w="3055" w:type="pct"/>
                  <w:noWrap w:val="0"/>
                  <w:vAlign w:val="center"/>
                </w:tcPr>
                <w:p w14:paraId="7DD3969C">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生活污水处理排放情况</w:t>
                  </w:r>
                </w:p>
              </w:tc>
            </w:tr>
            <w:tr w14:paraId="274A9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29550479">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3</w:t>
                  </w:r>
                </w:p>
              </w:tc>
              <w:tc>
                <w:tcPr>
                  <w:tcW w:w="1398" w:type="pct"/>
                  <w:noWrap w:val="0"/>
                  <w:vAlign w:val="center"/>
                </w:tcPr>
                <w:p w14:paraId="38C74E25">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大气环境</w:t>
                  </w:r>
                </w:p>
              </w:tc>
              <w:tc>
                <w:tcPr>
                  <w:tcW w:w="3055" w:type="pct"/>
                  <w:noWrap w:val="0"/>
                  <w:vAlign w:val="center"/>
                </w:tcPr>
                <w:p w14:paraId="403D1DE8">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w:t>
                  </w:r>
                </w:p>
              </w:tc>
            </w:tr>
            <w:tr w14:paraId="06FCA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74F4612F">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4</w:t>
                  </w:r>
                </w:p>
              </w:tc>
              <w:tc>
                <w:tcPr>
                  <w:tcW w:w="1398" w:type="pct"/>
                  <w:noWrap w:val="0"/>
                  <w:vAlign w:val="center"/>
                </w:tcPr>
                <w:p w14:paraId="140C5DFB">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固体废物</w:t>
                  </w:r>
                </w:p>
              </w:tc>
              <w:tc>
                <w:tcPr>
                  <w:tcW w:w="3055" w:type="pct"/>
                  <w:noWrap w:val="0"/>
                  <w:vAlign w:val="center"/>
                </w:tcPr>
                <w:p w14:paraId="54ADE1E9">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项目固废处置方式和最终去向</w:t>
                  </w:r>
                </w:p>
              </w:tc>
            </w:tr>
            <w:tr w14:paraId="03913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46" w:type="pct"/>
                  <w:noWrap w:val="0"/>
                  <w:vAlign w:val="center"/>
                </w:tcPr>
                <w:p w14:paraId="6B4F7C43">
                  <w:pPr>
                    <w:pStyle w:val="24"/>
                    <w:bidi w:val="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5</w:t>
                  </w:r>
                </w:p>
              </w:tc>
              <w:tc>
                <w:tcPr>
                  <w:tcW w:w="1398" w:type="pct"/>
                  <w:noWrap w:val="0"/>
                  <w:vAlign w:val="center"/>
                </w:tcPr>
                <w:p w14:paraId="62FAC8A7">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生态环境</w:t>
                  </w:r>
                </w:p>
              </w:tc>
              <w:tc>
                <w:tcPr>
                  <w:tcW w:w="3055" w:type="pct"/>
                  <w:noWrap w:val="0"/>
                  <w:vAlign w:val="center"/>
                </w:tcPr>
                <w:p w14:paraId="6E82F757">
                  <w:pPr>
                    <w:pStyle w:val="24"/>
                    <w:bidi w:val="0"/>
                    <w:ind w:firstLine="0" w:firstLineChars="0"/>
                    <w:jc w:val="center"/>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项目区及项目周边100米范围内</w:t>
                  </w:r>
                </w:p>
              </w:tc>
            </w:tr>
          </w:tbl>
          <w:p w14:paraId="5E7DFB1B">
            <w:pPr>
              <w:pStyle w:val="23"/>
              <w:jc w:val="both"/>
              <w:rPr>
                <w:rFonts w:hint="default" w:ascii="Times New Roman" w:hAnsi="Times New Roman" w:eastAsia="宋体" w:cs="Times New Roman"/>
                <w:color w:val="000000" w:themeColor="text1"/>
                <w:sz w:val="24"/>
                <w:szCs w:val="24"/>
                <w:lang w:val="en-US" w:eastAsia="zh-CN"/>
                <w14:textFill>
                  <w14:solidFill>
                    <w14:schemeClr w14:val="tx1"/>
                  </w14:solidFill>
                </w14:textFill>
              </w:rPr>
            </w:pPr>
          </w:p>
          <w:p w14:paraId="25AA8F6B">
            <w:pPr>
              <w:pStyle w:val="23"/>
              <w:jc w:val="both"/>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 xml:space="preserve"> </w:t>
            </w:r>
          </w:p>
        </w:tc>
      </w:tr>
      <w:tr w14:paraId="79DE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0" w:hRule="atLeast"/>
          <w:jc w:val="center"/>
        </w:trPr>
        <w:tc>
          <w:tcPr>
            <w:tcW w:w="5000" w:type="pct"/>
          </w:tcPr>
          <w:p w14:paraId="5600D793">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环境监测因子</w:t>
            </w:r>
          </w:p>
          <w:p w14:paraId="6E42ABA1">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与环境影响报告表及相关要求中调查因子一致，主要为：</w:t>
            </w:r>
          </w:p>
          <w:p w14:paraId="42C64936">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声环境：厂界噪声。</w:t>
            </w:r>
          </w:p>
          <w:p w14:paraId="08F40983">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地表水环境：生活污水处理排放情况。</w:t>
            </w:r>
          </w:p>
          <w:p w14:paraId="778E4C10">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大气环境：</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w:t>
            </w:r>
          </w:p>
          <w:p w14:paraId="013D949A">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固体废物：固体废物、危险废物、生活垃圾等处置情况。</w:t>
            </w:r>
          </w:p>
          <w:p w14:paraId="29AEC962">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生态环境</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工程施工区植被、野生动植物遭到破坏和恢复的情况，工程占地类型等实际情况；临时占地的恢复情况、弃土场的恢复与防护情况。</w:t>
            </w:r>
          </w:p>
        </w:tc>
      </w:tr>
      <w:tr w14:paraId="0A172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2350BE8A">
            <w:pPr>
              <w:pStyle w:val="28"/>
              <w:keepNext w:val="0"/>
              <w:keepLines w:val="0"/>
              <w:pageBreakBefore w:val="0"/>
              <w:widowControl w:val="0"/>
              <w:kinsoku/>
              <w:wordWrap/>
              <w:overflowPunct/>
              <w:topLinePunct w:val="0"/>
              <w:autoSpaceDE w:val="0"/>
              <w:autoSpaceDN w:val="0"/>
              <w:bidi w:val="0"/>
              <w:adjustRightInd/>
              <w:snapToGrid/>
              <w:ind w:firstLine="0" w:firstLineChars="0"/>
              <w:textAlignment w:val="auto"/>
              <w:outlineLvl w:val="0"/>
              <w:rPr>
                <w:rFonts w:hint="default" w:ascii="Times New Roman" w:hAnsi="Times New Roman" w:eastAsia="宋体" w:cs="Times New Roman"/>
                <w:b/>
                <w:bCs/>
                <w:color w:val="000000" w:themeColor="text1"/>
                <w:kern w:val="0"/>
                <w14:textFill>
                  <w14:solidFill>
                    <w14:schemeClr w14:val="tx1"/>
                  </w14:solidFill>
                </w14:textFill>
              </w:rPr>
            </w:pPr>
            <w:bookmarkStart w:id="0" w:name="_Toc15079"/>
            <w:r>
              <w:rPr>
                <w:rFonts w:hint="default" w:ascii="Times New Roman" w:hAnsi="Times New Roman" w:eastAsia="宋体" w:cs="Times New Roman"/>
                <w:b/>
                <w:bCs/>
                <w:color w:val="000000" w:themeColor="text1"/>
                <w14:textFill>
                  <w14:solidFill>
                    <w14:schemeClr w14:val="tx1"/>
                  </w14:solidFill>
                </w14:textFill>
              </w:rPr>
              <w:t>环境</w:t>
            </w:r>
            <w:r>
              <w:rPr>
                <w:rFonts w:hint="default" w:ascii="Times New Roman" w:hAnsi="Times New Roman" w:eastAsia="宋体" w:cs="Times New Roman"/>
                <w:b/>
                <w:bCs/>
                <w:color w:val="000000" w:themeColor="text1"/>
                <w:lang w:val="en-US" w:eastAsia="zh-CN"/>
                <w14:textFill>
                  <w14:solidFill>
                    <w14:schemeClr w14:val="tx1"/>
                  </w14:solidFill>
                </w14:textFill>
              </w:rPr>
              <w:t>敏感</w:t>
            </w:r>
            <w:r>
              <w:rPr>
                <w:rFonts w:hint="default" w:ascii="Times New Roman" w:hAnsi="Times New Roman" w:eastAsia="宋体" w:cs="Times New Roman"/>
                <w:b/>
                <w:bCs/>
                <w:color w:val="000000" w:themeColor="text1"/>
                <w14:textFill>
                  <w14:solidFill>
                    <w14:schemeClr w14:val="tx1"/>
                  </w14:solidFill>
                </w14:textFill>
              </w:rPr>
              <w:t>目标</w:t>
            </w:r>
            <w:bookmarkEnd w:id="0"/>
          </w:p>
          <w:p w14:paraId="466D50F0">
            <w:pPr>
              <w:pStyle w:val="28"/>
              <w:ind w:firstLine="480" w:firstLineChars="200"/>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本次验收环境保护目标以环评为基础，通过实地调查对环评识别的保护目标的基本信息进行校核。</w:t>
            </w:r>
          </w:p>
          <w:p w14:paraId="2E52B55C">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项目不涉及自然保护区、风景名胜区、世界自然遗产地、地质公园、公益林及基本农田</w:t>
            </w:r>
            <w:r>
              <w:rPr>
                <w:rFonts w:hint="default" w:ascii="Times New Roman" w:hAnsi="Times New Roman" w:eastAsia="宋体" w:cs="Times New Roman"/>
                <w:color w:val="000000" w:themeColor="text1"/>
                <w14:textFill>
                  <w14:solidFill>
                    <w14:schemeClr w14:val="tx1"/>
                  </w14:solidFill>
                </w14:textFill>
              </w:rPr>
              <w:t>，具体环境保护目标如下：</w:t>
            </w:r>
          </w:p>
          <w:p w14:paraId="37CEBF39">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（1）城西湖沣南湖区等水体水质现状不被降低。</w:t>
            </w:r>
          </w:p>
          <w:p w14:paraId="1692059D">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（2）评价区域环境空气质量满足GB3095-2012中二级标准。</w:t>
            </w:r>
          </w:p>
          <w:p w14:paraId="3F313F56">
            <w:pPr>
              <w:pStyle w:val="28"/>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（3）评价区域噪声环境达到GB3096-2008中2类区标准。</w:t>
            </w:r>
          </w:p>
          <w:p w14:paraId="374B77B3">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表2-2  项目环境保护目标一览表</w:t>
            </w:r>
          </w:p>
          <w:tbl>
            <w:tblPr>
              <w:tblStyle w:val="16"/>
              <w:tblW w:w="88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609"/>
              <w:gridCol w:w="1063"/>
              <w:gridCol w:w="1695"/>
              <w:gridCol w:w="1433"/>
              <w:gridCol w:w="1935"/>
            </w:tblGrid>
            <w:tr w14:paraId="170C8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110" w:type="dxa"/>
                  <w:noWrap w:val="0"/>
                  <w:vAlign w:val="center"/>
                </w:tcPr>
                <w:p w14:paraId="7E6ED8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环境要素</w:t>
                  </w:r>
                </w:p>
              </w:tc>
              <w:tc>
                <w:tcPr>
                  <w:tcW w:w="1609" w:type="dxa"/>
                  <w:noWrap w:val="0"/>
                  <w:vAlign w:val="center"/>
                </w:tcPr>
                <w:p w14:paraId="56DFEFC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环境保护目标名称</w:t>
                  </w:r>
                </w:p>
              </w:tc>
              <w:tc>
                <w:tcPr>
                  <w:tcW w:w="1063" w:type="dxa"/>
                  <w:noWrap w:val="0"/>
                  <w:vAlign w:val="center"/>
                </w:tcPr>
                <w:p w14:paraId="5A51649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方位</w:t>
                  </w:r>
                </w:p>
              </w:tc>
              <w:tc>
                <w:tcPr>
                  <w:tcW w:w="1695" w:type="dxa"/>
                  <w:noWrap w:val="0"/>
                  <w:vAlign w:val="center"/>
                </w:tcPr>
                <w:p w14:paraId="459EED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与本项目最近距离（m）</w:t>
                  </w:r>
                </w:p>
              </w:tc>
              <w:tc>
                <w:tcPr>
                  <w:tcW w:w="1433" w:type="dxa"/>
                  <w:noWrap w:val="0"/>
                  <w:vAlign w:val="center"/>
                </w:tcPr>
                <w:p w14:paraId="34470A5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功能及规模</w:t>
                  </w:r>
                </w:p>
              </w:tc>
              <w:tc>
                <w:tcPr>
                  <w:tcW w:w="1935" w:type="dxa"/>
                  <w:noWrap w:val="0"/>
                  <w:vAlign w:val="center"/>
                </w:tcPr>
                <w:p w14:paraId="72DF1A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环境功能区划级别</w:t>
                  </w:r>
                </w:p>
              </w:tc>
            </w:tr>
            <w:tr w14:paraId="5D64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restart"/>
                  <w:noWrap w:val="0"/>
                  <w:vAlign w:val="center"/>
                </w:tcPr>
                <w:p w14:paraId="51FF89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环境空气</w:t>
                  </w:r>
                </w:p>
              </w:tc>
              <w:tc>
                <w:tcPr>
                  <w:tcW w:w="1609" w:type="dxa"/>
                  <w:noWrap w:val="0"/>
                  <w:vAlign w:val="center"/>
                </w:tcPr>
                <w:p w14:paraId="31EA87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刘集</w:t>
                  </w:r>
                </w:p>
              </w:tc>
              <w:tc>
                <w:tcPr>
                  <w:tcW w:w="1063" w:type="dxa"/>
                  <w:noWrap w:val="0"/>
                  <w:vAlign w:val="center"/>
                </w:tcPr>
                <w:p w14:paraId="2D3209E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SW</w:t>
                  </w:r>
                </w:p>
              </w:tc>
              <w:tc>
                <w:tcPr>
                  <w:tcW w:w="1695" w:type="dxa"/>
                  <w:noWrap w:val="0"/>
                  <w:vAlign w:val="center"/>
                </w:tcPr>
                <w:p w14:paraId="6D05446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30</w:t>
                  </w:r>
                </w:p>
              </w:tc>
              <w:tc>
                <w:tcPr>
                  <w:tcW w:w="1433" w:type="dxa"/>
                  <w:noWrap w:val="0"/>
                  <w:vAlign w:val="center"/>
                </w:tcPr>
                <w:p w14:paraId="2BD77EF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村庄，30户</w:t>
                  </w:r>
                </w:p>
              </w:tc>
              <w:tc>
                <w:tcPr>
                  <w:tcW w:w="1935" w:type="dxa"/>
                  <w:vMerge w:val="restart"/>
                  <w:noWrap w:val="0"/>
                  <w:vAlign w:val="center"/>
                </w:tcPr>
                <w:p w14:paraId="143DBBA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《环境空气质量标准》（GB3095-2012）二级标准</w:t>
                  </w:r>
                </w:p>
              </w:tc>
            </w:tr>
            <w:tr w14:paraId="73EDE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4B4CC4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0ACB26C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牛头</w:t>
                  </w:r>
                </w:p>
              </w:tc>
              <w:tc>
                <w:tcPr>
                  <w:tcW w:w="1063" w:type="dxa"/>
                  <w:noWrap w:val="0"/>
                  <w:vAlign w:val="center"/>
                </w:tcPr>
                <w:p w14:paraId="123EA2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w:t>
                  </w:r>
                </w:p>
              </w:tc>
              <w:tc>
                <w:tcPr>
                  <w:tcW w:w="1695" w:type="dxa"/>
                  <w:noWrap w:val="0"/>
                  <w:vAlign w:val="center"/>
                </w:tcPr>
                <w:p w14:paraId="38848FD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1000</w:t>
                  </w:r>
                </w:p>
              </w:tc>
              <w:tc>
                <w:tcPr>
                  <w:tcW w:w="1433" w:type="dxa"/>
                  <w:noWrap w:val="0"/>
                  <w:vAlign w:val="center"/>
                </w:tcPr>
                <w:p w14:paraId="2B69548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村庄，18户</w:t>
                  </w:r>
                </w:p>
              </w:tc>
              <w:tc>
                <w:tcPr>
                  <w:tcW w:w="1935" w:type="dxa"/>
                  <w:vMerge w:val="continue"/>
                  <w:noWrap w:val="0"/>
                  <w:vAlign w:val="center"/>
                </w:tcPr>
                <w:p w14:paraId="4BD3913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5648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4A74321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263092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尧塘村</w:t>
                  </w:r>
                </w:p>
              </w:tc>
              <w:tc>
                <w:tcPr>
                  <w:tcW w:w="1063" w:type="dxa"/>
                  <w:noWrap w:val="0"/>
                  <w:vAlign w:val="center"/>
                </w:tcPr>
                <w:p w14:paraId="6E8927A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N</w:t>
                  </w:r>
                </w:p>
              </w:tc>
              <w:tc>
                <w:tcPr>
                  <w:tcW w:w="1695" w:type="dxa"/>
                  <w:noWrap w:val="0"/>
                  <w:vAlign w:val="center"/>
                </w:tcPr>
                <w:p w14:paraId="4E8A39F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590</w:t>
                  </w:r>
                </w:p>
              </w:tc>
              <w:tc>
                <w:tcPr>
                  <w:tcW w:w="1433" w:type="dxa"/>
                  <w:noWrap w:val="0"/>
                  <w:vAlign w:val="center"/>
                </w:tcPr>
                <w:p w14:paraId="07DCD76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村庄，50户</w:t>
                  </w:r>
                </w:p>
              </w:tc>
              <w:tc>
                <w:tcPr>
                  <w:tcW w:w="1935" w:type="dxa"/>
                  <w:vMerge w:val="continue"/>
                  <w:noWrap w:val="0"/>
                  <w:vAlign w:val="center"/>
                </w:tcPr>
                <w:p w14:paraId="48DF70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2198E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539ED54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08C2BA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老店子</w:t>
                  </w:r>
                </w:p>
              </w:tc>
              <w:tc>
                <w:tcPr>
                  <w:tcW w:w="1063" w:type="dxa"/>
                  <w:noWrap w:val="0"/>
                  <w:vAlign w:val="center"/>
                </w:tcPr>
                <w:p w14:paraId="1A02993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NE</w:t>
                  </w:r>
                </w:p>
              </w:tc>
              <w:tc>
                <w:tcPr>
                  <w:tcW w:w="1695" w:type="dxa"/>
                  <w:noWrap w:val="0"/>
                  <w:vAlign w:val="center"/>
                </w:tcPr>
                <w:p w14:paraId="502C7F7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500</w:t>
                  </w:r>
                </w:p>
              </w:tc>
              <w:tc>
                <w:tcPr>
                  <w:tcW w:w="1433" w:type="dxa"/>
                  <w:noWrap w:val="0"/>
                  <w:vAlign w:val="center"/>
                </w:tcPr>
                <w:p w14:paraId="42F7F5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村庄，20户</w:t>
                  </w:r>
                </w:p>
              </w:tc>
              <w:tc>
                <w:tcPr>
                  <w:tcW w:w="1935" w:type="dxa"/>
                  <w:vMerge w:val="continue"/>
                  <w:noWrap w:val="0"/>
                  <w:vAlign w:val="center"/>
                </w:tcPr>
                <w:p w14:paraId="69C9E0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000000"/>
                      <w:sz w:val="22"/>
                      <w:szCs w:val="22"/>
                    </w:rPr>
                  </w:pPr>
                </w:p>
              </w:tc>
            </w:tr>
            <w:tr w14:paraId="670FD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6C95443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1B72E5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项目区域</w:t>
                  </w:r>
                </w:p>
              </w:tc>
              <w:tc>
                <w:tcPr>
                  <w:tcW w:w="1063" w:type="dxa"/>
                  <w:noWrap w:val="0"/>
                  <w:vAlign w:val="center"/>
                </w:tcPr>
                <w:p w14:paraId="30554DB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695" w:type="dxa"/>
                  <w:noWrap w:val="0"/>
                  <w:vAlign w:val="center"/>
                </w:tcPr>
                <w:p w14:paraId="513368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433" w:type="dxa"/>
                  <w:noWrap w:val="0"/>
                  <w:vAlign w:val="center"/>
                </w:tcPr>
                <w:p w14:paraId="3A61117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935" w:type="dxa"/>
                  <w:vMerge w:val="continue"/>
                  <w:noWrap w:val="0"/>
                  <w:vAlign w:val="center"/>
                </w:tcPr>
                <w:p w14:paraId="10F564B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rFonts w:hint="default" w:ascii="Times New Roman" w:hAnsi="Times New Roman" w:eastAsia="宋体" w:cs="Times New Roman"/>
                      <w:color w:val="000000"/>
                      <w:sz w:val="22"/>
                      <w:szCs w:val="22"/>
                    </w:rPr>
                  </w:pPr>
                </w:p>
              </w:tc>
            </w:tr>
            <w:tr w14:paraId="4D3C7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noWrap w:val="0"/>
                  <w:vAlign w:val="center"/>
                </w:tcPr>
                <w:p w14:paraId="287516A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地表水环境</w:t>
                  </w:r>
                </w:p>
              </w:tc>
              <w:tc>
                <w:tcPr>
                  <w:tcW w:w="1609" w:type="dxa"/>
                  <w:noWrap w:val="0"/>
                  <w:vAlign w:val="center"/>
                </w:tcPr>
                <w:p w14:paraId="6F6A770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城西湖</w:t>
                  </w:r>
                </w:p>
              </w:tc>
              <w:tc>
                <w:tcPr>
                  <w:tcW w:w="1063" w:type="dxa"/>
                  <w:noWrap w:val="0"/>
                  <w:vAlign w:val="center"/>
                </w:tcPr>
                <w:p w14:paraId="762F316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E</w:t>
                  </w:r>
                </w:p>
              </w:tc>
              <w:tc>
                <w:tcPr>
                  <w:tcW w:w="1695" w:type="dxa"/>
                  <w:noWrap w:val="0"/>
                  <w:vAlign w:val="center"/>
                </w:tcPr>
                <w:p w14:paraId="58545CC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1800</w:t>
                  </w:r>
                </w:p>
              </w:tc>
              <w:tc>
                <w:tcPr>
                  <w:tcW w:w="1433" w:type="dxa"/>
                  <w:noWrap w:val="0"/>
                  <w:vAlign w:val="center"/>
                </w:tcPr>
                <w:p w14:paraId="4BDF745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eastAsia" w:cs="Times New Roman"/>
                      <w:color w:val="000000"/>
                      <w:sz w:val="22"/>
                      <w:szCs w:val="22"/>
                      <w:lang w:val="en-US" w:eastAsia="zh-CN"/>
                    </w:rPr>
                    <w:t>大湖</w:t>
                  </w:r>
                </w:p>
              </w:tc>
              <w:tc>
                <w:tcPr>
                  <w:tcW w:w="1935" w:type="dxa"/>
                  <w:noWrap w:val="0"/>
                  <w:vAlign w:val="center"/>
                </w:tcPr>
                <w:p w14:paraId="4D8BEBA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bCs/>
                      <w:color w:val="000000"/>
                      <w:sz w:val="22"/>
                      <w:szCs w:val="22"/>
                    </w:rPr>
                    <w:t>《地表水环境质量标准》（GB3838-2008）中</w:t>
                  </w:r>
                  <w:r>
                    <w:rPr>
                      <w:rFonts w:hint="eastAsia" w:cs="Times New Roman"/>
                      <w:bCs/>
                      <w:color w:val="000000"/>
                      <w:sz w:val="22"/>
                      <w:szCs w:val="22"/>
                      <w:lang w:eastAsia="zh-CN"/>
                    </w:rPr>
                    <w:t>Ⅲ</w:t>
                  </w:r>
                  <w:r>
                    <w:rPr>
                      <w:rFonts w:hint="default" w:ascii="Times New Roman" w:hAnsi="Times New Roman" w:eastAsia="宋体" w:cs="Times New Roman"/>
                      <w:bCs/>
                      <w:color w:val="000000"/>
                      <w:sz w:val="22"/>
                      <w:szCs w:val="22"/>
                    </w:rPr>
                    <w:t>类标准</w:t>
                  </w:r>
                </w:p>
              </w:tc>
            </w:tr>
            <w:tr w14:paraId="18FE5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1110" w:type="dxa"/>
                  <w:vMerge w:val="restart"/>
                  <w:noWrap w:val="0"/>
                  <w:vAlign w:val="center"/>
                </w:tcPr>
                <w:p w14:paraId="0134031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声环境</w:t>
                  </w:r>
                </w:p>
              </w:tc>
              <w:tc>
                <w:tcPr>
                  <w:tcW w:w="1609" w:type="dxa"/>
                  <w:noWrap w:val="0"/>
                  <w:vAlign w:val="center"/>
                </w:tcPr>
                <w:p w14:paraId="3DEE562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刘集</w:t>
                  </w:r>
                </w:p>
              </w:tc>
              <w:tc>
                <w:tcPr>
                  <w:tcW w:w="1063" w:type="dxa"/>
                  <w:noWrap w:val="0"/>
                  <w:vAlign w:val="center"/>
                </w:tcPr>
                <w:p w14:paraId="4E99FE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SW</w:t>
                  </w:r>
                </w:p>
              </w:tc>
              <w:tc>
                <w:tcPr>
                  <w:tcW w:w="1695" w:type="dxa"/>
                  <w:noWrap w:val="0"/>
                  <w:vAlign w:val="center"/>
                </w:tcPr>
                <w:p w14:paraId="29565E6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33" w:type="dxa"/>
                  <w:noWrap w:val="0"/>
                  <w:vAlign w:val="center"/>
                </w:tcPr>
                <w:p w14:paraId="68FC27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村庄，30户</w:t>
                  </w:r>
                </w:p>
              </w:tc>
              <w:tc>
                <w:tcPr>
                  <w:tcW w:w="1935" w:type="dxa"/>
                  <w:vMerge w:val="restart"/>
                  <w:noWrap w:val="0"/>
                  <w:vAlign w:val="center"/>
                </w:tcPr>
                <w:p w14:paraId="278F033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《声环境质量标准》（GB3096-2008）中2类标准</w:t>
                  </w:r>
                </w:p>
              </w:tc>
            </w:tr>
            <w:tr w14:paraId="39715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10" w:type="dxa"/>
                  <w:vMerge w:val="continue"/>
                  <w:noWrap w:val="0"/>
                  <w:vAlign w:val="center"/>
                </w:tcPr>
                <w:p w14:paraId="19F4E51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609" w:type="dxa"/>
                  <w:noWrap w:val="0"/>
                  <w:vAlign w:val="center"/>
                </w:tcPr>
                <w:p w14:paraId="2A92F92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项目区</w:t>
                  </w:r>
                </w:p>
              </w:tc>
              <w:tc>
                <w:tcPr>
                  <w:tcW w:w="1063" w:type="dxa"/>
                  <w:noWrap w:val="0"/>
                  <w:vAlign w:val="center"/>
                </w:tcPr>
                <w:p w14:paraId="078E4F2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695" w:type="dxa"/>
                  <w:noWrap w:val="0"/>
                  <w:vAlign w:val="center"/>
                </w:tcPr>
                <w:p w14:paraId="4E1380B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433" w:type="dxa"/>
                  <w:noWrap w:val="0"/>
                  <w:vAlign w:val="center"/>
                </w:tcPr>
                <w:p w14:paraId="2CF4D0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w:t>
                  </w:r>
                </w:p>
              </w:tc>
              <w:tc>
                <w:tcPr>
                  <w:tcW w:w="1935" w:type="dxa"/>
                  <w:vMerge w:val="continue"/>
                  <w:noWrap w:val="0"/>
                  <w:vAlign w:val="center"/>
                </w:tcPr>
                <w:p w14:paraId="4EB78DF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bl>
          <w:p w14:paraId="0405DB5D">
            <w:pPr>
              <w:spacing w:line="360" w:lineRule="auto"/>
              <w:ind w:left="0" w:leftChars="0" w:firstLine="0" w:firstLineChars="0"/>
              <w:rPr>
                <w:rFonts w:hint="default" w:ascii="Times New Roman" w:hAnsi="Times New Roman" w:eastAsia="宋体" w:cs="Times New Roman"/>
                <w:b/>
                <w:color w:val="000000" w:themeColor="text1"/>
                <w:sz w:val="21"/>
                <w14:textFill>
                  <w14:solidFill>
                    <w14:schemeClr w14:val="tx1"/>
                  </w14:solidFill>
                </w14:textFill>
              </w:rPr>
            </w:pPr>
          </w:p>
        </w:tc>
      </w:tr>
      <w:tr w14:paraId="63E87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tcPr>
          <w:p w14:paraId="0FD67504">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调查重点</w:t>
            </w:r>
          </w:p>
          <w:p w14:paraId="196F0C99">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本项目调查验收重点主要放在项目建设内容，环境敏感目标，环境影响评价及环评批复要求的环境管理制度、环境保护措施落实情况及效果，项目建设过程中实际存在的环境问题，结合环评文件，调查重点如下：</w:t>
            </w:r>
          </w:p>
          <w:p w14:paraId="59D856A3">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（1）项目运行过程中造成的生态环境影响、大气环境影响、地表水环境影响、声环境影响。</w:t>
            </w:r>
          </w:p>
          <w:p w14:paraId="6EC20EE6">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（2）调查核实该项目实际工程内容与环评文件的变更情况。</w:t>
            </w:r>
          </w:p>
          <w:p w14:paraId="7BC85E5E">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（3）调查核实环境保护目标基本情况及变更情况。</w:t>
            </w:r>
          </w:p>
          <w:p w14:paraId="1A68EBBA">
            <w:pPr>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（4）调查项目环境影响报告表、审批意见及相关文件中提出的环保措施落实情况及效果、污染物排放达标情况。</w:t>
            </w:r>
          </w:p>
          <w:p w14:paraId="21234A88">
            <w:pPr>
              <w:pStyle w:val="22"/>
              <w:bidi w:val="0"/>
              <w:rPr>
                <w:rFonts w:hint="default" w:ascii="Times New Roman" w:hAnsi="Times New Roman" w:eastAsia="宋体" w:cs="Times New Roman"/>
                <w:color w:val="000000" w:themeColor="text1"/>
                <w14:textFill>
                  <w14:solidFill>
                    <w14:schemeClr w14:val="tx1"/>
                  </w14:solidFill>
                </w14:textFill>
              </w:rPr>
            </w:pPr>
          </w:p>
          <w:p w14:paraId="62D9B836">
            <w:pPr>
              <w:pStyle w:val="22"/>
              <w:bidi w:val="0"/>
              <w:rPr>
                <w:rFonts w:hint="default" w:ascii="Times New Roman" w:hAnsi="Times New Roman" w:eastAsia="宋体" w:cs="Times New Roman"/>
                <w:color w:val="000000" w:themeColor="text1"/>
                <w14:textFill>
                  <w14:solidFill>
                    <w14:schemeClr w14:val="tx1"/>
                  </w14:solidFill>
                </w14:textFill>
              </w:rPr>
            </w:pPr>
          </w:p>
          <w:p w14:paraId="55748F26">
            <w:pPr>
              <w:pStyle w:val="22"/>
              <w:bidi w:val="0"/>
              <w:rPr>
                <w:rFonts w:hint="default" w:ascii="Times New Roman" w:hAnsi="Times New Roman" w:eastAsia="宋体" w:cs="Times New Roman"/>
                <w:color w:val="000000" w:themeColor="text1"/>
                <w14:textFill>
                  <w14:solidFill>
                    <w14:schemeClr w14:val="tx1"/>
                  </w14:solidFill>
                </w14:textFill>
              </w:rPr>
            </w:pPr>
          </w:p>
          <w:p w14:paraId="16249844">
            <w:pPr>
              <w:pStyle w:val="22"/>
              <w:bidi w:val="0"/>
              <w:rPr>
                <w:rFonts w:hint="default" w:ascii="Times New Roman" w:hAnsi="Times New Roman" w:eastAsia="宋体" w:cs="Times New Roman"/>
                <w:color w:val="000000" w:themeColor="text1"/>
                <w14:textFill>
                  <w14:solidFill>
                    <w14:schemeClr w14:val="tx1"/>
                  </w14:solidFill>
                </w14:textFill>
              </w:rPr>
            </w:pPr>
          </w:p>
          <w:p w14:paraId="3BF94686">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bl>
    <w:p w14:paraId="36F6D276">
      <w:pPr>
        <w:rPr>
          <w:rFonts w:hint="default" w:ascii="Times New Roman" w:hAnsi="Times New Roman" w:eastAsia="宋体" w:cs="Times New Roman"/>
          <w:color w:val="000000" w:themeColor="text1"/>
          <w14:textFill>
            <w14:solidFill>
              <w14:schemeClr w14:val="tx1"/>
            </w14:solidFill>
          </w14:textFill>
        </w:rPr>
      </w:pPr>
    </w:p>
    <w:p w14:paraId="172536E7">
      <w:pPr>
        <w:spacing w:after="0" w:line="348" w:lineRule="auto"/>
        <w:rPr>
          <w:rFonts w:hint="default" w:ascii="Times New Roman" w:hAnsi="Times New Roman" w:eastAsia="宋体" w:cs="Times New Roman"/>
          <w:color w:val="000000" w:themeColor="text1"/>
          <w:sz w:val="21"/>
          <w14:textFill>
            <w14:solidFill>
              <w14:schemeClr w14:val="tx1"/>
            </w14:solidFill>
          </w14:textFill>
        </w:rPr>
        <w:sectPr>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077397D6">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表3</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验收执行标准</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6"/>
      </w:tblGrid>
      <w:tr w14:paraId="3ABCF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153" w:hRule="atLeast"/>
        </w:trPr>
        <w:tc>
          <w:tcPr>
            <w:tcW w:w="5000" w:type="pct"/>
          </w:tcPr>
          <w:p w14:paraId="2D29986E">
            <w:pPr>
              <w:spacing w:line="360" w:lineRule="auto"/>
              <w:ind w:left="0" w:leftChars="0" w:firstLine="0" w:firstLineChars="0"/>
              <w:rPr>
                <w:rFonts w:hint="default" w:ascii="Times New Roman" w:hAnsi="Times New Roman" w:eastAsia="宋体" w:cs="Times New Roman"/>
                <w:b/>
                <w:color w:val="000000"/>
                <w:sz w:val="24"/>
                <w:lang w:val="en-US" w:eastAsia="zh-CN"/>
              </w:rPr>
            </w:pPr>
            <w:r>
              <w:rPr>
                <w:rFonts w:hint="eastAsia" w:cs="Times New Roman"/>
                <w:b/>
                <w:color w:val="000000"/>
                <w:sz w:val="24"/>
                <w:lang w:val="en-US" w:eastAsia="zh-CN"/>
              </w:rPr>
              <w:t>环境质量标准</w:t>
            </w:r>
          </w:p>
          <w:p w14:paraId="3A987EB7">
            <w:pPr>
              <w:spacing w:line="360" w:lineRule="auto"/>
              <w:ind w:firstLine="472" w:firstLineChars="196"/>
              <w:rPr>
                <w:rFonts w:hint="default" w:ascii="Times New Roman" w:hAnsi="Times New Roman" w:eastAsia="宋体" w:cs="Times New Roman"/>
                <w:b/>
                <w:color w:val="000000"/>
                <w:sz w:val="24"/>
              </w:rPr>
            </w:pPr>
            <w:r>
              <w:rPr>
                <w:rFonts w:hint="default" w:ascii="Times New Roman" w:hAnsi="Times New Roman" w:eastAsia="宋体" w:cs="Times New Roman"/>
                <w:b/>
                <w:color w:val="000000"/>
                <w:sz w:val="24"/>
              </w:rPr>
              <w:t>1、地表水环境质量标准</w:t>
            </w:r>
          </w:p>
          <w:p w14:paraId="7EC3F252">
            <w:pPr>
              <w:spacing w:line="480" w:lineRule="exact"/>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szCs w:val="24"/>
              </w:rPr>
              <w:t>城西湖沣南湖区水</w:t>
            </w:r>
            <w:r>
              <w:rPr>
                <w:rFonts w:hint="default" w:ascii="Times New Roman" w:hAnsi="Times New Roman" w:eastAsia="宋体" w:cs="Times New Roman"/>
                <w:sz w:val="24"/>
              </w:rPr>
              <w:t>环境质量执行《地表水环境质量标准》（GB3838-2002）中Ⅲ类标准限值。</w:t>
            </w:r>
          </w:p>
          <w:p w14:paraId="3F1FE00A">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表3-1 《地表水环境质量标准》（GB3838-2002） 单位：mg/L，pH无量纲</w:t>
            </w:r>
          </w:p>
          <w:tbl>
            <w:tblPr>
              <w:tblStyle w:val="16"/>
              <w:tblW w:w="87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3"/>
              <w:gridCol w:w="765"/>
              <w:gridCol w:w="1719"/>
              <w:gridCol w:w="895"/>
              <w:gridCol w:w="1127"/>
              <w:gridCol w:w="1127"/>
              <w:gridCol w:w="1122"/>
            </w:tblGrid>
            <w:tr w14:paraId="04BD6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963" w:type="dxa"/>
                  <w:tcBorders>
                    <w:top w:val="single" w:color="auto" w:sz="4" w:space="0"/>
                    <w:left w:val="single" w:color="auto" w:sz="4" w:space="0"/>
                    <w:bottom w:val="single" w:color="auto" w:sz="4" w:space="0"/>
                    <w:right w:val="single" w:color="auto" w:sz="4" w:space="0"/>
                  </w:tcBorders>
                  <w:noWrap w:val="0"/>
                  <w:vAlign w:val="center"/>
                </w:tcPr>
                <w:p w14:paraId="158319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指标名称</w:t>
                  </w:r>
                </w:p>
              </w:tc>
              <w:tc>
                <w:tcPr>
                  <w:tcW w:w="765" w:type="dxa"/>
                  <w:tcBorders>
                    <w:top w:val="single" w:color="auto" w:sz="4" w:space="0"/>
                    <w:left w:val="single" w:color="auto" w:sz="4" w:space="0"/>
                    <w:bottom w:val="single" w:color="auto" w:sz="4" w:space="0"/>
                    <w:right w:val="single" w:color="auto" w:sz="4" w:space="0"/>
                  </w:tcBorders>
                  <w:noWrap w:val="0"/>
                  <w:vAlign w:val="center"/>
                </w:tcPr>
                <w:p w14:paraId="6212AD4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pH</w:t>
                  </w:r>
                </w:p>
              </w:tc>
              <w:tc>
                <w:tcPr>
                  <w:tcW w:w="1719" w:type="dxa"/>
                  <w:tcBorders>
                    <w:top w:val="single" w:color="auto" w:sz="4" w:space="0"/>
                    <w:left w:val="single" w:color="auto" w:sz="4" w:space="0"/>
                    <w:bottom w:val="single" w:color="auto" w:sz="4" w:space="0"/>
                    <w:right w:val="single" w:color="auto" w:sz="4" w:space="0"/>
                  </w:tcBorders>
                  <w:noWrap w:val="0"/>
                  <w:vAlign w:val="center"/>
                </w:tcPr>
                <w:p w14:paraId="0CF2AC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高锰酸盐指数</w:t>
                  </w:r>
                </w:p>
              </w:tc>
              <w:tc>
                <w:tcPr>
                  <w:tcW w:w="895" w:type="dxa"/>
                  <w:tcBorders>
                    <w:top w:val="single" w:color="auto" w:sz="4" w:space="0"/>
                    <w:left w:val="single" w:color="auto" w:sz="4" w:space="0"/>
                    <w:bottom w:val="single" w:color="auto" w:sz="4" w:space="0"/>
                    <w:right w:val="single" w:color="auto" w:sz="4" w:space="0"/>
                  </w:tcBorders>
                  <w:noWrap w:val="0"/>
                  <w:vAlign w:val="center"/>
                </w:tcPr>
                <w:p w14:paraId="2658595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氨氮</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2ECD928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总磷</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0C4A61C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COD</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63B3C7D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BOD</w:t>
                  </w:r>
                  <w:r>
                    <w:rPr>
                      <w:rFonts w:hint="default" w:ascii="Times New Roman" w:hAnsi="Times New Roman" w:eastAsia="宋体" w:cs="Times New Roman"/>
                      <w:sz w:val="22"/>
                      <w:szCs w:val="22"/>
                      <w:vertAlign w:val="subscript"/>
                    </w:rPr>
                    <w:t>5</w:t>
                  </w:r>
                </w:p>
              </w:tc>
            </w:tr>
            <w:tr w14:paraId="4913E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963" w:type="dxa"/>
                  <w:tcBorders>
                    <w:top w:val="single" w:color="auto" w:sz="4" w:space="0"/>
                    <w:left w:val="single" w:color="auto" w:sz="4" w:space="0"/>
                    <w:bottom w:val="single" w:color="auto" w:sz="4" w:space="0"/>
                    <w:right w:val="single" w:color="auto" w:sz="4" w:space="0"/>
                  </w:tcBorders>
                  <w:noWrap w:val="0"/>
                  <w:vAlign w:val="center"/>
                </w:tcPr>
                <w:p w14:paraId="7306F98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Ⅲ类标准限值</w:t>
                  </w:r>
                </w:p>
              </w:tc>
              <w:tc>
                <w:tcPr>
                  <w:tcW w:w="765" w:type="dxa"/>
                  <w:tcBorders>
                    <w:top w:val="single" w:color="auto" w:sz="4" w:space="0"/>
                    <w:left w:val="single" w:color="auto" w:sz="4" w:space="0"/>
                    <w:bottom w:val="single" w:color="auto" w:sz="4" w:space="0"/>
                    <w:right w:val="single" w:color="auto" w:sz="4" w:space="0"/>
                  </w:tcBorders>
                  <w:noWrap w:val="0"/>
                  <w:vAlign w:val="center"/>
                </w:tcPr>
                <w:p w14:paraId="33E054E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6～9</w:t>
                  </w:r>
                </w:p>
              </w:tc>
              <w:tc>
                <w:tcPr>
                  <w:tcW w:w="1719" w:type="dxa"/>
                  <w:tcBorders>
                    <w:top w:val="single" w:color="auto" w:sz="4" w:space="0"/>
                    <w:left w:val="single" w:color="auto" w:sz="4" w:space="0"/>
                    <w:bottom w:val="single" w:color="auto" w:sz="4" w:space="0"/>
                    <w:right w:val="single" w:color="auto" w:sz="4" w:space="0"/>
                  </w:tcBorders>
                  <w:noWrap w:val="0"/>
                  <w:vAlign w:val="center"/>
                </w:tcPr>
                <w:p w14:paraId="6D9349E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≤6</w:t>
                  </w:r>
                </w:p>
              </w:tc>
              <w:tc>
                <w:tcPr>
                  <w:tcW w:w="895" w:type="dxa"/>
                  <w:tcBorders>
                    <w:top w:val="single" w:color="auto" w:sz="4" w:space="0"/>
                    <w:left w:val="single" w:color="auto" w:sz="4" w:space="0"/>
                    <w:bottom w:val="single" w:color="auto" w:sz="4" w:space="0"/>
                    <w:right w:val="single" w:color="auto" w:sz="4" w:space="0"/>
                  </w:tcBorders>
                  <w:noWrap w:val="0"/>
                  <w:vAlign w:val="center"/>
                </w:tcPr>
                <w:p w14:paraId="3AEA973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≤1.0</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65C8E80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≤0.05</w:t>
                  </w:r>
                </w:p>
              </w:tc>
              <w:tc>
                <w:tcPr>
                  <w:tcW w:w="1127" w:type="dxa"/>
                  <w:tcBorders>
                    <w:top w:val="single" w:color="auto" w:sz="4" w:space="0"/>
                    <w:left w:val="single" w:color="auto" w:sz="4" w:space="0"/>
                    <w:bottom w:val="single" w:color="auto" w:sz="4" w:space="0"/>
                    <w:right w:val="single" w:color="auto" w:sz="4" w:space="0"/>
                  </w:tcBorders>
                  <w:noWrap w:val="0"/>
                  <w:vAlign w:val="center"/>
                </w:tcPr>
                <w:p w14:paraId="1FEC8AA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≤20</w:t>
                  </w:r>
                </w:p>
              </w:tc>
              <w:tc>
                <w:tcPr>
                  <w:tcW w:w="1122" w:type="dxa"/>
                  <w:tcBorders>
                    <w:top w:val="single" w:color="auto" w:sz="4" w:space="0"/>
                    <w:left w:val="single" w:color="auto" w:sz="4" w:space="0"/>
                    <w:bottom w:val="single" w:color="auto" w:sz="4" w:space="0"/>
                    <w:right w:val="single" w:color="auto" w:sz="4" w:space="0"/>
                  </w:tcBorders>
                  <w:noWrap w:val="0"/>
                  <w:vAlign w:val="center"/>
                </w:tcPr>
                <w:p w14:paraId="050912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sz w:val="22"/>
                      <w:szCs w:val="22"/>
                    </w:rPr>
                  </w:pPr>
                  <w:r>
                    <w:rPr>
                      <w:rFonts w:hint="default" w:ascii="Times New Roman" w:hAnsi="Times New Roman" w:eastAsia="宋体" w:cs="Times New Roman"/>
                      <w:sz w:val="22"/>
                      <w:szCs w:val="22"/>
                    </w:rPr>
                    <w:t>≤4</w:t>
                  </w:r>
                </w:p>
              </w:tc>
            </w:tr>
          </w:tbl>
          <w:p w14:paraId="4EFAD16A">
            <w:pPr>
              <w:spacing w:line="360" w:lineRule="auto"/>
              <w:ind w:firstLine="472" w:firstLineChars="196"/>
              <w:rPr>
                <w:rFonts w:hint="default" w:ascii="Times New Roman" w:hAnsi="Times New Roman" w:eastAsia="宋体" w:cs="Times New Roman"/>
                <w:b/>
                <w:color w:val="000000"/>
                <w:sz w:val="24"/>
                <w:szCs w:val="18"/>
              </w:rPr>
            </w:pPr>
          </w:p>
          <w:p w14:paraId="65F83928">
            <w:pPr>
              <w:spacing w:line="360" w:lineRule="auto"/>
              <w:ind w:firstLine="472" w:firstLineChars="196"/>
              <w:rPr>
                <w:rFonts w:hint="default" w:ascii="Times New Roman" w:hAnsi="Times New Roman" w:eastAsia="宋体" w:cs="Times New Roman"/>
                <w:b/>
                <w:color w:val="000000"/>
                <w:sz w:val="24"/>
                <w:szCs w:val="18"/>
              </w:rPr>
            </w:pPr>
            <w:r>
              <w:rPr>
                <w:rFonts w:hint="default" w:ascii="Times New Roman" w:hAnsi="Times New Roman" w:eastAsia="宋体" w:cs="Times New Roman"/>
                <w:b/>
                <w:color w:val="000000"/>
                <w:sz w:val="24"/>
                <w:szCs w:val="18"/>
              </w:rPr>
              <w:t>2、环境空气质量标准</w:t>
            </w:r>
          </w:p>
          <w:p w14:paraId="1544196A">
            <w:pPr>
              <w:spacing w:line="360" w:lineRule="auto"/>
              <w:ind w:firstLine="480" w:firstLineChars="200"/>
              <w:rPr>
                <w:rFonts w:hint="default" w:ascii="Times New Roman" w:hAnsi="Times New Roman" w:eastAsia="宋体" w:cs="Times New Roman"/>
                <w:b/>
                <w:color w:val="000000"/>
                <w:sz w:val="24"/>
                <w:szCs w:val="18"/>
              </w:rPr>
            </w:pPr>
            <w:r>
              <w:rPr>
                <w:rFonts w:hint="default" w:ascii="Times New Roman" w:hAnsi="Times New Roman" w:eastAsia="宋体" w:cs="Times New Roman"/>
                <w:bCs/>
                <w:color w:val="000000"/>
                <w:sz w:val="24"/>
                <w:szCs w:val="24"/>
              </w:rPr>
              <w:t>项目区域环境空气执行《环境空气质量标准》（GB3095-2012）中二级标准限值。其标准限值见表</w:t>
            </w:r>
            <w:r>
              <w:rPr>
                <w:rFonts w:hint="default" w:ascii="Times New Roman" w:hAnsi="Times New Roman" w:eastAsia="宋体" w:cs="Times New Roman"/>
                <w:bCs/>
                <w:color w:val="000000"/>
                <w:sz w:val="24"/>
                <w:szCs w:val="24"/>
                <w:lang w:val="en-US" w:eastAsia="zh-CN"/>
              </w:rPr>
              <w:t>3-</w:t>
            </w:r>
            <w:r>
              <w:rPr>
                <w:rFonts w:hint="default" w:ascii="Times New Roman" w:hAnsi="Times New Roman" w:eastAsia="宋体" w:cs="Times New Roman"/>
                <w:bCs/>
                <w:color w:val="000000"/>
                <w:sz w:val="24"/>
                <w:szCs w:val="24"/>
              </w:rPr>
              <w:t>2。</w:t>
            </w:r>
          </w:p>
          <w:p w14:paraId="543AB548">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表3-2  环境空气质量标准 单位：µg /m³</w:t>
            </w:r>
          </w:p>
          <w:tbl>
            <w:tblPr>
              <w:tblStyle w:val="16"/>
              <w:tblW w:w="86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1323"/>
              <w:gridCol w:w="802"/>
              <w:gridCol w:w="784"/>
              <w:gridCol w:w="821"/>
              <w:gridCol w:w="847"/>
              <w:gridCol w:w="772"/>
              <w:gridCol w:w="983"/>
              <w:gridCol w:w="977"/>
            </w:tblGrid>
            <w:tr w14:paraId="7A9EE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2710" w:type="dxa"/>
                  <w:gridSpan w:val="2"/>
                  <w:noWrap w:val="0"/>
                  <w:vAlign w:val="center"/>
                </w:tcPr>
                <w:p w14:paraId="118069E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污染物名称</w:t>
                  </w:r>
                </w:p>
              </w:tc>
              <w:tc>
                <w:tcPr>
                  <w:tcW w:w="802" w:type="dxa"/>
                  <w:noWrap w:val="0"/>
                  <w:vAlign w:val="center"/>
                </w:tcPr>
                <w:p w14:paraId="782F4AC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PM</w:t>
                  </w:r>
                  <w:r>
                    <w:rPr>
                      <w:rFonts w:hint="default" w:ascii="Times New Roman" w:hAnsi="Times New Roman" w:eastAsia="宋体" w:cs="Times New Roman"/>
                      <w:bCs/>
                      <w:color w:val="000000"/>
                      <w:sz w:val="21"/>
                      <w:szCs w:val="21"/>
                      <w:vertAlign w:val="subscript"/>
                    </w:rPr>
                    <w:t>10</w:t>
                  </w:r>
                </w:p>
              </w:tc>
              <w:tc>
                <w:tcPr>
                  <w:tcW w:w="784" w:type="dxa"/>
                  <w:noWrap w:val="0"/>
                  <w:vAlign w:val="center"/>
                </w:tcPr>
                <w:p w14:paraId="772A2E2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w w:val="105"/>
                      <w:position w:val="2"/>
                      <w:sz w:val="21"/>
                      <w:szCs w:val="21"/>
                      <w:highlight w:val="none"/>
                      <w:lang w:val="en-US" w:eastAsia="en-US" w:bidi="ar-SA"/>
                    </w:rPr>
                    <w:t>PM</w:t>
                  </w:r>
                  <w:r>
                    <w:rPr>
                      <w:rFonts w:hint="default" w:ascii="Times New Roman" w:hAnsi="Times New Roman" w:eastAsia="宋体" w:cs="Times New Roman"/>
                      <w:color w:val="auto"/>
                      <w:w w:val="105"/>
                      <w:sz w:val="21"/>
                      <w:szCs w:val="21"/>
                      <w:highlight w:val="none"/>
                      <w:vertAlign w:val="subscript"/>
                      <w:lang w:val="en-US" w:eastAsia="en-US" w:bidi="ar-SA"/>
                    </w:rPr>
                    <w:t>2.5</w:t>
                  </w:r>
                </w:p>
              </w:tc>
              <w:tc>
                <w:tcPr>
                  <w:tcW w:w="821" w:type="dxa"/>
                  <w:noWrap w:val="0"/>
                  <w:vAlign w:val="center"/>
                </w:tcPr>
                <w:p w14:paraId="31667E3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w w:val="105"/>
                      <w:position w:val="2"/>
                      <w:sz w:val="21"/>
                      <w:szCs w:val="21"/>
                      <w:highlight w:val="none"/>
                      <w:lang w:val="en-US" w:eastAsia="zh-CN" w:bidi="ar-SA"/>
                    </w:rPr>
                    <w:t>CO</w:t>
                  </w:r>
                </w:p>
              </w:tc>
              <w:tc>
                <w:tcPr>
                  <w:tcW w:w="847" w:type="dxa"/>
                  <w:noWrap w:val="0"/>
                  <w:vAlign w:val="center"/>
                </w:tcPr>
                <w:p w14:paraId="4E3352E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position w:val="2"/>
                      <w:sz w:val="21"/>
                      <w:szCs w:val="21"/>
                      <w:highlight w:val="none"/>
                      <w:lang w:val="en-US" w:eastAsia="en-US" w:bidi="ar-SA"/>
                    </w:rPr>
                    <w:t>O</w:t>
                  </w:r>
                  <w:r>
                    <w:rPr>
                      <w:rFonts w:hint="default" w:ascii="Times New Roman" w:hAnsi="Times New Roman" w:eastAsia="宋体" w:cs="Times New Roman"/>
                      <w:color w:val="auto"/>
                      <w:position w:val="2"/>
                      <w:sz w:val="21"/>
                      <w:szCs w:val="21"/>
                      <w:highlight w:val="none"/>
                      <w:vertAlign w:val="subscript"/>
                      <w:lang w:val="en-US" w:eastAsia="en-US" w:bidi="ar-SA"/>
                    </w:rPr>
                    <w:t>3</w:t>
                  </w:r>
                </w:p>
              </w:tc>
              <w:tc>
                <w:tcPr>
                  <w:tcW w:w="772" w:type="dxa"/>
                  <w:noWrap w:val="0"/>
                  <w:vAlign w:val="center"/>
                </w:tcPr>
                <w:p w14:paraId="48881B7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TSP</w:t>
                  </w:r>
                </w:p>
              </w:tc>
              <w:tc>
                <w:tcPr>
                  <w:tcW w:w="983" w:type="dxa"/>
                  <w:noWrap w:val="0"/>
                  <w:vAlign w:val="center"/>
                </w:tcPr>
                <w:p w14:paraId="676FBAE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NO</w:t>
                  </w:r>
                  <w:r>
                    <w:rPr>
                      <w:rFonts w:hint="default" w:ascii="Times New Roman" w:hAnsi="Times New Roman" w:eastAsia="宋体" w:cs="Times New Roman"/>
                      <w:bCs/>
                      <w:color w:val="000000"/>
                      <w:sz w:val="21"/>
                      <w:szCs w:val="21"/>
                      <w:vertAlign w:val="subscript"/>
                    </w:rPr>
                    <w:t>2</w:t>
                  </w:r>
                </w:p>
              </w:tc>
              <w:tc>
                <w:tcPr>
                  <w:tcW w:w="977" w:type="dxa"/>
                  <w:noWrap w:val="0"/>
                  <w:vAlign w:val="center"/>
                </w:tcPr>
                <w:p w14:paraId="2C53FD6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SO</w:t>
                  </w:r>
                  <w:r>
                    <w:rPr>
                      <w:rFonts w:hint="default" w:ascii="Times New Roman" w:hAnsi="Times New Roman" w:eastAsia="宋体" w:cs="Times New Roman"/>
                      <w:bCs/>
                      <w:color w:val="000000"/>
                      <w:sz w:val="21"/>
                      <w:szCs w:val="21"/>
                      <w:vertAlign w:val="subscript"/>
                    </w:rPr>
                    <w:t>2</w:t>
                  </w:r>
                </w:p>
              </w:tc>
            </w:tr>
            <w:tr w14:paraId="7E678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restart"/>
                  <w:noWrap w:val="0"/>
                  <w:vAlign w:val="center"/>
                </w:tcPr>
                <w:p w14:paraId="3EFF048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（GB3095-2012）二级标准</w:t>
                  </w:r>
                </w:p>
              </w:tc>
              <w:tc>
                <w:tcPr>
                  <w:tcW w:w="1323" w:type="dxa"/>
                  <w:noWrap w:val="0"/>
                  <w:vAlign w:val="center"/>
                </w:tcPr>
                <w:p w14:paraId="73CA84E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年平均</w:t>
                  </w:r>
                </w:p>
              </w:tc>
              <w:tc>
                <w:tcPr>
                  <w:tcW w:w="802" w:type="dxa"/>
                  <w:noWrap w:val="0"/>
                  <w:vAlign w:val="center"/>
                </w:tcPr>
                <w:p w14:paraId="1493AA7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70</w:t>
                  </w:r>
                </w:p>
              </w:tc>
              <w:tc>
                <w:tcPr>
                  <w:tcW w:w="784" w:type="dxa"/>
                  <w:noWrap w:val="0"/>
                  <w:vAlign w:val="center"/>
                </w:tcPr>
                <w:p w14:paraId="06564E5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35</w:t>
                  </w:r>
                </w:p>
              </w:tc>
              <w:tc>
                <w:tcPr>
                  <w:tcW w:w="821" w:type="dxa"/>
                  <w:noWrap w:val="0"/>
                  <w:vAlign w:val="center"/>
                </w:tcPr>
                <w:p w14:paraId="73D7E5C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847" w:type="dxa"/>
                  <w:noWrap w:val="0"/>
                  <w:vAlign w:val="center"/>
                </w:tcPr>
                <w:p w14:paraId="0BA8C3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772" w:type="dxa"/>
                  <w:noWrap w:val="0"/>
                  <w:vAlign w:val="center"/>
                </w:tcPr>
                <w:p w14:paraId="1AA022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200</w:t>
                  </w:r>
                </w:p>
              </w:tc>
              <w:tc>
                <w:tcPr>
                  <w:tcW w:w="983" w:type="dxa"/>
                  <w:noWrap w:val="0"/>
                  <w:vAlign w:val="center"/>
                </w:tcPr>
                <w:p w14:paraId="3323932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40</w:t>
                  </w:r>
                </w:p>
              </w:tc>
              <w:tc>
                <w:tcPr>
                  <w:tcW w:w="977" w:type="dxa"/>
                  <w:noWrap w:val="0"/>
                  <w:vAlign w:val="center"/>
                </w:tcPr>
                <w:p w14:paraId="3B69557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60</w:t>
                  </w:r>
                </w:p>
              </w:tc>
            </w:tr>
            <w:tr w14:paraId="73019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continue"/>
                  <w:noWrap w:val="0"/>
                  <w:vAlign w:val="center"/>
                </w:tcPr>
                <w:p w14:paraId="62A714C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p>
              </w:tc>
              <w:tc>
                <w:tcPr>
                  <w:tcW w:w="1323" w:type="dxa"/>
                  <w:noWrap w:val="0"/>
                  <w:vAlign w:val="center"/>
                </w:tcPr>
                <w:p w14:paraId="5EEDAA8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24小时平均</w:t>
                  </w:r>
                </w:p>
              </w:tc>
              <w:tc>
                <w:tcPr>
                  <w:tcW w:w="802" w:type="dxa"/>
                  <w:noWrap w:val="0"/>
                  <w:vAlign w:val="center"/>
                </w:tcPr>
                <w:p w14:paraId="2A5562B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150</w:t>
                  </w:r>
                </w:p>
              </w:tc>
              <w:tc>
                <w:tcPr>
                  <w:tcW w:w="784" w:type="dxa"/>
                  <w:noWrap w:val="0"/>
                  <w:vAlign w:val="center"/>
                </w:tcPr>
                <w:p w14:paraId="5619D9D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75</w:t>
                  </w:r>
                </w:p>
              </w:tc>
              <w:tc>
                <w:tcPr>
                  <w:tcW w:w="821" w:type="dxa"/>
                  <w:noWrap w:val="0"/>
                  <w:vAlign w:val="center"/>
                </w:tcPr>
                <w:p w14:paraId="5213418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4000</w:t>
                  </w:r>
                </w:p>
              </w:tc>
              <w:tc>
                <w:tcPr>
                  <w:tcW w:w="847" w:type="dxa"/>
                  <w:noWrap w:val="0"/>
                  <w:vAlign w:val="center"/>
                </w:tcPr>
                <w:p w14:paraId="71C3A14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color w:val="auto"/>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en-US" w:bidi="ar-SA"/>
                    </w:rPr>
                    <w:t>60</w:t>
                  </w:r>
                </w:p>
              </w:tc>
              <w:tc>
                <w:tcPr>
                  <w:tcW w:w="772" w:type="dxa"/>
                  <w:noWrap w:val="0"/>
                  <w:vAlign w:val="center"/>
                </w:tcPr>
                <w:p w14:paraId="3813FA7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300</w:t>
                  </w:r>
                </w:p>
              </w:tc>
              <w:tc>
                <w:tcPr>
                  <w:tcW w:w="983" w:type="dxa"/>
                  <w:noWrap w:val="0"/>
                  <w:vAlign w:val="center"/>
                </w:tcPr>
                <w:p w14:paraId="031E3C5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80</w:t>
                  </w:r>
                </w:p>
              </w:tc>
              <w:tc>
                <w:tcPr>
                  <w:tcW w:w="977" w:type="dxa"/>
                  <w:noWrap w:val="0"/>
                  <w:vAlign w:val="center"/>
                </w:tcPr>
                <w:p w14:paraId="0700FFF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150</w:t>
                  </w:r>
                </w:p>
              </w:tc>
            </w:tr>
            <w:tr w14:paraId="24E0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387" w:type="dxa"/>
                  <w:vMerge w:val="continue"/>
                  <w:noWrap w:val="0"/>
                  <w:vAlign w:val="center"/>
                </w:tcPr>
                <w:p w14:paraId="774D420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p>
              </w:tc>
              <w:tc>
                <w:tcPr>
                  <w:tcW w:w="1323" w:type="dxa"/>
                  <w:noWrap w:val="0"/>
                  <w:vAlign w:val="center"/>
                </w:tcPr>
                <w:p w14:paraId="7F1743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1小时平均</w:t>
                  </w:r>
                </w:p>
              </w:tc>
              <w:tc>
                <w:tcPr>
                  <w:tcW w:w="802" w:type="dxa"/>
                  <w:noWrap w:val="0"/>
                  <w:vAlign w:val="center"/>
                </w:tcPr>
                <w:p w14:paraId="08545D4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250</w:t>
                  </w:r>
                </w:p>
              </w:tc>
              <w:tc>
                <w:tcPr>
                  <w:tcW w:w="784" w:type="dxa"/>
                  <w:noWrap w:val="0"/>
                  <w:vAlign w:val="center"/>
                </w:tcPr>
                <w:p w14:paraId="5F2A5FC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w:t>
                  </w:r>
                </w:p>
              </w:tc>
              <w:tc>
                <w:tcPr>
                  <w:tcW w:w="821" w:type="dxa"/>
                  <w:noWrap w:val="0"/>
                  <w:vAlign w:val="center"/>
                </w:tcPr>
                <w:p w14:paraId="473D8DC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10000</w:t>
                  </w:r>
                </w:p>
              </w:tc>
              <w:tc>
                <w:tcPr>
                  <w:tcW w:w="847" w:type="dxa"/>
                  <w:noWrap w:val="0"/>
                  <w:vAlign w:val="center"/>
                </w:tcPr>
                <w:p w14:paraId="387717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lang w:val="en-US" w:eastAsia="zh-CN"/>
                    </w:rPr>
                  </w:pPr>
                  <w:r>
                    <w:rPr>
                      <w:rFonts w:hint="default" w:ascii="Times New Roman" w:hAnsi="Times New Roman" w:eastAsia="宋体" w:cs="Times New Roman"/>
                      <w:bCs/>
                      <w:color w:val="000000"/>
                      <w:sz w:val="21"/>
                      <w:szCs w:val="21"/>
                      <w:lang w:val="en-US" w:eastAsia="zh-CN"/>
                    </w:rPr>
                    <w:t>200</w:t>
                  </w:r>
                </w:p>
              </w:tc>
              <w:tc>
                <w:tcPr>
                  <w:tcW w:w="772" w:type="dxa"/>
                  <w:noWrap w:val="0"/>
                  <w:vAlign w:val="center"/>
                </w:tcPr>
                <w:p w14:paraId="063CDA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w:t>
                  </w:r>
                </w:p>
              </w:tc>
              <w:tc>
                <w:tcPr>
                  <w:tcW w:w="983" w:type="dxa"/>
                  <w:noWrap w:val="0"/>
                  <w:vAlign w:val="center"/>
                </w:tcPr>
                <w:p w14:paraId="11A1D86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rPr>
                    <w:t>200</w:t>
                  </w:r>
                </w:p>
              </w:tc>
              <w:tc>
                <w:tcPr>
                  <w:tcW w:w="977" w:type="dxa"/>
                  <w:noWrap w:val="0"/>
                  <w:vAlign w:val="center"/>
                </w:tcPr>
                <w:p w14:paraId="65D55F6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1"/>
                      <w:szCs w:val="21"/>
                    </w:rPr>
                  </w:pPr>
                  <w:r>
                    <w:rPr>
                      <w:rFonts w:hint="default" w:ascii="Times New Roman" w:hAnsi="Times New Roman" w:eastAsia="宋体" w:cs="Times New Roman"/>
                      <w:bCs/>
                      <w:color w:val="000000"/>
                      <w:sz w:val="21"/>
                      <w:szCs w:val="21"/>
                      <w:lang w:val="en-US" w:eastAsia="zh-CN"/>
                    </w:rPr>
                    <w:t>5</w:t>
                  </w:r>
                  <w:r>
                    <w:rPr>
                      <w:rFonts w:hint="default" w:ascii="Times New Roman" w:hAnsi="Times New Roman" w:eastAsia="宋体" w:cs="Times New Roman"/>
                      <w:bCs/>
                      <w:color w:val="000000"/>
                      <w:sz w:val="21"/>
                      <w:szCs w:val="21"/>
                    </w:rPr>
                    <w:t>00</w:t>
                  </w:r>
                </w:p>
              </w:tc>
            </w:tr>
          </w:tbl>
          <w:p w14:paraId="6935A405">
            <w:pPr>
              <w:spacing w:line="360" w:lineRule="auto"/>
              <w:ind w:firstLine="482" w:firstLineChars="200"/>
              <w:rPr>
                <w:rFonts w:hint="default" w:ascii="Times New Roman" w:hAnsi="Times New Roman" w:eastAsia="宋体" w:cs="Times New Roman"/>
                <w:b/>
                <w:color w:val="000000"/>
                <w:sz w:val="24"/>
                <w:szCs w:val="18"/>
              </w:rPr>
            </w:pPr>
          </w:p>
          <w:p w14:paraId="0A6BD219">
            <w:pPr>
              <w:spacing w:line="360" w:lineRule="auto"/>
              <w:ind w:firstLine="482" w:firstLineChars="200"/>
              <w:rPr>
                <w:rFonts w:hint="default" w:ascii="Times New Roman" w:hAnsi="Times New Roman" w:eastAsia="宋体" w:cs="Times New Roman"/>
                <w:b/>
                <w:color w:val="000000"/>
                <w:sz w:val="24"/>
                <w:szCs w:val="18"/>
              </w:rPr>
            </w:pPr>
            <w:r>
              <w:rPr>
                <w:rFonts w:hint="default" w:ascii="Times New Roman" w:hAnsi="Times New Roman" w:eastAsia="宋体" w:cs="Times New Roman"/>
                <w:b/>
                <w:color w:val="000000"/>
                <w:sz w:val="24"/>
                <w:szCs w:val="18"/>
              </w:rPr>
              <w:t>3、声环境质量标准</w:t>
            </w:r>
          </w:p>
          <w:p w14:paraId="4BFB80E1">
            <w:pPr>
              <w:spacing w:line="480" w:lineRule="exact"/>
              <w:ind w:firstLine="470" w:firstLineChars="196"/>
              <w:rPr>
                <w:rFonts w:hint="default" w:ascii="Times New Roman" w:hAnsi="Times New Roman" w:eastAsia="宋体" w:cs="Times New Roman"/>
                <w:color w:val="000000"/>
                <w:sz w:val="24"/>
                <w:szCs w:val="18"/>
              </w:rPr>
            </w:pPr>
            <w:r>
              <w:rPr>
                <w:rFonts w:hint="default" w:ascii="Times New Roman" w:hAnsi="Times New Roman" w:eastAsia="宋体" w:cs="Times New Roman"/>
                <w:color w:val="000000"/>
                <w:sz w:val="24"/>
                <w:szCs w:val="18"/>
              </w:rPr>
              <w:t>评价区域声环境执行《声环境质量标准》（GB3096-2008）中2类区标准，其标准限值见表</w:t>
            </w:r>
            <w:r>
              <w:rPr>
                <w:rFonts w:hint="default" w:ascii="Times New Roman" w:hAnsi="Times New Roman" w:eastAsia="宋体" w:cs="Times New Roman"/>
                <w:color w:val="000000"/>
                <w:sz w:val="24"/>
                <w:szCs w:val="18"/>
                <w:lang w:val="en-US" w:eastAsia="zh-CN"/>
              </w:rPr>
              <w:t>3-</w:t>
            </w:r>
            <w:r>
              <w:rPr>
                <w:rFonts w:hint="default" w:ascii="Times New Roman" w:hAnsi="Times New Roman" w:eastAsia="宋体" w:cs="Times New Roman"/>
                <w:color w:val="000000"/>
                <w:sz w:val="24"/>
                <w:szCs w:val="18"/>
              </w:rPr>
              <w:t>3。</w:t>
            </w:r>
          </w:p>
          <w:p w14:paraId="236B8A92">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表3-3  声环境质量标准 单位：dB（A）</w:t>
            </w:r>
          </w:p>
          <w:tbl>
            <w:tblPr>
              <w:tblStyle w:val="16"/>
              <w:tblW w:w="88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47"/>
              <w:gridCol w:w="2949"/>
              <w:gridCol w:w="2949"/>
            </w:tblGrid>
            <w:tr w14:paraId="36F59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vMerge w:val="restart"/>
                  <w:noWrap w:val="0"/>
                  <w:vAlign w:val="center"/>
                </w:tcPr>
                <w:p w14:paraId="667AC6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声环境功能区类别</w:t>
                  </w:r>
                </w:p>
              </w:tc>
              <w:tc>
                <w:tcPr>
                  <w:tcW w:w="5898" w:type="dxa"/>
                  <w:gridSpan w:val="2"/>
                  <w:noWrap w:val="0"/>
                  <w:vAlign w:val="center"/>
                </w:tcPr>
                <w:p w14:paraId="577DC7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时段</w:t>
                  </w:r>
                </w:p>
              </w:tc>
            </w:tr>
            <w:tr w14:paraId="1CC2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vMerge w:val="continue"/>
                  <w:noWrap w:val="0"/>
                  <w:vAlign w:val="center"/>
                </w:tcPr>
                <w:p w14:paraId="305444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p>
              </w:tc>
              <w:tc>
                <w:tcPr>
                  <w:tcW w:w="2949" w:type="dxa"/>
                  <w:noWrap w:val="0"/>
                  <w:vAlign w:val="center"/>
                </w:tcPr>
                <w:p w14:paraId="07FE5C9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昼间</w:t>
                  </w:r>
                </w:p>
              </w:tc>
              <w:tc>
                <w:tcPr>
                  <w:tcW w:w="2949" w:type="dxa"/>
                  <w:noWrap w:val="0"/>
                  <w:vAlign w:val="center"/>
                </w:tcPr>
                <w:p w14:paraId="20D972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夜间</w:t>
                  </w:r>
                </w:p>
              </w:tc>
            </w:tr>
            <w:tr w14:paraId="3AC1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947" w:type="dxa"/>
                  <w:noWrap w:val="0"/>
                  <w:vAlign w:val="center"/>
                </w:tcPr>
                <w:p w14:paraId="5ABE82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2类</w:t>
                  </w:r>
                </w:p>
              </w:tc>
              <w:tc>
                <w:tcPr>
                  <w:tcW w:w="2949" w:type="dxa"/>
                  <w:noWrap w:val="0"/>
                  <w:vAlign w:val="center"/>
                </w:tcPr>
                <w:p w14:paraId="00B3F3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60</w:t>
                  </w:r>
                </w:p>
              </w:tc>
              <w:tc>
                <w:tcPr>
                  <w:tcW w:w="2949" w:type="dxa"/>
                  <w:noWrap w:val="0"/>
                  <w:vAlign w:val="center"/>
                </w:tcPr>
                <w:p w14:paraId="55DA8E6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1"/>
                      <w:szCs w:val="18"/>
                    </w:rPr>
                  </w:pPr>
                  <w:r>
                    <w:rPr>
                      <w:rFonts w:hint="default" w:ascii="Times New Roman" w:hAnsi="Times New Roman" w:eastAsia="宋体" w:cs="Times New Roman"/>
                      <w:color w:val="000000"/>
                      <w:sz w:val="21"/>
                      <w:szCs w:val="18"/>
                    </w:rPr>
                    <w:t>50</w:t>
                  </w:r>
                </w:p>
              </w:tc>
            </w:tr>
          </w:tbl>
          <w:p w14:paraId="143362E5">
            <w:pPr>
              <w:pStyle w:val="22"/>
              <w:bidi w:val="0"/>
              <w:ind w:firstLine="720" w:firstLineChars="300"/>
              <w:rPr>
                <w:rFonts w:hint="default" w:ascii="Times New Roman" w:hAnsi="Times New Roman" w:eastAsia="宋体" w:cs="Times New Roman"/>
                <w:color w:val="000000"/>
                <w:sz w:val="24"/>
              </w:rPr>
            </w:pPr>
          </w:p>
          <w:p w14:paraId="5295ADB2">
            <w:pPr>
              <w:pStyle w:val="22"/>
              <w:bidi w:val="0"/>
              <w:ind w:firstLine="720" w:firstLineChars="300"/>
              <w:rPr>
                <w:rFonts w:hint="default" w:ascii="Times New Roman" w:hAnsi="Times New Roman" w:eastAsia="宋体" w:cs="Times New Roman"/>
                <w:color w:val="000000" w:themeColor="text1"/>
                <w:vertAlign w:val="baseline"/>
                <w14:textFill>
                  <w14:solidFill>
                    <w14:schemeClr w14:val="tx1"/>
                  </w14:solidFill>
                </w14:textFill>
              </w:rPr>
            </w:pPr>
          </w:p>
        </w:tc>
      </w:tr>
      <w:tr w14:paraId="3ACC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14:paraId="177C4C74">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污染物排放</w:t>
            </w:r>
            <w:r>
              <w:rPr>
                <w:rFonts w:hint="default" w:ascii="Times New Roman" w:hAnsi="Times New Roman" w:eastAsia="宋体" w:cs="Times New Roman"/>
                <w:b/>
                <w:bCs/>
                <w:color w:val="000000" w:themeColor="text1"/>
                <w14:textFill>
                  <w14:solidFill>
                    <w14:schemeClr w14:val="tx1"/>
                  </w14:solidFill>
                </w14:textFill>
              </w:rPr>
              <w:t>标准</w:t>
            </w:r>
          </w:p>
          <w:p w14:paraId="04426094">
            <w:pPr>
              <w:rPr>
                <w:rFonts w:hint="default" w:ascii="Times New Roman" w:hAnsi="Times New Roman" w:eastAsia="宋体" w:cs="Times New Roman"/>
                <w:b/>
                <w:bCs w:val="0"/>
                <w:color w:val="000000" w:themeColor="text1"/>
                <w:lang w:val="en-US" w:eastAsia="zh-CN"/>
                <w14:textFill>
                  <w14:solidFill>
                    <w14:schemeClr w14:val="tx1"/>
                  </w14:solidFill>
                </w14:textFill>
              </w:rPr>
            </w:pPr>
            <w:r>
              <w:rPr>
                <w:rFonts w:hint="eastAsia" w:ascii="Times New Roman" w:hAnsi="Times New Roman" w:eastAsia="宋体" w:cs="Times New Roman"/>
                <w:b/>
                <w:bCs w:val="0"/>
                <w:color w:val="000000" w:themeColor="text1"/>
                <w:lang w:val="en-US" w:eastAsia="zh-CN"/>
                <w14:textFill>
                  <w14:solidFill>
                    <w14:schemeClr w14:val="tx1"/>
                  </w14:solidFill>
                </w14:textFill>
              </w:rPr>
              <w:t>1、</w:t>
            </w:r>
            <w:r>
              <w:rPr>
                <w:rFonts w:hint="default" w:ascii="Times New Roman" w:hAnsi="Times New Roman" w:eastAsia="宋体" w:cs="Times New Roman"/>
                <w:b/>
                <w:bCs w:val="0"/>
                <w:color w:val="000000" w:themeColor="text1"/>
                <w:kern w:val="0"/>
                <w:sz w:val="24"/>
                <w:szCs w:val="24"/>
                <w:lang w:val="en-US" w:eastAsia="zh-CN" w:bidi="ar"/>
                <w14:textFill>
                  <w14:solidFill>
                    <w14:schemeClr w14:val="tx1"/>
                  </w14:solidFill>
                </w14:textFill>
              </w:rPr>
              <w:t>声环境质量</w:t>
            </w:r>
          </w:p>
          <w:p w14:paraId="4AA44E27">
            <w:pPr>
              <w:rPr>
                <w:rFonts w:hint="default" w:ascii="Times New Roman" w:hAnsi="Times New Roman" w:eastAsia="宋体" w:cs="Times New Roman"/>
                <w:color w:val="000000" w:themeColor="text1"/>
                <w:szCs w:val="28"/>
                <w14:textFill>
                  <w14:solidFill>
                    <w14:schemeClr w14:val="tx1"/>
                  </w14:solidFill>
                </w14:textFill>
              </w:rPr>
            </w:pPr>
            <w:r>
              <w:rPr>
                <w:rFonts w:hint="default" w:ascii="Times New Roman" w:hAnsi="Times New Roman" w:eastAsia="宋体" w:cs="Times New Roman"/>
                <w:b w:val="0"/>
                <w:bCs/>
                <w:color w:val="000000" w:themeColor="text1"/>
                <w:lang w:val="en-US" w:eastAsia="zh-CN"/>
                <w14:textFill>
                  <w14:solidFill>
                    <w14:schemeClr w14:val="tx1"/>
                  </w14:solidFill>
                </w14:textFill>
              </w:rPr>
              <w:t>运营期噪声排放执行《工业企业厂界环境噪声排放标准》（GB12348-2008）中2类标准</w:t>
            </w:r>
            <w:r>
              <w:rPr>
                <w:rFonts w:hint="default" w:ascii="Times New Roman" w:hAnsi="Times New Roman" w:eastAsia="宋体" w:cs="Times New Roman"/>
                <w:b w:val="0"/>
                <w:bCs/>
                <w:color w:val="000000" w:themeColor="text1"/>
                <w:szCs w:val="28"/>
                <w:shd w:val="clear" w:color="auto" w:fill="auto"/>
                <w:lang w:val="en-US" w:eastAsia="zh-CN"/>
                <w14:textFill>
                  <w14:solidFill>
                    <w14:schemeClr w14:val="tx1"/>
                  </w14:solidFill>
                </w14:textFill>
              </w:rPr>
              <w:t>；</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具体标准值</w:t>
            </w:r>
            <w:r>
              <w:rPr>
                <w:rFonts w:hint="default" w:ascii="Times New Roman" w:hAnsi="Times New Roman" w:eastAsia="宋体" w:cs="Times New Roman"/>
                <w:b w:val="0"/>
                <w:bCs/>
                <w:color w:val="000000" w:themeColor="text1"/>
                <w:szCs w:val="28"/>
                <w14:textFill>
                  <w14:solidFill>
                    <w14:schemeClr w14:val="tx1"/>
                  </w14:solidFill>
                </w14:textFill>
              </w:rPr>
              <w:t>见下表。</w:t>
            </w:r>
          </w:p>
          <w:p w14:paraId="39111C4B">
            <w:pPr>
              <w:keepNext w:val="0"/>
              <w:keepLines w:val="0"/>
              <w:pageBreakBefore w:val="0"/>
              <w:widowControl/>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表3-4  声环境质量标准</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3327"/>
              <w:gridCol w:w="3327"/>
            </w:tblGrid>
            <w:tr w14:paraId="6CE1F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0" w:type="pct"/>
                  <w:noWrap w:val="0"/>
                  <w:vAlign w:val="center"/>
                </w:tcPr>
                <w:p w14:paraId="4DD8C227">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类别</w:t>
                  </w:r>
                </w:p>
              </w:tc>
              <w:tc>
                <w:tcPr>
                  <w:tcW w:w="1879" w:type="pct"/>
                  <w:noWrap w:val="0"/>
                  <w:vAlign w:val="center"/>
                </w:tcPr>
                <w:p w14:paraId="7A2B98BA">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昼间</w:t>
                  </w:r>
                </w:p>
              </w:tc>
              <w:tc>
                <w:tcPr>
                  <w:tcW w:w="1879" w:type="pct"/>
                  <w:noWrap w:val="0"/>
                  <w:vAlign w:val="center"/>
                </w:tcPr>
                <w:p w14:paraId="507122E3">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夜间</w:t>
                  </w:r>
                </w:p>
              </w:tc>
            </w:tr>
            <w:tr w14:paraId="29131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0" w:type="pct"/>
                  <w:noWrap w:val="0"/>
                  <w:vAlign w:val="center"/>
                </w:tcPr>
                <w:p w14:paraId="01B74413">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r>
                    <w:rPr>
                      <w:rFonts w:hint="default" w:ascii="Times New Roman" w:hAnsi="Times New Roman" w:eastAsia="宋体" w:cs="Times New Roman"/>
                      <w:color w:val="000000" w:themeColor="text1"/>
                      <w:sz w:val="22"/>
                      <w:szCs w:val="22"/>
                      <w14:textFill>
                        <w14:solidFill>
                          <w14:schemeClr w14:val="tx1"/>
                        </w14:solidFill>
                      </w14:textFill>
                    </w:rPr>
                    <w:t>类</w:t>
                  </w:r>
                </w:p>
              </w:tc>
              <w:tc>
                <w:tcPr>
                  <w:tcW w:w="1879" w:type="pct"/>
                  <w:noWrap w:val="0"/>
                  <w:vAlign w:val="center"/>
                </w:tcPr>
                <w:p w14:paraId="733BB592">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eastAsia" w:cs="Times New Roman"/>
                      <w:color w:val="000000" w:themeColor="text1"/>
                      <w:sz w:val="22"/>
                      <w:szCs w:val="22"/>
                      <w:lang w:val="en-US" w:eastAsia="zh-CN"/>
                      <w14:textFill>
                        <w14:solidFill>
                          <w14:schemeClr w14:val="tx1"/>
                        </w14:solidFill>
                      </w14:textFill>
                    </w:rPr>
                    <w:t>60</w:t>
                  </w:r>
                  <w:r>
                    <w:rPr>
                      <w:rFonts w:hint="default" w:ascii="Times New Roman" w:hAnsi="Times New Roman" w:eastAsia="宋体" w:cs="Times New Roman"/>
                      <w:color w:val="000000" w:themeColor="text1"/>
                      <w:sz w:val="22"/>
                      <w:szCs w:val="22"/>
                      <w14:textFill>
                        <w14:solidFill>
                          <w14:schemeClr w14:val="tx1"/>
                        </w14:solidFill>
                      </w14:textFill>
                    </w:rPr>
                    <w:t>dB(A)</w:t>
                  </w:r>
                </w:p>
              </w:tc>
              <w:tc>
                <w:tcPr>
                  <w:tcW w:w="1879" w:type="pct"/>
                  <w:noWrap w:val="0"/>
                  <w:vAlign w:val="center"/>
                </w:tcPr>
                <w:p w14:paraId="1D84E8DC">
                  <w:pPr>
                    <w:pStyle w:val="11"/>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eastAsia" w:cs="Times New Roman"/>
                      <w:color w:val="000000" w:themeColor="text1"/>
                      <w:sz w:val="22"/>
                      <w:szCs w:val="22"/>
                      <w:lang w:val="en-US" w:eastAsia="zh-CN"/>
                      <w14:textFill>
                        <w14:solidFill>
                          <w14:schemeClr w14:val="tx1"/>
                        </w14:solidFill>
                      </w14:textFill>
                    </w:rPr>
                    <w:t>50</w:t>
                  </w:r>
                  <w:r>
                    <w:rPr>
                      <w:rFonts w:hint="default" w:ascii="Times New Roman" w:hAnsi="Times New Roman" w:eastAsia="宋体" w:cs="Times New Roman"/>
                      <w:color w:val="000000" w:themeColor="text1"/>
                      <w:sz w:val="22"/>
                      <w:szCs w:val="22"/>
                      <w14:textFill>
                        <w14:solidFill>
                          <w14:schemeClr w14:val="tx1"/>
                        </w14:solidFill>
                      </w14:textFill>
                    </w:rPr>
                    <w:t>dB(A)</w:t>
                  </w:r>
                </w:p>
              </w:tc>
            </w:tr>
          </w:tbl>
          <w:p w14:paraId="32B9C757">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eastAsia"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6BBED4D0">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固废标准</w:t>
            </w:r>
          </w:p>
          <w:p w14:paraId="5D98B3DF">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一般固体废物的贮存过程应满足相应防渗漏、防雨淋、防扬尘等环境保护要求，其他内容参照执行《一般工业固体废物贮存和填埋污染控制标准》（GB18599-2020）；危险废物贮存执行《危险废物贮存污染控制标准》（GB18597-2023），以及固废法中有关规定。</w:t>
            </w:r>
          </w:p>
          <w:p w14:paraId="4951D7DB">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50B1AB19">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4961E93E">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2AC59BF8">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pPr>
          </w:p>
          <w:p w14:paraId="08DA88D6">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both"/>
              <w:textAlignment w:val="auto"/>
              <w:rPr>
                <w:rFonts w:hint="default" w:ascii="Times New Roman" w:hAnsi="Times New Roman" w:eastAsia="宋体" w:cs="Times New Roman"/>
                <w:color w:val="000000" w:themeColor="text1"/>
                <w:vertAlign w:val="baseline"/>
                <w:lang w:val="en-US"/>
                <w14:textFill>
                  <w14:solidFill>
                    <w14:schemeClr w14:val="tx1"/>
                  </w14:solidFill>
                </w14:textFill>
              </w:rPr>
            </w:pPr>
            <w:r>
              <w:rPr>
                <w:rFonts w:hint="default" w:ascii="Times New Roman" w:hAnsi="Times New Roman" w:eastAsia="宋体" w:cs="Times New Roman"/>
                <w:b/>
                <w:bCs w:val="0"/>
                <w:color w:val="000000" w:themeColor="text1"/>
                <w:kern w:val="2"/>
                <w:sz w:val="24"/>
                <w:szCs w:val="24"/>
                <w:lang w:val="en-US" w:eastAsia="zh-CN" w:bidi="ar-SA"/>
                <w14:textFill>
                  <w14:solidFill>
                    <w14:schemeClr w14:val="tx1"/>
                  </w14:solidFill>
                </w14:textFill>
              </w:rPr>
              <w:t xml:space="preserve"> </w:t>
            </w:r>
          </w:p>
        </w:tc>
      </w:tr>
      <w:tr w14:paraId="13464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000" w:type="pct"/>
          </w:tcPr>
          <w:p w14:paraId="1D9512F8">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其他标准和要求</w:t>
            </w:r>
          </w:p>
          <w:p w14:paraId="003181F0">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无</w:t>
            </w:r>
          </w:p>
          <w:p w14:paraId="1CA63ACC">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8C94F37">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6AA87EB4">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E791166">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03BA5DB5">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496DB6DB">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74B04021">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ADA3C1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3BF7622E">
            <w:pPr>
              <w:pStyle w:val="22"/>
              <w:bidi w:val="0"/>
              <w:ind w:left="0" w:leftChars="0" w:firstLine="0" w:firstLineChars="0"/>
              <w:rPr>
                <w:rFonts w:hint="default" w:ascii="Times New Roman" w:hAnsi="Times New Roman" w:eastAsia="宋体" w:cs="Times New Roman"/>
                <w:color w:val="000000" w:themeColor="text1"/>
                <w:lang w:val="en-US" w:eastAsia="zh-CN"/>
                <w14:textFill>
                  <w14:solidFill>
                    <w14:schemeClr w14:val="tx1"/>
                  </w14:solidFill>
                </w14:textFill>
              </w:rPr>
            </w:pPr>
          </w:p>
        </w:tc>
      </w:tr>
    </w:tbl>
    <w:p w14:paraId="2B5C40C1">
      <w:pPr>
        <w:rPr>
          <w:rFonts w:hint="default" w:ascii="Times New Roman" w:hAnsi="Times New Roman" w:eastAsia="宋体" w:cs="Times New Roman"/>
          <w:color w:val="000000" w:themeColor="text1"/>
          <w14:textFill>
            <w14:solidFill>
              <w14:schemeClr w14:val="tx1"/>
            </w14:solidFill>
          </w14:textFill>
        </w:rPr>
        <w:sectPr>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46FB13B8">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jc w:val="center"/>
        <w:textAlignment w:val="auto"/>
        <w:rPr>
          <w:rFonts w:hint="default" w:ascii="Times New Roman" w:hAnsi="Times New Roman" w:eastAsia="宋体" w:cs="Times New Roman"/>
          <w:color w:val="000000" w:themeColor="text1"/>
          <w:lang w:val="zh-CN" w:eastAsia="zh-CN"/>
          <w14:textFill>
            <w14:solidFill>
              <w14:schemeClr w14:val="tx1"/>
            </w14:solidFill>
          </w14:textFill>
        </w:rPr>
        <w:sectPr>
          <w:type w:val="continuous"/>
          <w:pgSz w:w="11910" w:h="16840"/>
          <w:pgMar w:top="1600" w:right="1525" w:bottom="280" w:left="1525" w:header="720" w:footer="720" w:gutter="0"/>
          <w:pgBorders>
            <w:top w:val="none" w:sz="0" w:space="0"/>
            <w:left w:val="none" w:sz="0" w:space="0"/>
            <w:bottom w:val="none" w:sz="0" w:space="0"/>
            <w:right w:val="none" w:sz="0" w:space="0"/>
          </w:pgBorders>
          <w:pgNumType w:fmt="decimal"/>
          <w:cols w:space="720" w:num="1"/>
        </w:sectPr>
      </w:pPr>
    </w:p>
    <w:p w14:paraId="2EF1506D">
      <w:pPr>
        <w:pStyle w:val="3"/>
        <w:keepNext w:val="0"/>
        <w:keepLines w:val="0"/>
        <w:pageBreakBefore w:val="0"/>
        <w:widowControl w:val="0"/>
        <w:kinsoku/>
        <w:wordWrap/>
        <w:overflowPunct/>
        <w:topLinePunct w:val="0"/>
        <w:autoSpaceDE w:val="0"/>
        <w:autoSpaceDN w:val="0"/>
        <w:bidi w:val="0"/>
        <w:adjustRightInd/>
        <w:snapToGrid/>
        <w:spacing w:before="0"/>
        <w:ind w:right="0" w:firstLine="0" w:firstLineChars="0"/>
        <w:jc w:val="center"/>
        <w:textAlignment w:val="auto"/>
        <w:rPr>
          <w:rFonts w:hint="default" w:ascii="Times New Roman" w:hAnsi="Times New Roman" w:eastAsia="宋体" w:cs="Times New Roman"/>
          <w:color w:val="000000" w:themeColor="text1"/>
          <w:lang w:val="zh-CN" w:eastAsia="zh-CN"/>
          <w14:textFill>
            <w14:solidFill>
              <w14:schemeClr w14:val="tx1"/>
            </w14:solidFill>
          </w14:textFill>
        </w:rPr>
      </w:pPr>
      <w:r>
        <w:rPr>
          <w:rFonts w:hint="default" w:ascii="Times New Roman" w:hAnsi="Times New Roman" w:eastAsia="宋体" w:cs="Times New Roman"/>
          <w:color w:val="000000" w:themeColor="text1"/>
          <w:lang w:val="zh-CN" w:eastAsia="zh-CN"/>
          <w14:textFill>
            <w14:solidFill>
              <w14:schemeClr w14:val="tx1"/>
            </w14:solidFill>
          </w14:textFill>
        </w:rPr>
        <w:t>表4</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lang w:val="zh-CN" w:eastAsia="zh-CN"/>
          <w14:textFill>
            <w14:solidFill>
              <w14:schemeClr w14:val="tx1"/>
            </w14:solidFill>
          </w14:textFill>
        </w:rPr>
        <w:t>建设项目概况</w:t>
      </w:r>
    </w:p>
    <w:tbl>
      <w:tblPr>
        <w:tblStyle w:val="17"/>
        <w:tblW w:w="143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20"/>
      </w:tblGrid>
      <w:tr w14:paraId="33A98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7" w:hRule="atLeast"/>
        </w:trPr>
        <w:tc>
          <w:tcPr>
            <w:tcW w:w="14320" w:type="dxa"/>
          </w:tcPr>
          <w:p w14:paraId="72B87814">
            <w:pPr>
              <w:pStyle w:val="22"/>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项目建设地点</w:t>
            </w:r>
          </w:p>
          <w:p w14:paraId="4DDC4148">
            <w:pP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项目建设地点位于六安市霍邱县邵岗乡坎山村，①号地块坐标为东经116.14460068，北纬32.26967860；②号地块坐标为东经116.14754427，北纬32.26460345；③号地块坐标为东经116.14599710，北纬32.26215201</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w:t>
            </w:r>
          </w:p>
          <w:p w14:paraId="38EA841B">
            <w:pPr>
              <w:ind w:left="0" w:leftChars="0" w:firstLine="0" w:firstLineChars="0"/>
              <w:jc w:val="cente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rPr>
              <w:drawing>
                <wp:anchor distT="0" distB="0" distL="114300" distR="114300" simplePos="0" relativeHeight="251668480" behindDoc="0" locked="0" layoutInCell="1" allowOverlap="1">
                  <wp:simplePos x="0" y="0"/>
                  <wp:positionH relativeFrom="column">
                    <wp:posOffset>1473200</wp:posOffset>
                  </wp:positionH>
                  <wp:positionV relativeFrom="paragraph">
                    <wp:posOffset>34290</wp:posOffset>
                  </wp:positionV>
                  <wp:extent cx="840740" cy="840740"/>
                  <wp:effectExtent l="0" t="0" r="16510" b="16510"/>
                  <wp:wrapNone/>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3"/>
                          <a:stretch>
                            <a:fillRect/>
                          </a:stretch>
                        </pic:blipFill>
                        <pic:spPr>
                          <a:xfrm>
                            <a:off x="0" y="0"/>
                            <a:ext cx="840740" cy="840740"/>
                          </a:xfrm>
                          <a:prstGeom prst="rect">
                            <a:avLst/>
                          </a:prstGeom>
                          <a:noFill/>
                          <a:ln>
                            <a:noFill/>
                          </a:ln>
                        </pic:spPr>
                      </pic:pic>
                    </a:graphicData>
                  </a:graphic>
                </wp:anchor>
              </w:drawing>
            </w:r>
            <w:r>
              <w:rPr>
                <w:rFonts w:hint="default" w:ascii="Times New Roman" w:hAnsi="Times New Roman" w:eastAsia="宋体" w:cs="Times New Roman"/>
              </w:rPr>
              <w:drawing>
                <wp:inline distT="0" distB="0" distL="114300" distR="114300">
                  <wp:extent cx="6019800" cy="4325620"/>
                  <wp:effectExtent l="9525" t="9525" r="9525" b="2730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4"/>
                          <a:stretch>
                            <a:fillRect/>
                          </a:stretch>
                        </pic:blipFill>
                        <pic:spPr>
                          <a:xfrm>
                            <a:off x="0" y="0"/>
                            <a:ext cx="6019800" cy="4325620"/>
                          </a:xfrm>
                          <a:prstGeom prst="rect">
                            <a:avLst/>
                          </a:prstGeom>
                          <a:noFill/>
                          <a:ln>
                            <a:solidFill>
                              <a:schemeClr val="tx1"/>
                            </a:solidFill>
                          </a:ln>
                        </pic:spPr>
                      </pic:pic>
                    </a:graphicData>
                  </a:graphic>
                </wp:inline>
              </w:drawing>
            </w:r>
            <w:r>
              <w:rPr>
                <w:rFonts w:hint="default" w:ascii="Times New Roman" w:hAnsi="Times New Roman" w:eastAsia="宋体" w:cs="Times New Roman"/>
                <w:sz w:val="24"/>
              </w:rPr>
              <mc:AlternateContent>
                <mc:Choice Requires="wps">
                  <w:drawing>
                    <wp:anchor distT="0" distB="0" distL="114300" distR="114300" simplePos="0" relativeHeight="251666432" behindDoc="0" locked="0" layoutInCell="1" allowOverlap="1">
                      <wp:simplePos x="0" y="0"/>
                      <wp:positionH relativeFrom="column">
                        <wp:posOffset>4472940</wp:posOffset>
                      </wp:positionH>
                      <wp:positionV relativeFrom="paragraph">
                        <wp:posOffset>2132965</wp:posOffset>
                      </wp:positionV>
                      <wp:extent cx="934720" cy="476250"/>
                      <wp:effectExtent l="5715" t="6350" r="12065" b="12700"/>
                      <wp:wrapNone/>
                      <wp:docPr id="33" name="直接箭头连接符 33"/>
                      <wp:cNvGraphicFramePr/>
                      <a:graphic xmlns:a="http://schemas.openxmlformats.org/drawingml/2006/main">
                        <a:graphicData uri="http://schemas.microsoft.com/office/word/2010/wordprocessingShape">
                          <wps:wsp>
                            <wps:cNvCnPr/>
                            <wps:spPr>
                              <a:xfrm flipV="1">
                                <a:off x="5344795" y="3987800"/>
                                <a:ext cx="934720" cy="4762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52.2pt;margin-top:167.95pt;height:37.5pt;width:73.6pt;z-index:251666432;mso-width-relative:page;mso-height-relative:page;" filled="f" stroked="t" coordsize="21600,21600" o:gfxdata="UEsDBAoAAAAAAIdO4kAAAAAAAAAAAAAAAAAEAAAAZHJzL1BLAwQUAAAACACHTuJAhEddttsAAAAL&#10;AQAADwAAAGRycy9kb3ducmV2LnhtbE2Py07DMBBF90j8gzVIbBC1Q9PShkwqVIkNQpXog7WTDIkh&#10;Hkex27R/j1nBcnSP7j2Tr862EycavHGMkEwUCOLK1YYbhP3u5X4BwgfNte4cE8KFPKyK66tcZ7Ub&#10;+Z1O29CIWMI+0whtCH0mpa9astpPXE8cs083WB3iOTSyHvQYy20nH5SaS6sNx4VW97RuqfreHi0C&#10;PX+8vUrahC9zZ1x5qNab3XhBvL1J1BOIQOfwB8OvflSHIjqV7si1Fx3Co0rTiCJMp7MliEgsZskc&#10;RImQJmoJssjl/x+KH1BLAwQUAAAACACHTuJADGSLkxYCAADkAwAADgAAAGRycy9lMm9Eb2MueG1s&#10;rVPNjtMwEL4j8Q6W7zTZ/mx/1HQPLeWCoBIsd9dxEkv+09jbtC/BCyBxAk7Aae88zbI8BmMnLLBc&#10;9kAO0dgz881834yXF0etyEGAl9YU9GyQUyIMt6U0dUEvX2+fzCjxgZmSKWtEQU/C04vV40fL1i3E&#10;0DZWlQIIghi/aF1BmxDcIss8b4RmfmCdMOisLGgW8Ah1VgJrEV2rbJjn51lroXRgufAebzedk/aI&#10;8BBAW1WSi43lV1qY0KGCUCwgJd9I5+kqdVtVgoeXVeVFIKqgyDSkPxZBex//2WrJFjUw10jet8Ae&#10;0sI9TppJg0XvoDYsMHIF8h8oLTlYb6sw4FZnHZGkCLI4y+9p86phTiQuKLV3d6L7/wfLXxx2QGRZ&#10;0NGIEsM0Tvz23fX3tx9vv365+XD949v7aH/+RNCPYrXOLzBnbXbQn7zbQWR+rECTSkn3BrcqaYHs&#10;yLGgk9F4PJ1PKDlhkflsOst72cUxEI4B89F4OsSBcAwYT8+Hk+TPOsgI7cCHZ8JqEo2C+gBM1k1Y&#10;W2NwwBa6cuzw3AdsChN/JcRkY7dSqTRnZUhb0OFkjB0QznB5K1waNLVDAbypKWGqxlfBAyQG3ipZ&#10;xvQI5KHerxWQA8Nd2m5z/KIiWO6vsFh7w3zTxSVXt2WBSfXUlCScHIrMAGzb5yuDMFHZTsto7W15&#10;ShKnexx+KtQvatyuP88p+/fjXP0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EddttsAAAALAQAA&#10;DwAAAAAAAAABACAAAAAiAAAAZHJzL2Rvd25yZXYueG1sUEsBAhQAFAAAAAgAh07iQAxki5MWAgAA&#10;5AMAAA4AAAAAAAAAAQAgAAAAKgEAAGRycy9lMm9Eb2MueG1sUEsFBgAAAAAGAAYAWQEAALIFAAAA&#10;AA==&#10;">
                      <v:fill on="f" focussize="0,0"/>
                      <v:stroke weight="2pt" color="#FF0000 [3204]" joinstyle="round" endarrow="open"/>
                      <v:imagedata o:title=""/>
                      <o:lock v:ext="edit" aspectratio="f"/>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7456" behindDoc="0" locked="0" layoutInCell="1" allowOverlap="1">
                      <wp:simplePos x="0" y="0"/>
                      <wp:positionH relativeFrom="column">
                        <wp:posOffset>4478655</wp:posOffset>
                      </wp:positionH>
                      <wp:positionV relativeFrom="paragraph">
                        <wp:posOffset>2633345</wp:posOffset>
                      </wp:positionV>
                      <wp:extent cx="974090" cy="336550"/>
                      <wp:effectExtent l="4445" t="12065" r="12065" b="32385"/>
                      <wp:wrapNone/>
                      <wp:docPr id="34" name="直接箭头连接符 34"/>
                      <wp:cNvGraphicFramePr/>
                      <a:graphic xmlns:a="http://schemas.openxmlformats.org/drawingml/2006/main">
                        <a:graphicData uri="http://schemas.microsoft.com/office/word/2010/wordprocessingShape">
                          <wps:wsp>
                            <wps:cNvCnPr/>
                            <wps:spPr>
                              <a:xfrm>
                                <a:off x="0" y="0"/>
                                <a:ext cx="974090" cy="33655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52.65pt;margin-top:207.35pt;height:26.5pt;width:76.7pt;z-index:251667456;mso-width-relative:page;mso-height-relative:page;" filled="f" stroked="t" coordsize="21600,21600" o:gfxdata="UEsDBAoAAAAAAIdO4kAAAAAAAAAAAAAAAAAEAAAAZHJzL1BLAwQUAAAACACHTuJAtBmTTdgAAAAL&#10;AQAADwAAAGRycy9kb3ducmV2LnhtbE2PTU/DMAyG70j8h8hI3FjSsa1VaTohpF52Y0yVdssar61o&#10;nKrJtu7fY05w88ej14+L7ewGccUp9J40JAsFAqnxtqdWw+GreslAhGjImsETarhjgG35+FCY3Pob&#10;feJ1H1vBIRRyo6GLccylDE2HzoSFH5F4d/aTM5HbqZV2MjcOd4NcKrWRzvTEFzoz4keHzff+4jTY&#10;uDvGM9atq96ruT50taJxqfXzU6LeQESc4x8Mv/qsDiU7nfyFbBCDhlStXxnVsEpWKQgmsnXGxYkn&#10;mzQFWRby/w/lD1BLAwQUAAAACACHTuJAI7bbNQACAADOAwAADgAAAGRycy9lMm9Eb2MueG1srVNL&#10;jhMxEN0jcQfLe9Kd38BE6cwiIWwQjAQcwHG7uy35pypPOrkEF0BiBayA1ew5DQzHoOyEDAybWdCL&#10;7rLL9Z7fq+r5xc4atlWA2ruKDwclZ8pJX2vXVvzN6/WjJ5xhFK4WxjtV8b1CfrF4+GDeh5ka+c6b&#10;WgEjEIezPlS8izHMigJlp6zAgQ/KUbLxYEWkJbRFDaIndGuKUVmeFb2HOoCXCpF2V4ckPyLCfQB9&#10;02ipVl5eWeXiARWUEZEkYacD8kW+bdMoGV82DarITMVJacxvIqF4k97FYi5mLYjQaXm8grjPFe5o&#10;skI7Ij1BrUQU7Ar0P1BWS/DomziQ3hYHIdkRUjEs73jzqhNBZS1kNYaT6fj/YOWL7SUwXVd8POHM&#10;CUsdv3l3/ePtx5uvX75/uP757X2KP39ilCez+oAzqlm6SziuMFxCUr5rwKYvaWK7bPD+ZLDaRSZp&#10;8/zxpDwn6yWlxuOz6TQ3oLgtDoDxmfKWpaDiGEHototL7xy10sMwmyy2zzESPRX+LkjMzq+1Mbmj&#10;xrG+4qPppExsgsa0ofGg0AaSiq7lTJiW5l9GyJDoja5TeQJCaDdLA2wraGrW65KepJ3o/jqWuFcC&#10;u8O5nDrMUxTaPHU1i/tAdgoA3x/rjSOY5OHBtRRtfL3PZuZ9anMmOo5kmqM/17n69jdc/A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0GZNN2AAAAAsBAAAPAAAAAAAAAAEAIAAAACIAAABkcnMvZG93&#10;bnJldi54bWxQSwECFAAUAAAACACHTuJAI7bbNQACAADOAwAADgAAAAAAAAABACAAAAAnAQAAZHJz&#10;L2Uyb0RvYy54bWxQSwUGAAAAAAYABgBZAQAAmQUAAAAA&#10;">
                      <v:fill on="f" focussize="0,0"/>
                      <v:stroke weight="2pt" color="#FF0000 [3204]" joinstyle="round" endarrow="open"/>
                      <v:imagedata o:title=""/>
                      <o:lock v:ext="edit" aspectratio="f"/>
                    </v:shape>
                  </w:pict>
                </mc:Fallback>
              </mc:AlternateContent>
            </w:r>
            <w:r>
              <w:rPr>
                <w:rFonts w:hint="default" w:ascii="Times New Roman" w:hAnsi="Times New Roman" w:eastAsia="宋体" w:cs="Times New Roman"/>
              </w:rPr>
              <w:drawing>
                <wp:anchor distT="0" distB="0" distL="114300" distR="114300" simplePos="0" relativeHeight="251665408" behindDoc="0" locked="0" layoutInCell="1" allowOverlap="1">
                  <wp:simplePos x="0" y="0"/>
                  <wp:positionH relativeFrom="column">
                    <wp:posOffset>5419090</wp:posOffset>
                  </wp:positionH>
                  <wp:positionV relativeFrom="paragraph">
                    <wp:posOffset>3175</wp:posOffset>
                  </wp:positionV>
                  <wp:extent cx="3588385" cy="2963545"/>
                  <wp:effectExtent l="9525" t="9525" r="21590" b="17780"/>
                  <wp:wrapNone/>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5"/>
                          <a:stretch>
                            <a:fillRect/>
                          </a:stretch>
                        </pic:blipFill>
                        <pic:spPr>
                          <a:xfrm>
                            <a:off x="0" y="0"/>
                            <a:ext cx="3588385" cy="2963545"/>
                          </a:xfrm>
                          <a:prstGeom prst="rect">
                            <a:avLst/>
                          </a:prstGeom>
                          <a:noFill/>
                          <a:ln>
                            <a:solidFill>
                              <a:schemeClr val="tx1"/>
                            </a:solidFill>
                          </a:ln>
                        </pic:spPr>
                      </pic:pic>
                    </a:graphicData>
                  </a:graphic>
                </wp:anchor>
              </w:drawing>
            </w:r>
          </w:p>
        </w:tc>
      </w:tr>
    </w:tbl>
    <w:p w14:paraId="0D8ED8F5">
      <w:pPr>
        <w:rPr>
          <w:rFonts w:hint="default" w:ascii="Times New Roman" w:hAnsi="Times New Roman" w:eastAsia="宋体" w:cs="Times New Roman"/>
          <w:color w:val="000000" w:themeColor="text1"/>
          <w:sz w:val="20"/>
          <w14:textFill>
            <w14:solidFill>
              <w14:schemeClr w14:val="tx1"/>
            </w14:solidFill>
          </w14:textFill>
        </w:rPr>
        <w:sectPr>
          <w:pgSz w:w="16840" w:h="11910" w:orient="landscape"/>
          <w:pgMar w:top="1525" w:right="1457" w:bottom="1525" w:left="1457" w:header="720" w:footer="720" w:gutter="0"/>
          <w:pgBorders>
            <w:top w:val="none" w:sz="0" w:space="0"/>
            <w:left w:val="none" w:sz="0" w:space="0"/>
            <w:bottom w:val="none" w:sz="0" w:space="0"/>
            <w:right w:val="none" w:sz="0" w:space="0"/>
          </w:pgBorders>
          <w:pgNumType w:fmt="decimal"/>
          <w:cols w:space="720" w:num="1"/>
        </w:sectPr>
      </w:pP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6"/>
      </w:tblGrid>
      <w:tr w14:paraId="1D77B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76" w:type="dxa"/>
          </w:tcPr>
          <w:p w14:paraId="6D712CEC">
            <w:pPr>
              <w:pStyle w:val="22"/>
              <w:keepNext w:val="0"/>
              <w:keepLines w:val="0"/>
              <w:pageBreakBefore w:val="0"/>
              <w:widowControl w:val="0"/>
              <w:kinsoku/>
              <w:wordWrap/>
              <w:overflowPunct/>
              <w:topLinePunct w:val="0"/>
              <w:autoSpaceDE w:val="0"/>
              <w:autoSpaceDN w:val="0"/>
              <w:bidi w:val="0"/>
              <w:adjustRightInd w:val="0"/>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主要建设内容及规模</w:t>
            </w:r>
          </w:p>
          <w:p w14:paraId="1D572A95">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环评建设内容：</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项目位于六安市霍邱县邵岗乡坎山村X035县道东；占地面积527.1626亩，拟利用滩涂地</w:t>
            </w:r>
            <w:r>
              <w:rPr>
                <w:rFonts w:hint="default" w:ascii="Times New Roman" w:hAnsi="Times New Roman" w:eastAsia="宋体" w:cs="Times New Roman"/>
                <w:b w:val="0"/>
                <w:bCs w:val="0"/>
                <w:color w:val="000000"/>
                <w:kern w:val="0"/>
                <w:sz w:val="24"/>
                <w:szCs w:val="24"/>
                <w:lang w:val="en-US" w:eastAsia="zh-CN" w:bidi="ar"/>
              </w:rPr>
              <w:t>，拟铺设260wp多晶硅电池组件77440块，总装机容量20MW，年均发电量约2046万kW·h，项目发电全额上网。</w:t>
            </w:r>
          </w:p>
          <w:p w14:paraId="5DC3C748">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实际建设内容：</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项目位于六安市霍邱县邵岗乡坎山村X035县道东；占地面积约460亩，利用滩涂地</w:t>
            </w:r>
            <w:r>
              <w:rPr>
                <w:rFonts w:hint="default" w:ascii="Times New Roman" w:hAnsi="Times New Roman" w:eastAsia="宋体" w:cs="Times New Roman"/>
                <w:b w:val="0"/>
                <w:bCs w:val="0"/>
                <w:color w:val="000000"/>
                <w:kern w:val="0"/>
                <w:sz w:val="24"/>
                <w:szCs w:val="24"/>
                <w:lang w:val="en-US" w:eastAsia="zh-CN" w:bidi="ar"/>
              </w:rPr>
              <w:t>，铺设2</w:t>
            </w:r>
            <w:r>
              <w:rPr>
                <w:rFonts w:hint="eastAsia" w:cs="Times New Roman"/>
                <w:b w:val="0"/>
                <w:bCs w:val="0"/>
                <w:color w:val="000000"/>
                <w:kern w:val="0"/>
                <w:sz w:val="24"/>
                <w:szCs w:val="24"/>
                <w:lang w:val="en-US" w:eastAsia="zh-CN" w:bidi="ar"/>
              </w:rPr>
              <w:t>7</w:t>
            </w:r>
            <w:r>
              <w:rPr>
                <w:rFonts w:hint="default" w:ascii="Times New Roman" w:hAnsi="Times New Roman" w:eastAsia="宋体" w:cs="Times New Roman"/>
                <w:b w:val="0"/>
                <w:bCs w:val="0"/>
                <w:color w:val="000000"/>
                <w:kern w:val="0"/>
                <w:sz w:val="24"/>
                <w:szCs w:val="24"/>
                <w:lang w:val="en-US" w:eastAsia="zh-CN" w:bidi="ar"/>
              </w:rPr>
              <w:t>0wp多晶硅电池组件</w:t>
            </w:r>
            <w:r>
              <w:rPr>
                <w:rFonts w:hint="eastAsia" w:cs="Times New Roman"/>
                <w:b w:val="0"/>
                <w:bCs w:val="0"/>
                <w:color w:val="000000"/>
                <w:kern w:val="0"/>
                <w:sz w:val="24"/>
                <w:szCs w:val="24"/>
                <w:lang w:val="en-US" w:eastAsia="zh-CN" w:bidi="ar"/>
              </w:rPr>
              <w:t>74074</w:t>
            </w:r>
            <w:r>
              <w:rPr>
                <w:rFonts w:hint="default" w:ascii="Times New Roman" w:hAnsi="Times New Roman" w:eastAsia="宋体" w:cs="Times New Roman"/>
                <w:b w:val="0"/>
                <w:bCs w:val="0"/>
                <w:color w:val="000000"/>
                <w:kern w:val="0"/>
                <w:sz w:val="24"/>
                <w:szCs w:val="24"/>
                <w:lang w:val="en-US" w:eastAsia="zh-CN" w:bidi="ar"/>
              </w:rPr>
              <w:t>块，总装机容量</w:t>
            </w:r>
            <w:r>
              <w:rPr>
                <w:rFonts w:hint="eastAsia" w:cs="Times New Roman"/>
                <w:b w:val="0"/>
                <w:bCs w:val="0"/>
                <w:color w:val="000000"/>
                <w:kern w:val="0"/>
                <w:sz w:val="24"/>
                <w:szCs w:val="24"/>
                <w:lang w:val="en-US" w:eastAsia="zh-CN" w:bidi="ar"/>
              </w:rPr>
              <w:t>20</w:t>
            </w:r>
            <w:r>
              <w:rPr>
                <w:rFonts w:hint="default" w:ascii="Times New Roman" w:hAnsi="Times New Roman" w:eastAsia="宋体" w:cs="Times New Roman"/>
                <w:b w:val="0"/>
                <w:bCs w:val="0"/>
                <w:color w:val="000000"/>
                <w:kern w:val="0"/>
                <w:sz w:val="24"/>
                <w:szCs w:val="24"/>
                <w:lang w:val="en-US" w:eastAsia="zh-CN" w:bidi="ar"/>
              </w:rPr>
              <w:t>MW，年均发电量约</w:t>
            </w:r>
            <w:r>
              <w:rPr>
                <w:rFonts w:hint="eastAsia" w:cs="Times New Roman"/>
                <w:b w:val="0"/>
                <w:bCs w:val="0"/>
                <w:color w:val="000000"/>
                <w:kern w:val="0"/>
                <w:sz w:val="24"/>
                <w:szCs w:val="24"/>
                <w:lang w:val="en-US" w:eastAsia="zh-CN" w:bidi="ar"/>
              </w:rPr>
              <w:t>2046</w:t>
            </w:r>
            <w:r>
              <w:rPr>
                <w:rFonts w:hint="default" w:ascii="Times New Roman" w:hAnsi="Times New Roman" w:eastAsia="宋体" w:cs="Times New Roman"/>
                <w:b w:val="0"/>
                <w:bCs w:val="0"/>
                <w:color w:val="000000"/>
                <w:kern w:val="0"/>
                <w:sz w:val="24"/>
                <w:szCs w:val="24"/>
                <w:lang w:val="en-US" w:eastAsia="zh-CN" w:bidi="ar"/>
              </w:rPr>
              <w:t>万kW·h，项目发电全额上网。</w:t>
            </w:r>
          </w:p>
          <w:p w14:paraId="0F9E08C0">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1、工程组成</w:t>
            </w:r>
          </w:p>
          <w:p w14:paraId="662A5AB1">
            <w:pPr>
              <w:keepNext w:val="0"/>
              <w:keepLines w:val="0"/>
              <w:widowControl/>
              <w:suppressLineNumbers w:val="0"/>
              <w:autoSpaceDE/>
              <w:autoSpaceDN/>
              <w:spacing w:before="0" w:after="0"/>
              <w:ind w:left="0" w:right="0" w:firstLine="720"/>
              <w:jc w:val="left"/>
              <w:rPr>
                <w:rFonts w:hint="default" w:ascii="Times New Roman" w:hAnsi="Times New Roman" w:eastAsia="宋体" w:cs="Times New Roman"/>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本</w:t>
            </w:r>
            <w:r>
              <w:rPr>
                <w:rFonts w:hint="default" w:ascii="Times New Roman" w:hAnsi="Times New Roman" w:eastAsia="宋体" w:cs="Times New Roman"/>
                <w:color w:val="000000" w:themeColor="text1"/>
                <w:kern w:val="2"/>
                <w:sz w:val="24"/>
                <w:szCs w:val="24"/>
                <w:shd w:val="clear" w:color="auto" w:fill="auto"/>
                <w:lang w:val="en-US" w:bidi="ar-SA"/>
                <w14:textFill>
                  <w14:solidFill>
                    <w14:schemeClr w14:val="tx1"/>
                  </w14:solidFill>
                </w14:textFill>
              </w:rPr>
              <w:t>工程组成及建设规模见下表</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w:t>
            </w:r>
          </w:p>
          <w:p w14:paraId="351AB8FB">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t>表4-1  本工程组成一览表</w:t>
            </w:r>
          </w:p>
          <w:tbl>
            <w:tblPr>
              <w:tblStyle w:val="16"/>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6"/>
              <w:gridCol w:w="375"/>
              <w:gridCol w:w="459"/>
              <w:gridCol w:w="2990"/>
              <w:gridCol w:w="2607"/>
              <w:gridCol w:w="2144"/>
            </w:tblGrid>
            <w:tr w14:paraId="73CDD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9" w:hRule="exact"/>
                <w:jc w:val="center"/>
              </w:trPr>
              <w:tc>
                <w:tcPr>
                  <w:tcW w:w="199" w:type="pct"/>
                  <w:noWrap w:val="0"/>
                  <w:vAlign w:val="center"/>
                </w:tcPr>
                <w:p w14:paraId="06B6821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工程</w:t>
                  </w:r>
                </w:p>
                <w:p w14:paraId="0569C60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类别</w:t>
                  </w:r>
                </w:p>
              </w:tc>
              <w:tc>
                <w:tcPr>
                  <w:tcW w:w="466" w:type="pct"/>
                  <w:gridSpan w:val="2"/>
                  <w:noWrap w:val="0"/>
                  <w:vAlign w:val="center"/>
                </w:tcPr>
                <w:p w14:paraId="5E731C5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单项名称</w:t>
                  </w:r>
                </w:p>
              </w:tc>
              <w:tc>
                <w:tcPr>
                  <w:tcW w:w="1673" w:type="pct"/>
                  <w:noWrap w:val="0"/>
                  <w:vAlign w:val="center"/>
                </w:tcPr>
                <w:p w14:paraId="789BEF3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环评阶段项目组成及规模</w:t>
                  </w:r>
                </w:p>
              </w:tc>
              <w:tc>
                <w:tcPr>
                  <w:tcW w:w="1459" w:type="pct"/>
                  <w:noWrap w:val="0"/>
                  <w:vAlign w:val="center"/>
                </w:tcPr>
                <w:p w14:paraId="7EC5D61E">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实际情况</w:t>
                  </w:r>
                </w:p>
              </w:tc>
              <w:tc>
                <w:tcPr>
                  <w:tcW w:w="1200" w:type="pct"/>
                  <w:noWrap w:val="0"/>
                  <w:vAlign w:val="center"/>
                </w:tcPr>
                <w:p w14:paraId="60DA7B69">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变动情况</w:t>
                  </w:r>
                </w:p>
              </w:tc>
            </w:tr>
            <w:tr w14:paraId="0CF5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58" w:hRule="atLeast"/>
                <w:jc w:val="center"/>
              </w:trPr>
              <w:tc>
                <w:tcPr>
                  <w:tcW w:w="199" w:type="pct"/>
                  <w:vMerge w:val="restart"/>
                  <w:noWrap w:val="0"/>
                  <w:vAlign w:val="center"/>
                </w:tcPr>
                <w:p w14:paraId="2FB3EE1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主体</w:t>
                  </w:r>
                </w:p>
                <w:p w14:paraId="26BDEC0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工程</w:t>
                  </w:r>
                </w:p>
              </w:tc>
              <w:tc>
                <w:tcPr>
                  <w:tcW w:w="209" w:type="pct"/>
                  <w:vMerge w:val="restart"/>
                  <w:noWrap w:val="0"/>
                  <w:vAlign w:val="center"/>
                </w:tcPr>
                <w:p w14:paraId="17137BD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光伏电站</w:t>
                  </w:r>
                </w:p>
              </w:tc>
              <w:tc>
                <w:tcPr>
                  <w:tcW w:w="256" w:type="pct"/>
                  <w:noWrap w:val="0"/>
                  <w:vAlign w:val="center"/>
                </w:tcPr>
                <w:p w14:paraId="52C7CC06">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太阳能阵列区</w:t>
                  </w:r>
                </w:p>
              </w:tc>
              <w:tc>
                <w:tcPr>
                  <w:tcW w:w="1673" w:type="pct"/>
                  <w:noWrap w:val="0"/>
                  <w:vAlign w:val="center"/>
                </w:tcPr>
                <w:p w14:paraId="308AC9B3">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项目发电厂区占地面积351441.73m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，折5</w:t>
                  </w:r>
                  <w:r>
                    <w:rPr>
                      <w:rFonts w:hint="default" w:ascii="Times New Roman" w:hAnsi="Times New Roman" w:eastAsia="宋体" w:cs="Times New Roman"/>
                      <w:color w:val="000000"/>
                      <w:sz w:val="21"/>
                      <w:szCs w:val="21"/>
                      <w:lang w:val="en-US" w:eastAsia="zh-CN"/>
                    </w:rPr>
                    <w:t>27.1626</w:t>
                  </w:r>
                  <w:r>
                    <w:rPr>
                      <w:rFonts w:hint="default" w:ascii="Times New Roman" w:hAnsi="Times New Roman" w:eastAsia="宋体" w:cs="Times New Roman"/>
                      <w:color w:val="000000"/>
                      <w:sz w:val="21"/>
                      <w:szCs w:val="21"/>
                    </w:rPr>
                    <w:t>亩；安装260Wp光伏组件数量为77440块，总的装机容量为20MW，年均发电量为2046万</w:t>
                  </w:r>
                  <w:r>
                    <w:rPr>
                      <w:rFonts w:hint="default" w:ascii="Times New Roman" w:hAnsi="Times New Roman" w:eastAsia="宋体" w:cs="Times New Roman"/>
                      <w:color w:val="000000"/>
                      <w:sz w:val="21"/>
                      <w:szCs w:val="21"/>
                      <w:lang w:eastAsia="zh-CN"/>
                    </w:rPr>
                    <w:t>kW</w:t>
                  </w:r>
                  <w:r>
                    <w:rPr>
                      <w:rFonts w:hint="default" w:ascii="Times New Roman" w:hAnsi="Times New Roman" w:eastAsia="宋体" w:cs="Times New Roman"/>
                      <w:color w:val="000000"/>
                      <w:sz w:val="21"/>
                      <w:szCs w:val="21"/>
                    </w:rPr>
                    <w:t>·h。光伏方阵采用30°倾角固定系统</w:t>
                  </w:r>
                  <w:r>
                    <w:rPr>
                      <w:rFonts w:hint="default" w:ascii="Times New Roman" w:hAnsi="Times New Roman" w:eastAsia="宋体" w:cs="Times New Roman"/>
                      <w:color w:val="000000"/>
                      <w:sz w:val="21"/>
                      <w:szCs w:val="21"/>
                      <w:lang w:eastAsia="zh-CN"/>
                    </w:rPr>
                    <w:t>。</w:t>
                  </w:r>
                </w:p>
                <w:p w14:paraId="758261D9">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光伏电池组串按单元输入防雷汇流箱经电缆接入直流配电柜，然后经光伏并网逆变器接入35/0.315kV升压箱式变及配电装置升压后至本光伏电站的35kV开关站。</w:t>
                  </w:r>
                </w:p>
              </w:tc>
              <w:tc>
                <w:tcPr>
                  <w:tcW w:w="1459" w:type="pct"/>
                  <w:noWrap w:val="0"/>
                  <w:vAlign w:val="center"/>
                </w:tcPr>
                <w:p w14:paraId="6B19948D">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项目发电厂区占地面积306666.67m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w:t>
                  </w:r>
                  <w:r>
                    <w:rPr>
                      <w:rFonts w:hint="default" w:ascii="Times New Roman" w:hAnsi="Times New Roman" w:eastAsia="宋体" w:cs="Times New Roman"/>
                      <w:color w:val="000000"/>
                      <w:sz w:val="21"/>
                      <w:szCs w:val="21"/>
                      <w:lang w:val="en-US" w:eastAsia="zh-CN"/>
                    </w:rPr>
                    <w:t>460</w:t>
                  </w:r>
                  <w:r>
                    <w:rPr>
                      <w:rFonts w:hint="default" w:ascii="Times New Roman" w:hAnsi="Times New Roman" w:eastAsia="宋体" w:cs="Times New Roman"/>
                      <w:color w:val="000000"/>
                      <w:sz w:val="21"/>
                      <w:szCs w:val="21"/>
                    </w:rPr>
                    <w:t>亩；安装2</w:t>
                  </w:r>
                  <w:r>
                    <w:rPr>
                      <w:rFonts w:hint="eastAsia" w:ascii="Times New Roman" w:hAnsi="Times New Roman" w:eastAsia="宋体" w:cs="Times New Roman"/>
                      <w:color w:val="000000"/>
                      <w:sz w:val="21"/>
                      <w:szCs w:val="21"/>
                      <w:lang w:val="en-US" w:eastAsia="zh-CN"/>
                    </w:rPr>
                    <w:t>7</w:t>
                  </w:r>
                  <w:r>
                    <w:rPr>
                      <w:rFonts w:hint="default" w:ascii="Times New Roman" w:hAnsi="Times New Roman" w:eastAsia="宋体" w:cs="Times New Roman"/>
                      <w:color w:val="000000"/>
                      <w:sz w:val="21"/>
                      <w:szCs w:val="21"/>
                    </w:rPr>
                    <w:t>0Wp光伏组件数量为</w:t>
                  </w:r>
                  <w:r>
                    <w:rPr>
                      <w:rFonts w:hint="eastAsia" w:ascii="Times New Roman" w:hAnsi="Times New Roman" w:eastAsia="宋体" w:cs="Times New Roman"/>
                      <w:color w:val="000000"/>
                      <w:sz w:val="21"/>
                      <w:szCs w:val="21"/>
                      <w:lang w:val="en-US" w:eastAsia="zh-CN"/>
                    </w:rPr>
                    <w:t>74074</w:t>
                  </w:r>
                  <w:r>
                    <w:rPr>
                      <w:rFonts w:hint="default" w:ascii="Times New Roman" w:hAnsi="Times New Roman" w:eastAsia="宋体" w:cs="Times New Roman"/>
                      <w:color w:val="000000"/>
                      <w:sz w:val="21"/>
                      <w:szCs w:val="21"/>
                    </w:rPr>
                    <w:t>块，总的装机容量为</w:t>
                  </w:r>
                  <w:r>
                    <w:rPr>
                      <w:rFonts w:hint="eastAsia" w:ascii="Times New Roman" w:hAnsi="Times New Roman" w:eastAsia="宋体" w:cs="Times New Roman"/>
                      <w:color w:val="000000"/>
                      <w:sz w:val="21"/>
                      <w:szCs w:val="21"/>
                      <w:lang w:val="en-US" w:eastAsia="zh-CN"/>
                    </w:rPr>
                    <w:t>20</w:t>
                  </w:r>
                  <w:r>
                    <w:rPr>
                      <w:rFonts w:hint="default" w:ascii="Times New Roman" w:hAnsi="Times New Roman" w:eastAsia="宋体" w:cs="Times New Roman"/>
                      <w:color w:val="000000"/>
                      <w:sz w:val="21"/>
                      <w:szCs w:val="21"/>
                    </w:rPr>
                    <w:t>MW，年均发电量为</w:t>
                  </w:r>
                  <w:r>
                    <w:rPr>
                      <w:rFonts w:hint="default" w:ascii="Times New Roman" w:hAnsi="Times New Roman" w:eastAsia="宋体" w:cs="Times New Roman"/>
                      <w:color w:val="000000"/>
                      <w:sz w:val="21"/>
                      <w:szCs w:val="21"/>
                      <w:lang w:val="en-US" w:eastAsia="zh-CN"/>
                    </w:rPr>
                    <w:t>1900</w:t>
                  </w:r>
                  <w:r>
                    <w:rPr>
                      <w:rFonts w:hint="default" w:ascii="Times New Roman" w:hAnsi="Times New Roman" w:eastAsia="宋体" w:cs="Times New Roman"/>
                      <w:color w:val="000000"/>
                      <w:sz w:val="21"/>
                      <w:szCs w:val="21"/>
                    </w:rPr>
                    <w:t>万</w:t>
                  </w:r>
                  <w:r>
                    <w:rPr>
                      <w:rFonts w:hint="default" w:ascii="Times New Roman" w:hAnsi="Times New Roman" w:eastAsia="宋体" w:cs="Times New Roman"/>
                      <w:color w:val="000000"/>
                      <w:sz w:val="21"/>
                      <w:szCs w:val="21"/>
                      <w:lang w:eastAsia="zh-CN"/>
                    </w:rPr>
                    <w:t>kW</w:t>
                  </w:r>
                  <w:r>
                    <w:rPr>
                      <w:rFonts w:hint="default" w:ascii="Times New Roman" w:hAnsi="Times New Roman" w:eastAsia="宋体" w:cs="Times New Roman"/>
                      <w:color w:val="000000"/>
                      <w:sz w:val="21"/>
                      <w:szCs w:val="21"/>
                    </w:rPr>
                    <w:t>·h。光伏方阵采用30°倾角固定系统。</w:t>
                  </w:r>
                </w:p>
                <w:p w14:paraId="534FA3D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rPr>
                    <w:t>光伏电池组串按单元输入防雷汇流箱经电缆接入直流配电柜，然后经光伏并网逆变器接入35/0.315kV升压箱式变及配电装置升压后至本光伏电站的35kV开关站。</w:t>
                  </w:r>
                </w:p>
              </w:tc>
              <w:tc>
                <w:tcPr>
                  <w:tcW w:w="1200" w:type="pct"/>
                  <w:noWrap w:val="0"/>
                  <w:vAlign w:val="center"/>
                </w:tcPr>
                <w:p w14:paraId="5DFC53E3">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eastAsia" w:cs="Times New Roman"/>
                      <w:color w:val="000000" w:themeColor="text1"/>
                      <w:kern w:val="0"/>
                      <w:sz w:val="21"/>
                      <w:szCs w:val="21"/>
                      <w:shd w:val="clear" w:color="auto" w:fill="auto"/>
                      <w:lang w:val="en-US" w:eastAsia="zh-CN" w:bidi="ar-SA"/>
                      <w14:textFill>
                        <w14:solidFill>
                          <w14:schemeClr w14:val="tx1"/>
                        </w14:solidFill>
                      </w14:textFill>
                    </w:rPr>
                    <w:t>本项目环评阶段光伏区选址于六安市霍邱县邵岗乡坎山村X035县道。实际建设光伏区整体位置未发生变化，未超出原环评阶段选址范围，</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本项目光伏区实际建设面积减少67.1626亩（减少百分比为12.74%），光伏组件数量减少了</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4.3</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光伏组件型号由260Wp升级为</w:t>
                  </w:r>
                  <w:r>
                    <w:rPr>
                      <w:rFonts w:hint="default" w:ascii="Times New Roman" w:hAnsi="Times New Roman" w:eastAsia="宋体" w:cs="Times New Roman"/>
                      <w:color w:val="000000"/>
                      <w:sz w:val="21"/>
                      <w:szCs w:val="21"/>
                    </w:rPr>
                    <w:t>2</w:t>
                  </w:r>
                  <w:r>
                    <w:rPr>
                      <w:rFonts w:hint="eastAsia" w:cs="Times New Roman"/>
                      <w:color w:val="000000"/>
                      <w:sz w:val="21"/>
                      <w:szCs w:val="21"/>
                      <w:lang w:val="en-US" w:eastAsia="zh-CN"/>
                    </w:rPr>
                    <w:t>7</w:t>
                  </w:r>
                  <w:r>
                    <w:rPr>
                      <w:rFonts w:hint="default" w:ascii="Times New Roman" w:hAnsi="Times New Roman" w:eastAsia="宋体" w:cs="Times New Roman"/>
                      <w:color w:val="000000"/>
                      <w:sz w:val="21"/>
                      <w:szCs w:val="21"/>
                    </w:rPr>
                    <w:t>0Wp</w:t>
                  </w:r>
                  <w:r>
                    <w:rPr>
                      <w:rFonts w:hint="eastAsia" w:cs="Times New Roman"/>
                      <w:color w:val="000000"/>
                      <w:sz w:val="21"/>
                      <w:szCs w:val="21"/>
                      <w:lang w:eastAsia="zh-CN"/>
                    </w:rPr>
                    <w:t>。</w:t>
                  </w: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相应发电量</w:t>
                  </w:r>
                  <w:r>
                    <w:rPr>
                      <w:rFonts w:hint="eastAsia" w:cs="Times New Roman"/>
                      <w:color w:val="000000" w:themeColor="text1"/>
                      <w:kern w:val="0"/>
                      <w:sz w:val="21"/>
                      <w:szCs w:val="21"/>
                      <w:shd w:val="clear" w:color="auto" w:fill="auto"/>
                      <w:lang w:val="en-US" w:eastAsia="zh-CN" w:bidi="ar-SA"/>
                      <w14:textFill>
                        <w14:solidFill>
                          <w14:schemeClr w14:val="tx1"/>
                        </w14:solidFill>
                      </w14:textFill>
                    </w:rPr>
                    <w:t>与装机容量不变</w:t>
                  </w:r>
                </w:p>
              </w:tc>
            </w:tr>
            <w:tr w14:paraId="15E53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3D1AF30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209" w:type="pct"/>
                  <w:vMerge w:val="continue"/>
                  <w:noWrap w:val="0"/>
                  <w:vAlign w:val="center"/>
                </w:tcPr>
                <w:p w14:paraId="768E853C">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p>
              </w:tc>
              <w:tc>
                <w:tcPr>
                  <w:tcW w:w="256" w:type="pct"/>
                  <w:vMerge w:val="restart"/>
                  <w:noWrap w:val="0"/>
                  <w:vAlign w:val="center"/>
                </w:tcPr>
                <w:p w14:paraId="31489DAE">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w:t>
                  </w:r>
                </w:p>
              </w:tc>
              <w:tc>
                <w:tcPr>
                  <w:tcW w:w="1673" w:type="pct"/>
                  <w:noWrap w:val="0"/>
                  <w:vAlign w:val="center"/>
                </w:tcPr>
                <w:p w14:paraId="5977B20A">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升压站区占地面积3256.98m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4.89亩；布置在项目区西南侧。主要布置有综合办公楼、35KV升压装置、10KV配电室、SVG控制室、继电保护室及主控室、资料室、会议室、无功补偿室、值班室、工具间、停车场、检修场地、事故油池、冲洗水泵房等。</w:t>
                  </w:r>
                </w:p>
              </w:tc>
              <w:tc>
                <w:tcPr>
                  <w:tcW w:w="1459" w:type="pct"/>
                  <w:noWrap w:val="0"/>
                  <w:vAlign w:val="center"/>
                </w:tcPr>
                <w:p w14:paraId="1D468858">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升压站区占地面积</w:t>
                  </w:r>
                  <w:r>
                    <w:rPr>
                      <w:rFonts w:hint="default" w:ascii="Times New Roman" w:hAnsi="Times New Roman" w:eastAsia="宋体" w:cs="Times New Roman"/>
                      <w:color w:val="000000"/>
                      <w:sz w:val="21"/>
                      <w:szCs w:val="21"/>
                      <w:lang w:val="en-US" w:eastAsia="zh-CN"/>
                    </w:rPr>
                    <w:t>2600</w:t>
                  </w:r>
                  <w:r>
                    <w:rPr>
                      <w:rFonts w:hint="default" w:ascii="Times New Roman" w:hAnsi="Times New Roman" w:eastAsia="宋体" w:cs="Times New Roman"/>
                      <w:color w:val="000000"/>
                      <w:sz w:val="21"/>
                      <w:szCs w:val="21"/>
                    </w:rPr>
                    <w:t>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，折</w:t>
                  </w:r>
                  <w:r>
                    <w:rPr>
                      <w:rFonts w:hint="default" w:ascii="Times New Roman" w:hAnsi="Times New Roman" w:eastAsia="宋体" w:cs="Times New Roman"/>
                      <w:color w:val="000000"/>
                      <w:sz w:val="21"/>
                      <w:szCs w:val="21"/>
                      <w:lang w:val="en-US" w:eastAsia="zh-CN"/>
                    </w:rPr>
                    <w:t>3.9</w:t>
                  </w:r>
                  <w:r>
                    <w:rPr>
                      <w:rFonts w:hint="default" w:ascii="Times New Roman" w:hAnsi="Times New Roman" w:eastAsia="宋体" w:cs="Times New Roman"/>
                      <w:color w:val="000000"/>
                      <w:sz w:val="21"/>
                      <w:szCs w:val="21"/>
                    </w:rPr>
                    <w:t>亩；布置在项目区西南侧。主要布置有综合办公楼、35KV升压装置、10KV配电室、SVG控制室、继电保护室及主控室、无功补偿室、工具间、检修场地、事故油池等。</w:t>
                  </w:r>
                </w:p>
              </w:tc>
              <w:tc>
                <w:tcPr>
                  <w:tcW w:w="1200" w:type="pct"/>
                  <w:noWrap w:val="0"/>
                  <w:vAlign w:val="center"/>
                </w:tcPr>
                <w:p w14:paraId="6B1CDDC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rPr>
                  </w:pPr>
                  <w:r>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t>本项目升压站实际建设面积减少0.99亩（减少百分比为20.25%），主要功能未发生变化。</w:t>
                  </w:r>
                </w:p>
              </w:tc>
            </w:tr>
            <w:tr w14:paraId="147E7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F163D7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209" w:type="pct"/>
                  <w:noWrap w:val="0"/>
                  <w:vAlign w:val="center"/>
                </w:tcPr>
                <w:p w14:paraId="6AEA5A2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线路</w:t>
                  </w:r>
                </w:p>
              </w:tc>
              <w:tc>
                <w:tcPr>
                  <w:tcW w:w="256" w:type="pct"/>
                  <w:vMerge w:val="continue"/>
                  <w:noWrap w:val="0"/>
                  <w:vAlign w:val="center"/>
                </w:tcPr>
                <w:p w14:paraId="2EA188A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p>
              </w:tc>
              <w:tc>
                <w:tcPr>
                  <w:tcW w:w="1673" w:type="pct"/>
                  <w:noWrap w:val="0"/>
                  <w:vAlign w:val="center"/>
                </w:tcPr>
                <w:p w14:paraId="5E15BE88">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1km送出线路</w:t>
                  </w:r>
                </w:p>
              </w:tc>
              <w:tc>
                <w:tcPr>
                  <w:tcW w:w="1459" w:type="pct"/>
                  <w:noWrap w:val="0"/>
                  <w:vAlign w:val="center"/>
                </w:tcPr>
                <w:p w14:paraId="0DBA06B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升压站出线后，配套建设了1km送出线路</w:t>
                  </w:r>
                </w:p>
              </w:tc>
              <w:tc>
                <w:tcPr>
                  <w:tcW w:w="1200" w:type="pct"/>
                  <w:noWrap w:val="0"/>
                  <w:vAlign w:val="center"/>
                </w:tcPr>
                <w:p w14:paraId="511E4F5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sz w:val="21"/>
                      <w:szCs w:val="21"/>
                      <w:lang w:val="en-US" w:eastAsia="zh-CN"/>
                    </w:rPr>
                    <w:t>无变化</w:t>
                  </w:r>
                </w:p>
              </w:tc>
            </w:tr>
            <w:tr w14:paraId="088E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753AF62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辅助工程</w:t>
                  </w:r>
                </w:p>
              </w:tc>
              <w:tc>
                <w:tcPr>
                  <w:tcW w:w="466" w:type="pct"/>
                  <w:gridSpan w:val="2"/>
                  <w:noWrap w:val="0"/>
                  <w:vAlign w:val="center"/>
                </w:tcPr>
                <w:p w14:paraId="5DED5CC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综合楼</w:t>
                  </w:r>
                </w:p>
              </w:tc>
              <w:tc>
                <w:tcPr>
                  <w:tcW w:w="1673" w:type="pct"/>
                  <w:noWrap w:val="0"/>
                  <w:vAlign w:val="center"/>
                </w:tcPr>
                <w:p w14:paraId="2A6CBB03">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综合楼为单层框架结构形式，建筑面积为820m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；综合楼的平面功能组成：综合楼由生产（监控室及工具室等）、办公（办公室、会议室）、生活（宿舍、餐厅、厨房）三部分组成。</w:t>
                  </w:r>
                </w:p>
              </w:tc>
              <w:tc>
                <w:tcPr>
                  <w:tcW w:w="1459" w:type="pct"/>
                  <w:noWrap w:val="0"/>
                  <w:vAlign w:val="center"/>
                </w:tcPr>
                <w:p w14:paraId="2D60B19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综合楼为单层框架结构形式，建筑面积为820m</w:t>
                  </w:r>
                  <w:r>
                    <w:rPr>
                      <w:rFonts w:hint="default" w:ascii="Times New Roman" w:hAnsi="Times New Roman" w:eastAsia="宋体" w:cs="Times New Roman"/>
                      <w:color w:val="000000"/>
                      <w:sz w:val="21"/>
                      <w:szCs w:val="21"/>
                      <w:vertAlign w:val="superscript"/>
                    </w:rPr>
                    <w:t>2</w:t>
                  </w:r>
                  <w:r>
                    <w:rPr>
                      <w:rFonts w:hint="default" w:ascii="Times New Roman" w:hAnsi="Times New Roman" w:eastAsia="宋体" w:cs="Times New Roman"/>
                      <w:color w:val="000000"/>
                      <w:sz w:val="21"/>
                      <w:szCs w:val="21"/>
                    </w:rPr>
                    <w:t>；综合楼的平面功能组成：综合楼由生产（监控室及工具室等）、办公（办公室、会议室）、生活（宿舍、餐厅、厨房）三部分组成。</w:t>
                  </w:r>
                </w:p>
              </w:tc>
              <w:tc>
                <w:tcPr>
                  <w:tcW w:w="1200" w:type="pct"/>
                  <w:noWrap w:val="0"/>
                  <w:vAlign w:val="center"/>
                </w:tcPr>
                <w:p w14:paraId="24D3E9C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712EE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28785BE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307047A">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道路</w:t>
                  </w:r>
                </w:p>
              </w:tc>
              <w:tc>
                <w:tcPr>
                  <w:tcW w:w="1673" w:type="pct"/>
                  <w:noWrap w:val="0"/>
                  <w:vAlign w:val="center"/>
                </w:tcPr>
                <w:p w14:paraId="258C3A7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进站道路和光伏发电区道路采用泥结石路面，路面宽度设计为4米，保证工程及消防车辆顺利通过。主干道及光伏阵列单元间道路转弯半径为6</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9m。站内主要道路和进站道路基本在场地老路路基基础上建设</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少量新建</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，以减少道路基础处理量和对场地原有自然地面条件的扰动。</w:t>
                  </w:r>
                </w:p>
              </w:tc>
              <w:tc>
                <w:tcPr>
                  <w:tcW w:w="1459" w:type="pct"/>
                  <w:noWrap w:val="0"/>
                  <w:vAlign w:val="center"/>
                </w:tcPr>
                <w:p w14:paraId="5A7C669E">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进站道路和光伏发电区道路采用泥结石路面，路面宽度设计为4米，保证工程及消防车辆顺利通过。主干道及光伏阵列单元间道路转弯半径为6</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9m。</w:t>
                  </w:r>
                </w:p>
              </w:tc>
              <w:tc>
                <w:tcPr>
                  <w:tcW w:w="1200" w:type="pct"/>
                  <w:noWrap w:val="0"/>
                  <w:vAlign w:val="center"/>
                </w:tcPr>
                <w:p w14:paraId="333751C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3BF1B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64D1511B">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公用工程</w:t>
                  </w:r>
                </w:p>
              </w:tc>
              <w:tc>
                <w:tcPr>
                  <w:tcW w:w="466" w:type="pct"/>
                  <w:gridSpan w:val="2"/>
                  <w:noWrap w:val="0"/>
                  <w:vAlign w:val="center"/>
                </w:tcPr>
                <w:p w14:paraId="09E15CAA">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供水</w:t>
                  </w:r>
                </w:p>
              </w:tc>
              <w:tc>
                <w:tcPr>
                  <w:tcW w:w="1673" w:type="pct"/>
                  <w:noWrap w:val="0"/>
                  <w:vAlign w:val="center"/>
                </w:tcPr>
                <w:p w14:paraId="3EA9428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项目供水取自地下井水；主要用于站区生活办公用水及光伏组件清洗用水。</w:t>
                  </w:r>
                </w:p>
              </w:tc>
              <w:tc>
                <w:tcPr>
                  <w:tcW w:w="1459" w:type="pct"/>
                  <w:noWrap w:val="0"/>
                  <w:vAlign w:val="center"/>
                </w:tcPr>
                <w:p w14:paraId="28141051">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项目供水取自地下井水；主要用于站区生活办公用水及光伏组件清洗用水。</w:t>
                  </w:r>
                </w:p>
              </w:tc>
              <w:tc>
                <w:tcPr>
                  <w:tcW w:w="1200" w:type="pct"/>
                  <w:noWrap w:val="0"/>
                  <w:vAlign w:val="center"/>
                </w:tcPr>
                <w:p w14:paraId="78B1441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77F54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E0D612C">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7AAF8792">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排水</w:t>
                  </w:r>
                </w:p>
              </w:tc>
              <w:tc>
                <w:tcPr>
                  <w:tcW w:w="1673" w:type="pct"/>
                  <w:noWrap w:val="0"/>
                  <w:vAlign w:val="center"/>
                </w:tcPr>
                <w:p w14:paraId="4EDD78A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项目区实行雨污分流；雨水经站区雨水管网流入周边地表沟渠，生活污水经化粪池收集处理后定期清掏，用作周边农业施肥不外排，光伏组件清洗废水直接用作喜阴作物灌溉用水。</w:t>
                  </w:r>
                </w:p>
              </w:tc>
              <w:tc>
                <w:tcPr>
                  <w:tcW w:w="1459" w:type="pct"/>
                  <w:shd w:val="clear" w:color="auto" w:fill="auto"/>
                  <w:noWrap w:val="0"/>
                  <w:vAlign w:val="center"/>
                </w:tcPr>
                <w:p w14:paraId="382F0E70">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项目区实行雨污分流；雨水经站区雨水管网流入周边地表沟渠，生活污水经化粪池收集处理后定期清掏，用作周边农业施肥不外排，光伏组件清洗废水直接</w:t>
                  </w:r>
                  <w:r>
                    <w:rPr>
                      <w:rFonts w:hint="default" w:ascii="Times New Roman" w:hAnsi="Times New Roman" w:eastAsia="宋体" w:cs="Times New Roman"/>
                      <w:color w:val="000000"/>
                      <w:sz w:val="21"/>
                      <w:szCs w:val="21"/>
                      <w:lang w:val="en-US" w:eastAsia="zh-CN"/>
                    </w:rPr>
                    <w:t>排入下方池塘</w:t>
                  </w:r>
                  <w:r>
                    <w:rPr>
                      <w:rFonts w:hint="default" w:ascii="Times New Roman" w:hAnsi="Times New Roman" w:eastAsia="宋体" w:cs="Times New Roman"/>
                      <w:color w:val="000000"/>
                      <w:sz w:val="21"/>
                      <w:szCs w:val="21"/>
                    </w:rPr>
                    <w:t>。</w:t>
                  </w:r>
                </w:p>
              </w:tc>
              <w:tc>
                <w:tcPr>
                  <w:tcW w:w="1200" w:type="pct"/>
                  <w:noWrap w:val="0"/>
                  <w:vAlign w:val="center"/>
                </w:tcPr>
                <w:p w14:paraId="36AFDE93">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项目实际运营中，光伏组件清洗废水因安装高度及水面布局限制无法有效收集，直接排入下方池塘。根据</w:t>
                  </w:r>
                  <w:r>
                    <w:rPr>
                      <w:rFonts w:hint="default" w:ascii="Times New Roman" w:hAnsi="Times New Roman" w:eastAsia="宋体" w:cs="Times New Roman"/>
                      <w:color w:val="000000"/>
                      <w:sz w:val="21"/>
                      <w:szCs w:val="21"/>
                      <w:lang w:val="en-US" w:eastAsia="zh-CN"/>
                    </w:rPr>
                    <w:t>同类型项目经验</w:t>
                  </w:r>
                  <w:r>
                    <w:rPr>
                      <w:rFonts w:hint="default" w:ascii="Times New Roman" w:hAnsi="Times New Roman" w:eastAsia="宋体" w:cs="Times New Roman"/>
                      <w:color w:val="000000"/>
                      <w:sz w:val="21"/>
                      <w:szCs w:val="21"/>
                    </w:rPr>
                    <w:t>，废水中主要污染物为悬浮物，且池塘水体功能为养殖用水，废水排放未对水质造成显著影响。该调整未导致污染物总量增加或环境风险升高，符合环评中“废水综合利用”的总体要求</w:t>
                  </w:r>
                  <w:r>
                    <w:rPr>
                      <w:rFonts w:hint="default" w:ascii="Times New Roman" w:hAnsi="Times New Roman" w:eastAsia="宋体" w:cs="Times New Roman"/>
                      <w:color w:val="000000"/>
                      <w:sz w:val="21"/>
                      <w:szCs w:val="21"/>
                      <w:lang w:eastAsia="zh-CN"/>
                    </w:rPr>
                    <w:t>。</w:t>
                  </w:r>
                </w:p>
              </w:tc>
            </w:tr>
            <w:tr w14:paraId="6403A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41E884D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73B499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rPr>
                    <w:t>供电</w:t>
                  </w:r>
                </w:p>
              </w:tc>
              <w:tc>
                <w:tcPr>
                  <w:tcW w:w="1673" w:type="pct"/>
                  <w:noWrap w:val="0"/>
                  <w:vAlign w:val="center"/>
                </w:tcPr>
                <w:p w14:paraId="2A5CCB82">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施工期用电引自周边现有的电力供电线路；运营期生活用电电源由升压站内配电装置引接。</w:t>
                  </w:r>
                </w:p>
              </w:tc>
              <w:tc>
                <w:tcPr>
                  <w:tcW w:w="1459" w:type="pct"/>
                  <w:shd w:val="clear" w:color="auto" w:fill="auto"/>
                  <w:noWrap w:val="0"/>
                  <w:vAlign w:val="center"/>
                </w:tcPr>
                <w:p w14:paraId="2DF2EC77">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施工期用电引自周边现有的电力供电线路；运营期生活用电电源由升压站内配电装置引接。</w:t>
                  </w:r>
                </w:p>
              </w:tc>
              <w:tc>
                <w:tcPr>
                  <w:tcW w:w="1200" w:type="pct"/>
                  <w:noWrap w:val="0"/>
                  <w:vAlign w:val="center"/>
                </w:tcPr>
                <w:p w14:paraId="19EC988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4320C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restart"/>
                  <w:noWrap w:val="0"/>
                  <w:vAlign w:val="center"/>
                </w:tcPr>
                <w:p w14:paraId="24C5A82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sz w:val="21"/>
                      <w:szCs w:val="21"/>
                    </w:rPr>
                    <w:t>环保工程</w:t>
                  </w:r>
                </w:p>
              </w:tc>
              <w:tc>
                <w:tcPr>
                  <w:tcW w:w="466" w:type="pct"/>
                  <w:gridSpan w:val="2"/>
                  <w:noWrap w:val="0"/>
                  <w:vAlign w:val="center"/>
                </w:tcPr>
                <w:p w14:paraId="729FC905">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废水治理</w:t>
                  </w:r>
                </w:p>
              </w:tc>
              <w:tc>
                <w:tcPr>
                  <w:tcW w:w="1673" w:type="pct"/>
                  <w:noWrap w:val="0"/>
                  <w:vAlign w:val="center"/>
                </w:tcPr>
                <w:p w14:paraId="7A403676">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生活污水经化粪池收集处理后定期清掏，用作周边农业施肥不外排，光伏组件清洗废水直接留至光伏面板下方，用作喜阴作物灌溉用水。</w:t>
                  </w:r>
                </w:p>
              </w:tc>
              <w:tc>
                <w:tcPr>
                  <w:tcW w:w="1459" w:type="pct"/>
                  <w:noWrap w:val="0"/>
                  <w:vAlign w:val="center"/>
                </w:tcPr>
                <w:p w14:paraId="2FD3AAD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生活污水经化粪池收集处理后定期清掏，用作周边农业施肥不外排，光伏组件清洗废水直接</w:t>
                  </w:r>
                  <w:r>
                    <w:rPr>
                      <w:rFonts w:hint="default" w:ascii="Times New Roman" w:hAnsi="Times New Roman" w:eastAsia="宋体" w:cs="Times New Roman"/>
                      <w:color w:val="000000"/>
                      <w:sz w:val="21"/>
                      <w:szCs w:val="21"/>
                      <w:lang w:val="en-US" w:eastAsia="zh-CN"/>
                    </w:rPr>
                    <w:t>排入下方池塘</w:t>
                  </w:r>
                  <w:r>
                    <w:rPr>
                      <w:rFonts w:hint="default" w:ascii="Times New Roman" w:hAnsi="Times New Roman" w:eastAsia="宋体" w:cs="Times New Roman"/>
                      <w:color w:val="000000"/>
                      <w:sz w:val="21"/>
                      <w:szCs w:val="21"/>
                    </w:rPr>
                    <w:t>。</w:t>
                  </w:r>
                </w:p>
              </w:tc>
              <w:tc>
                <w:tcPr>
                  <w:tcW w:w="1200" w:type="pct"/>
                  <w:noWrap w:val="0"/>
                  <w:vAlign w:val="center"/>
                </w:tcPr>
                <w:p w14:paraId="0A00A45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项目实际运营中，光伏组件清洗废水因安装高度及水面布局限制无法有效收集，直接排入下方池塘。根据</w:t>
                  </w:r>
                  <w:r>
                    <w:rPr>
                      <w:rFonts w:hint="default" w:ascii="Times New Roman" w:hAnsi="Times New Roman" w:eastAsia="宋体" w:cs="Times New Roman"/>
                      <w:color w:val="000000"/>
                      <w:sz w:val="21"/>
                      <w:szCs w:val="21"/>
                      <w:lang w:val="en-US" w:eastAsia="zh-CN"/>
                    </w:rPr>
                    <w:t>同类型项目经验</w:t>
                  </w:r>
                  <w:r>
                    <w:rPr>
                      <w:rFonts w:hint="default" w:ascii="Times New Roman" w:hAnsi="Times New Roman" w:eastAsia="宋体" w:cs="Times New Roman"/>
                      <w:color w:val="000000"/>
                      <w:sz w:val="21"/>
                      <w:szCs w:val="21"/>
                    </w:rPr>
                    <w:t>，废水中主要污染物为悬浮物，且池塘水体功能为养殖用水，废水排放未对水质造成显著影响。该调整未导致污染物总量增加或环境风险升高，符合环评中“废水综合利用”的总体要求</w:t>
                  </w:r>
                  <w:r>
                    <w:rPr>
                      <w:rFonts w:hint="default" w:ascii="Times New Roman" w:hAnsi="Times New Roman" w:eastAsia="宋体" w:cs="Times New Roman"/>
                      <w:color w:val="000000"/>
                      <w:sz w:val="21"/>
                      <w:szCs w:val="21"/>
                      <w:lang w:eastAsia="zh-CN"/>
                    </w:rPr>
                    <w:t>。</w:t>
                  </w:r>
                </w:p>
              </w:tc>
            </w:tr>
            <w:tr w14:paraId="535B3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4C99A0A4">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429B1DB9">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固废治理</w:t>
                  </w:r>
                </w:p>
              </w:tc>
              <w:tc>
                <w:tcPr>
                  <w:tcW w:w="1673" w:type="pct"/>
                  <w:noWrap w:val="0"/>
                  <w:vAlign w:val="center"/>
                </w:tcPr>
                <w:p w14:paraId="6C455B1E">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废旧的光伏组件、废电池直接由设备生产厂家回收处置；废油收集后及时交有资质单位处理；生活垃圾分类收集后交环卫部门统一清运处理。</w:t>
                  </w:r>
                </w:p>
              </w:tc>
              <w:tc>
                <w:tcPr>
                  <w:tcW w:w="1459" w:type="pct"/>
                  <w:noWrap w:val="0"/>
                  <w:vAlign w:val="center"/>
                </w:tcPr>
                <w:p w14:paraId="22734DA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废旧的光伏组件、废电池直接由设备生产厂家回收处置；废油收集后及时交有资质单位处理；生活垃圾分类收集后交环卫部门统一清运处理。</w:t>
                  </w:r>
                </w:p>
              </w:tc>
              <w:tc>
                <w:tcPr>
                  <w:tcW w:w="1200" w:type="pct"/>
                  <w:noWrap w:val="0"/>
                  <w:vAlign w:val="center"/>
                </w:tcPr>
                <w:p w14:paraId="2E096DDF">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无变化</w:t>
                  </w:r>
                </w:p>
              </w:tc>
            </w:tr>
            <w:tr w14:paraId="569D4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171ECB5">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5CD7978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噪声治理</w:t>
                  </w:r>
                </w:p>
              </w:tc>
              <w:tc>
                <w:tcPr>
                  <w:tcW w:w="1673" w:type="pct"/>
                  <w:noWrap w:val="0"/>
                  <w:vAlign w:val="center"/>
                </w:tcPr>
                <w:p w14:paraId="714595C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单独设备房、建筑物的隔声降噪、基础减振等措施，加强设备保养及厂区绿化。</w:t>
                  </w:r>
                </w:p>
              </w:tc>
              <w:tc>
                <w:tcPr>
                  <w:tcW w:w="1459" w:type="pct"/>
                  <w:noWrap w:val="0"/>
                  <w:vAlign w:val="center"/>
                </w:tcPr>
                <w:p w14:paraId="76CF6FA6">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单独设备房、建筑物的隔声降噪、基础减振等措施，加强设备保养及厂区绿化。</w:t>
                  </w:r>
                </w:p>
              </w:tc>
              <w:tc>
                <w:tcPr>
                  <w:tcW w:w="1200" w:type="pct"/>
                  <w:noWrap w:val="0"/>
                  <w:vAlign w:val="center"/>
                </w:tcPr>
                <w:p w14:paraId="380CA2DD">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3BD1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0AC3B7A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3658CAF3">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水土保持措施</w:t>
                  </w:r>
                </w:p>
              </w:tc>
              <w:tc>
                <w:tcPr>
                  <w:tcW w:w="1673" w:type="pct"/>
                  <w:noWrap w:val="0"/>
                  <w:vAlign w:val="center"/>
                </w:tcPr>
                <w:p w14:paraId="3D86C6FC">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zh-CN"/>
                    </w:rPr>
                    <w:t>本项目的防治责任范围划分为光伏阵列工程、控制管理工程、道路工程、施工生产生活场地等</w:t>
                  </w:r>
                  <w:r>
                    <w:rPr>
                      <w:rFonts w:hint="default" w:ascii="Times New Roman" w:hAnsi="Times New Roman" w:eastAsia="宋体" w:cs="Times New Roman"/>
                      <w:color w:val="000000"/>
                      <w:sz w:val="21"/>
                      <w:szCs w:val="21"/>
                    </w:rPr>
                    <w:t>4</w:t>
                  </w:r>
                  <w:r>
                    <w:rPr>
                      <w:rFonts w:hint="default" w:ascii="Times New Roman" w:hAnsi="Times New Roman" w:eastAsia="宋体" w:cs="Times New Roman"/>
                      <w:color w:val="000000"/>
                      <w:sz w:val="21"/>
                      <w:szCs w:val="21"/>
                      <w:lang w:val="zh-CN"/>
                    </w:rPr>
                    <w:t>个防治区，通过</w:t>
                  </w:r>
                  <w:r>
                    <w:rPr>
                      <w:rFonts w:hint="default" w:ascii="Times New Roman" w:hAnsi="Times New Roman" w:eastAsia="宋体" w:cs="Times New Roman"/>
                      <w:color w:val="000000"/>
                      <w:sz w:val="21"/>
                      <w:szCs w:val="21"/>
                    </w:rPr>
                    <w:t>采用工程措施、植物措施、临时措施和管理措施相结合的综合防护措施</w:t>
                  </w:r>
                  <w:r>
                    <w:rPr>
                      <w:rFonts w:hint="default" w:ascii="Times New Roman" w:hAnsi="Times New Roman" w:eastAsia="宋体" w:cs="Times New Roman"/>
                      <w:color w:val="000000"/>
                      <w:sz w:val="21"/>
                      <w:szCs w:val="21"/>
                      <w:lang w:val="zh-CN"/>
                    </w:rPr>
                    <w:t>，形成完整的防治体系。根据不同的施工区特点，建立分区防治措施体系，即工程水土保持措施以“点”为防治重点，实现以“点”带“面”，做好项目区水土流失防治工作。</w:t>
                  </w:r>
                </w:p>
              </w:tc>
              <w:tc>
                <w:tcPr>
                  <w:tcW w:w="1459" w:type="pct"/>
                  <w:shd w:val="clear" w:color="auto" w:fill="auto"/>
                  <w:noWrap w:val="0"/>
                  <w:vAlign w:val="center"/>
                </w:tcPr>
                <w:p w14:paraId="04F172E1">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lang w:val="zh-CN"/>
                    </w:rPr>
                    <w:t>本项目的防治责任范围划分为光伏阵列工程、控制管理工程、道路工程、施工生产生活场地等</w:t>
                  </w:r>
                  <w:r>
                    <w:rPr>
                      <w:rFonts w:hint="default" w:ascii="Times New Roman" w:hAnsi="Times New Roman" w:eastAsia="宋体" w:cs="Times New Roman"/>
                      <w:color w:val="000000"/>
                      <w:sz w:val="21"/>
                      <w:szCs w:val="21"/>
                    </w:rPr>
                    <w:t>4</w:t>
                  </w:r>
                  <w:r>
                    <w:rPr>
                      <w:rFonts w:hint="default" w:ascii="Times New Roman" w:hAnsi="Times New Roman" w:eastAsia="宋体" w:cs="Times New Roman"/>
                      <w:color w:val="000000"/>
                      <w:sz w:val="21"/>
                      <w:szCs w:val="21"/>
                      <w:lang w:val="zh-CN"/>
                    </w:rPr>
                    <w:t>个防治区，通过</w:t>
                  </w:r>
                  <w:r>
                    <w:rPr>
                      <w:rFonts w:hint="default" w:ascii="Times New Roman" w:hAnsi="Times New Roman" w:eastAsia="宋体" w:cs="Times New Roman"/>
                      <w:color w:val="000000"/>
                      <w:sz w:val="21"/>
                      <w:szCs w:val="21"/>
                    </w:rPr>
                    <w:t>采用工程措施、植物措施、临时措施和管理措施相结合的综合防护措施</w:t>
                  </w:r>
                  <w:r>
                    <w:rPr>
                      <w:rFonts w:hint="default" w:ascii="Times New Roman" w:hAnsi="Times New Roman" w:eastAsia="宋体" w:cs="Times New Roman"/>
                      <w:color w:val="000000"/>
                      <w:sz w:val="21"/>
                      <w:szCs w:val="21"/>
                      <w:lang w:val="zh-CN"/>
                    </w:rPr>
                    <w:t>，形成完整的防治体系。根据不同的施工区域特点。</w:t>
                  </w:r>
                </w:p>
              </w:tc>
              <w:tc>
                <w:tcPr>
                  <w:tcW w:w="1200" w:type="pct"/>
                  <w:noWrap w:val="0"/>
                  <w:vAlign w:val="center"/>
                </w:tcPr>
                <w:p w14:paraId="69F560B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r w14:paraId="2D0FE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50" w:hRule="atLeast"/>
                <w:jc w:val="center"/>
              </w:trPr>
              <w:tc>
                <w:tcPr>
                  <w:tcW w:w="199" w:type="pct"/>
                  <w:vMerge w:val="continue"/>
                  <w:noWrap w:val="0"/>
                  <w:vAlign w:val="center"/>
                </w:tcPr>
                <w:p w14:paraId="5786306A">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466" w:type="pct"/>
                  <w:gridSpan w:val="2"/>
                  <w:noWrap w:val="0"/>
                  <w:vAlign w:val="center"/>
                </w:tcPr>
                <w:p w14:paraId="1ECC7224">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风险措施</w:t>
                  </w:r>
                </w:p>
              </w:tc>
              <w:tc>
                <w:tcPr>
                  <w:tcW w:w="1673" w:type="pct"/>
                  <w:noWrap w:val="0"/>
                  <w:vAlign w:val="center"/>
                </w:tcPr>
                <w:p w14:paraId="1077D79F">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在每个变压器下方设封闭事故油池。</w:t>
                  </w:r>
                </w:p>
              </w:tc>
              <w:tc>
                <w:tcPr>
                  <w:tcW w:w="1459" w:type="pct"/>
                  <w:shd w:val="clear" w:color="auto" w:fill="auto"/>
                  <w:noWrap w:val="0"/>
                  <w:vAlign w:val="center"/>
                </w:tcPr>
                <w:p w14:paraId="457B138B">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lang w:val="zh-CN" w:eastAsia="zh-CN" w:bidi="zh-CN"/>
                    </w:rPr>
                  </w:pPr>
                  <w:r>
                    <w:rPr>
                      <w:rFonts w:hint="default" w:ascii="Times New Roman" w:hAnsi="Times New Roman" w:eastAsia="宋体" w:cs="Times New Roman"/>
                      <w:color w:val="000000"/>
                      <w:sz w:val="21"/>
                      <w:szCs w:val="21"/>
                    </w:rPr>
                    <w:t>在每个变压器下方设封闭事故油池。</w:t>
                  </w:r>
                </w:p>
              </w:tc>
              <w:tc>
                <w:tcPr>
                  <w:tcW w:w="1200" w:type="pct"/>
                  <w:noWrap w:val="0"/>
                  <w:vAlign w:val="center"/>
                </w:tcPr>
                <w:p w14:paraId="5EEE7780">
                  <w:pPr>
                    <w:keepNext w:val="0"/>
                    <w:keepLines w:val="0"/>
                    <w:pageBreakBefore w:val="0"/>
                    <w:widowControl w:val="0"/>
                    <w:kinsoku/>
                    <w:wordWrap/>
                    <w:overflowPunct/>
                    <w:topLinePunct w:val="0"/>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lang w:val="en-US" w:eastAsia="zh-CN"/>
                    </w:rPr>
                    <w:t>无变化</w:t>
                  </w:r>
                </w:p>
              </w:tc>
            </w:tr>
          </w:tbl>
          <w:p w14:paraId="258801C9">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4FB55E76">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0F6FEF03">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786B3E26">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2341898F">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6E66200C">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p>
          <w:p w14:paraId="28AD644A">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2、工程规模及主要参数</w:t>
            </w:r>
          </w:p>
          <w:p w14:paraId="57CB559C">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环评生产规模及产品方案：光伏发电工程装机交流侧容量为</w:t>
            </w:r>
            <w:r>
              <w:rPr>
                <w:rFonts w:hint="eastAsia"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20</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MW；项目建成后，年平均发电量为</w:t>
            </w:r>
            <w:r>
              <w:rPr>
                <w:rFonts w:hint="eastAsia"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4"/>
                <w:szCs w:val="24"/>
                <w:lang w:val="en-US" w:eastAsia="zh-CN" w:bidi="ar"/>
              </w:rPr>
              <w:t>万</w:t>
            </w:r>
            <w:r>
              <w:rPr>
                <w:rFonts w:hint="default" w:ascii="Times New Roman" w:hAnsi="Times New Roman" w:eastAsia="宋体" w:cs="Times New Roman"/>
                <w:b w:val="0"/>
                <w:bCs w:val="0"/>
                <w:color w:val="000000"/>
                <w:kern w:val="0"/>
                <w:sz w:val="21"/>
                <w:szCs w:val="21"/>
                <w:lang w:val="en-US" w:eastAsia="zh-CN" w:bidi="ar"/>
              </w:rPr>
              <w:t>kW·h</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w:t>
            </w:r>
          </w:p>
          <w:p w14:paraId="7A9C3CD0">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实际生产规模及产品方案：项目装机容量为</w:t>
            </w:r>
            <w:r>
              <w:rPr>
                <w:rFonts w:hint="eastAsia" w:cs="Times New Roman"/>
                <w:b w:val="0"/>
                <w:bCs w:val="0"/>
                <w:color w:val="000000" w:themeColor="text1"/>
                <w:kern w:val="2"/>
                <w:szCs w:val="24"/>
                <w:shd w:val="clear" w:color="auto" w:fill="auto"/>
                <w:lang w:val="en-US" w:eastAsia="zh-CN" w:bidi="ar-SA"/>
                <w14:textFill>
                  <w14:solidFill>
                    <w14:schemeClr w14:val="tx1"/>
                  </w14:solidFill>
                </w14:textFill>
              </w:rPr>
              <w:t>20</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MW，年平均发电量为</w:t>
            </w:r>
            <w:r>
              <w:rPr>
                <w:rFonts w:hint="eastAsia" w:cs="Times New Roman"/>
                <w:b w:val="0"/>
                <w:bCs w:val="0"/>
                <w:color w:val="000000" w:themeColor="text1"/>
                <w:kern w:val="2"/>
                <w:szCs w:val="24"/>
                <w:shd w:val="clear" w:color="auto" w:fill="auto"/>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4"/>
                <w:szCs w:val="24"/>
                <w:lang w:val="en-US" w:eastAsia="zh-CN" w:bidi="ar"/>
              </w:rPr>
              <w:t>万</w:t>
            </w:r>
            <w:r>
              <w:rPr>
                <w:rFonts w:hint="default" w:ascii="Times New Roman" w:hAnsi="Times New Roman" w:eastAsia="宋体" w:cs="Times New Roman"/>
                <w:b w:val="0"/>
                <w:bCs w:val="0"/>
                <w:color w:val="000000"/>
                <w:kern w:val="0"/>
                <w:sz w:val="21"/>
                <w:szCs w:val="21"/>
                <w:lang w:val="en-US" w:eastAsia="zh-CN" w:bidi="ar"/>
              </w:rPr>
              <w:t>kW·h</w:t>
            </w: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w:t>
            </w:r>
          </w:p>
          <w:p w14:paraId="75001C88">
            <w:pPr>
              <w:keepNext w:val="0"/>
              <w:keepLines w:val="0"/>
              <w:pageBreakBefore w:val="0"/>
              <w:widowControl w:val="0"/>
              <w:kinsoku/>
              <w:wordWrap/>
              <w:overflowPunct/>
              <w:topLinePunct w:val="0"/>
              <w:autoSpaceDE/>
              <w:autoSpaceDN/>
              <w:bidi w:val="0"/>
              <w:adjustRightInd/>
              <w:snapToGrid/>
              <w:spacing w:before="0" w:after="0"/>
              <w:ind w:left="0" w:right="0" w:firstLine="720"/>
              <w:textAlignment w:val="auto"/>
              <w:rPr>
                <w:rFonts w:hint="default" w:ascii="Times New Roman" w:hAnsi="Times New Roman" w:eastAsia="宋体" w:cs="Times New Roman"/>
                <w:color w:val="000000" w:themeColor="text1"/>
                <w:kern w:val="2"/>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Cs w:val="24"/>
                <w:shd w:val="clear" w:color="auto" w:fill="auto"/>
                <w:lang w:val="en-US" w:eastAsia="zh-CN" w:bidi="ar-SA"/>
                <w14:textFill>
                  <w14:solidFill>
                    <w14:schemeClr w14:val="tx1"/>
                  </w14:solidFill>
                </w14:textFill>
              </w:rPr>
              <w:t>项目环评生产规模及产品方案与实际生产规模及产品方案对比情况见表4-2。</w:t>
            </w:r>
          </w:p>
          <w:p w14:paraId="2EAB87F6">
            <w:pPr>
              <w:widowControl w:val="0"/>
              <w:bidi w:val="0"/>
              <w:spacing w:line="360" w:lineRule="auto"/>
              <w:ind w:left="0" w:leftChars="0" w:firstLine="0" w:firstLineChars="0"/>
              <w:jc w:val="cente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表4-2 环评生产规模及产品方案与实际生产规模及产品方案对比情况一览表</w:t>
            </w:r>
          </w:p>
          <w:tbl>
            <w:tblPr>
              <w:tblStyle w:val="17"/>
              <w:tblW w:w="8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663"/>
              <w:gridCol w:w="2681"/>
              <w:gridCol w:w="1723"/>
            </w:tblGrid>
            <w:tr w14:paraId="7CF68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1AE436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项目</w:t>
                  </w:r>
                </w:p>
              </w:tc>
              <w:tc>
                <w:tcPr>
                  <w:tcW w:w="2663" w:type="dxa"/>
                  <w:vAlign w:val="center"/>
                </w:tcPr>
                <w:p w14:paraId="7D71E2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环评描述</w:t>
                  </w:r>
                </w:p>
              </w:tc>
              <w:tc>
                <w:tcPr>
                  <w:tcW w:w="2681" w:type="dxa"/>
                  <w:vAlign w:val="center"/>
                </w:tcPr>
                <w:p w14:paraId="1924CB8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实际建设情况</w:t>
                  </w:r>
                </w:p>
              </w:tc>
              <w:tc>
                <w:tcPr>
                  <w:tcW w:w="1723" w:type="dxa"/>
                  <w:vAlign w:val="center"/>
                </w:tcPr>
                <w:p w14:paraId="620976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变动情况</w:t>
                  </w:r>
                </w:p>
              </w:tc>
            </w:tr>
            <w:tr w14:paraId="398C8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0FE162C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电站装机容量</w:t>
                  </w:r>
                </w:p>
              </w:tc>
              <w:tc>
                <w:tcPr>
                  <w:tcW w:w="2663" w:type="dxa"/>
                  <w:vAlign w:val="center"/>
                </w:tcPr>
                <w:p w14:paraId="66D244DE">
                  <w:pPr>
                    <w:keepNext w:val="0"/>
                    <w:keepLines w:val="0"/>
                    <w:pageBreakBefore w:val="0"/>
                    <w:widowControl/>
                    <w:suppressLineNumbers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kern w:val="0"/>
                      <w:sz w:val="22"/>
                      <w:szCs w:val="22"/>
                      <w:lang w:val="en-US" w:eastAsia="zh-CN" w:bidi="ar"/>
                    </w:rPr>
                    <w:t>20MW</w:t>
                  </w:r>
                </w:p>
              </w:tc>
              <w:tc>
                <w:tcPr>
                  <w:tcW w:w="2681" w:type="dxa"/>
                  <w:vAlign w:val="center"/>
                </w:tcPr>
                <w:p w14:paraId="6CEDB9E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eastAsia" w:cs="Times New Roman"/>
                      <w:color w:val="000000"/>
                      <w:kern w:val="0"/>
                      <w:sz w:val="22"/>
                      <w:szCs w:val="22"/>
                      <w:lang w:val="en-US" w:eastAsia="zh-CN" w:bidi="ar"/>
                    </w:rPr>
                    <w:t>20</w:t>
                  </w:r>
                  <w:r>
                    <w:rPr>
                      <w:rFonts w:hint="default" w:ascii="Times New Roman" w:hAnsi="Times New Roman" w:eastAsia="宋体" w:cs="Times New Roman"/>
                      <w:color w:val="000000"/>
                      <w:kern w:val="0"/>
                      <w:sz w:val="22"/>
                      <w:szCs w:val="22"/>
                      <w:lang w:val="en-US" w:eastAsia="zh-CN" w:bidi="ar"/>
                    </w:rPr>
                    <w:t>MW</w:t>
                  </w:r>
                </w:p>
              </w:tc>
              <w:tc>
                <w:tcPr>
                  <w:tcW w:w="1723" w:type="dxa"/>
                  <w:vAlign w:val="center"/>
                </w:tcPr>
                <w:p w14:paraId="4C3227A7">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r w14:paraId="3EA8A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6495629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年利用小时数</w:t>
                  </w:r>
                </w:p>
              </w:tc>
              <w:tc>
                <w:tcPr>
                  <w:tcW w:w="2663" w:type="dxa"/>
                  <w:vAlign w:val="center"/>
                </w:tcPr>
                <w:p w14:paraId="193B860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1960小时</w:t>
                  </w:r>
                </w:p>
              </w:tc>
              <w:tc>
                <w:tcPr>
                  <w:tcW w:w="2681" w:type="dxa"/>
                  <w:vAlign w:val="center"/>
                </w:tcPr>
                <w:p w14:paraId="3C5B6ED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1960小时</w:t>
                  </w:r>
                </w:p>
              </w:tc>
              <w:tc>
                <w:tcPr>
                  <w:tcW w:w="1723" w:type="dxa"/>
                  <w:vAlign w:val="center"/>
                </w:tcPr>
                <w:p w14:paraId="76B0FD19">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r w14:paraId="5D3FC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71" w:type="dxa"/>
                  <w:vAlign w:val="center"/>
                </w:tcPr>
                <w:p w14:paraId="65B163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年均发电量</w:t>
                  </w:r>
                </w:p>
              </w:tc>
              <w:tc>
                <w:tcPr>
                  <w:tcW w:w="2663" w:type="dxa"/>
                  <w:vAlign w:val="center"/>
                </w:tcPr>
                <w:p w14:paraId="1144259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kern w:val="0"/>
                      <w:sz w:val="22"/>
                      <w:szCs w:val="22"/>
                      <w:lang w:val="en-US" w:eastAsia="zh-CN" w:bidi="ar"/>
                    </w:rPr>
                    <w:t>2046万kW·h</w:t>
                  </w:r>
                </w:p>
              </w:tc>
              <w:tc>
                <w:tcPr>
                  <w:tcW w:w="2681" w:type="dxa"/>
                  <w:vAlign w:val="center"/>
                </w:tcPr>
                <w:p w14:paraId="4A6BAF9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eastAsia" w:cs="Times New Roman"/>
                      <w:color w:val="000000" w:themeColor="text1"/>
                      <w:kern w:val="2"/>
                      <w:sz w:val="22"/>
                      <w:szCs w:val="22"/>
                      <w:shd w:val="clear" w:color="auto" w:fill="auto"/>
                      <w:vertAlign w:val="baseline"/>
                      <w:lang w:val="en-US" w:eastAsia="zh-CN" w:bidi="ar-SA"/>
                      <w14:textFill>
                        <w14:solidFill>
                          <w14:schemeClr w14:val="tx1"/>
                        </w14:solidFill>
                      </w14:textFill>
                    </w:rPr>
                    <w:t>2046</w:t>
                  </w:r>
                  <w:r>
                    <w:rPr>
                      <w:rFonts w:hint="default" w:ascii="Times New Roman" w:hAnsi="Times New Roman" w:eastAsia="宋体" w:cs="Times New Roman"/>
                      <w:b w:val="0"/>
                      <w:bCs w:val="0"/>
                      <w:color w:val="000000"/>
                      <w:kern w:val="0"/>
                      <w:sz w:val="22"/>
                      <w:szCs w:val="22"/>
                      <w:lang w:val="en-US" w:eastAsia="zh-CN" w:bidi="ar"/>
                    </w:rPr>
                    <w:t>万kW·h</w:t>
                  </w:r>
                </w:p>
              </w:tc>
              <w:tc>
                <w:tcPr>
                  <w:tcW w:w="1723" w:type="dxa"/>
                  <w:vAlign w:val="center"/>
                </w:tcPr>
                <w:p w14:paraId="511BD2C3">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2"/>
                      <w:szCs w:val="22"/>
                      <w:shd w:val="clear" w:color="auto" w:fill="auto"/>
                      <w:vertAlign w:val="baseline"/>
                      <w:lang w:val="en-US" w:eastAsia="zh-CN" w:bidi="ar-SA"/>
                      <w14:textFill>
                        <w14:solidFill>
                          <w14:schemeClr w14:val="tx1"/>
                        </w14:solidFill>
                      </w14:textFill>
                    </w:rPr>
                    <w:t>不变</w:t>
                  </w:r>
                </w:p>
              </w:tc>
            </w:tr>
          </w:tbl>
          <w:p w14:paraId="0507A2A9">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根据项目环评阶段和实际实施情况对比情况，项目光伏区面积减少，由于光伏区用地租用面积等问题，</w:t>
            </w:r>
            <w:r>
              <w:rPr>
                <w:rFonts w:hint="eastAsia" w:cs="Times New Roman"/>
                <w:color w:val="000000" w:themeColor="text1"/>
                <w:lang w:val="en-US" w:eastAsia="zh-CN"/>
                <w14:textFill>
                  <w14:solidFill>
                    <w14:schemeClr w14:val="tx1"/>
                  </w14:solidFill>
                </w14:textFill>
              </w:rPr>
              <w:t>故光伏组件数量减少了4.3%。光伏组件型号由260Wp升级为270Wp。相应发电量与装机容量不变</w:t>
            </w:r>
            <w:r>
              <w:rPr>
                <w:rFonts w:hint="default" w:ascii="Times New Roman" w:hAnsi="Times New Roman" w:eastAsia="宋体" w:cs="Times New Roman"/>
                <w:color w:val="000000" w:themeColor="text1"/>
                <w:lang w:val="en-US" w:eastAsia="zh-CN"/>
                <w14:textFill>
                  <w14:solidFill>
                    <w14:schemeClr w14:val="tx1"/>
                  </w14:solidFill>
                </w14:textFill>
              </w:rPr>
              <w:t>。</w:t>
            </w:r>
          </w:p>
          <w:p w14:paraId="21E6FED0">
            <w:pPr>
              <w:widowControl w:val="0"/>
              <w:bidi w:val="0"/>
              <w:spacing w:line="360" w:lineRule="auto"/>
              <w:ind w:left="0" w:leftChars="0" w:firstLine="0" w:firstLineChars="0"/>
              <w:jc w:val="both"/>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p>
          <w:p w14:paraId="79132A35">
            <w:pPr>
              <w:keepNext w:val="0"/>
              <w:keepLines w:val="0"/>
              <w:widowControl/>
              <w:suppressLineNumbers w:val="0"/>
              <w:autoSpaceDE/>
              <w:autoSpaceDN/>
              <w:spacing w:before="0" w:after="0"/>
              <w:ind w:left="0" w:right="0" w:firstLine="72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3、主要生产设备</w:t>
            </w:r>
          </w:p>
          <w:p w14:paraId="5BF2A8A0">
            <w:pPr>
              <w:keepNext w:val="0"/>
              <w:keepLines w:val="0"/>
              <w:pageBreakBefore w:val="0"/>
              <w:widowControl w:val="0"/>
              <w:kinsoku/>
              <w:wordWrap/>
              <w:overflowPunct/>
              <w:topLinePunct w:val="0"/>
              <w:autoSpaceDE/>
              <w:autoSpaceDN/>
              <w:bidi w:val="0"/>
              <w:adjustRightInd w:val="0"/>
              <w:snapToGrid w:val="0"/>
              <w:spacing w:before="0" w:after="0" w:line="360" w:lineRule="auto"/>
              <w:ind w:left="0" w:right="0" w:firstLine="504" w:firstLineChars="200"/>
              <w:textAlignment w:val="auto"/>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项目环评主要设备与实际主要设备对比情况见表4-3。</w:t>
            </w:r>
          </w:p>
          <w:p w14:paraId="37785031">
            <w:pPr>
              <w:keepNext w:val="0"/>
              <w:keepLines w:val="0"/>
              <w:pageBreakBefore w:val="0"/>
              <w:widowControl w:val="0"/>
              <w:kinsoku/>
              <w:wordWrap/>
              <w:overflowPunct/>
              <w:topLinePunct w:val="0"/>
              <w:autoSpaceDE/>
              <w:autoSpaceDN/>
              <w:bidi w:val="0"/>
              <w:adjustRightInd w:val="0"/>
              <w:snapToGrid w:val="0"/>
              <w:spacing w:before="0" w:after="0" w:line="360" w:lineRule="auto"/>
              <w:ind w:left="0" w:leftChars="0" w:right="0" w:firstLine="0" w:firstLineChars="0"/>
              <w:jc w:val="center"/>
              <w:textAlignment w:val="auto"/>
              <w:rPr>
                <w:rFonts w:hint="default" w:ascii="Times New Roman" w:hAnsi="Times New Roman" w:eastAsia="宋体" w:cs="Times New Roman"/>
                <w:b/>
                <w:bCs/>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shd w:val="clear" w:color="auto" w:fill="auto"/>
                <w:lang w:val="en-US" w:eastAsia="zh-CN" w:bidi="ar-SA"/>
                <w14:textFill>
                  <w14:solidFill>
                    <w14:schemeClr w14:val="tx1"/>
                  </w14:solidFill>
                </w14:textFill>
              </w:rPr>
              <w:t>表4-3</w:t>
            </w:r>
            <w:r>
              <w:rPr>
                <w:rFonts w:hint="default" w:ascii="Times New Roman" w:hAnsi="Times New Roman" w:eastAsia="宋体" w:cs="Times New Roman"/>
                <w:b/>
                <w:bCs/>
                <w:color w:val="000000" w:themeColor="text1"/>
                <w:spacing w:val="6"/>
                <w:kern w:val="2"/>
                <w:sz w:val="24"/>
                <w:szCs w:val="24"/>
                <w:lang w:val="en-US" w:eastAsia="zh-CN" w:bidi="ar-SA"/>
                <w14:textFill>
                  <w14:solidFill>
                    <w14:schemeClr w14:val="tx1"/>
                  </w14:solidFill>
                </w14:textFill>
              </w:rPr>
              <w:t>环评主要设备与实际主要设备对比情况</w:t>
            </w:r>
          </w:p>
          <w:tbl>
            <w:tblPr>
              <w:tblStyle w:val="16"/>
              <w:tblW w:w="87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2409"/>
              <w:gridCol w:w="1303"/>
              <w:gridCol w:w="1378"/>
              <w:gridCol w:w="1209"/>
              <w:gridCol w:w="1551"/>
            </w:tblGrid>
            <w:tr w14:paraId="5A370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2D5389C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序号</w:t>
                  </w:r>
                </w:p>
              </w:tc>
              <w:tc>
                <w:tcPr>
                  <w:tcW w:w="2409" w:type="dxa"/>
                  <w:noWrap w:val="0"/>
                  <w:vAlign w:val="center"/>
                </w:tcPr>
                <w:p w14:paraId="6A67A92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设备名称</w:t>
                  </w:r>
                </w:p>
              </w:tc>
              <w:tc>
                <w:tcPr>
                  <w:tcW w:w="1303" w:type="dxa"/>
                  <w:noWrap w:val="0"/>
                  <w:vAlign w:val="center"/>
                </w:tcPr>
                <w:p w14:paraId="4C8EBC8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单位</w:t>
                  </w:r>
                </w:p>
              </w:tc>
              <w:tc>
                <w:tcPr>
                  <w:tcW w:w="1378" w:type="dxa"/>
                  <w:noWrap w:val="0"/>
                  <w:vAlign w:val="center"/>
                </w:tcPr>
                <w:p w14:paraId="7712082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环评</w:t>
                  </w:r>
                  <w:r>
                    <w:rPr>
                      <w:rFonts w:hint="default" w:ascii="Times New Roman" w:hAnsi="Times New Roman" w:eastAsia="宋体" w:cs="Times New Roman"/>
                      <w:bCs/>
                      <w:color w:val="000000"/>
                      <w:sz w:val="22"/>
                      <w:szCs w:val="22"/>
                    </w:rPr>
                    <w:t>数量</w:t>
                  </w:r>
                </w:p>
              </w:tc>
              <w:tc>
                <w:tcPr>
                  <w:tcW w:w="1209" w:type="dxa"/>
                  <w:noWrap w:val="0"/>
                  <w:vAlign w:val="center"/>
                </w:tcPr>
                <w:p w14:paraId="6C161465">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lang w:val="en-US" w:eastAsia="zh-CN"/>
                    </w:rPr>
                  </w:pPr>
                  <w:r>
                    <w:rPr>
                      <w:rFonts w:hint="default" w:ascii="Times New Roman" w:hAnsi="Times New Roman" w:eastAsia="宋体" w:cs="Times New Roman"/>
                      <w:bCs/>
                      <w:color w:val="000000"/>
                      <w:sz w:val="22"/>
                      <w:szCs w:val="22"/>
                      <w:lang w:val="en-US" w:eastAsia="zh-CN"/>
                    </w:rPr>
                    <w:t>实际数量</w:t>
                  </w:r>
                </w:p>
              </w:tc>
              <w:tc>
                <w:tcPr>
                  <w:tcW w:w="1551" w:type="dxa"/>
                  <w:noWrap w:val="0"/>
                  <w:vAlign w:val="center"/>
                </w:tcPr>
                <w:p w14:paraId="0B7A6C4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备注</w:t>
                  </w:r>
                </w:p>
              </w:tc>
            </w:tr>
            <w:tr w14:paraId="7255A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1AC2A9BA">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1</w:t>
                  </w:r>
                </w:p>
              </w:tc>
              <w:tc>
                <w:tcPr>
                  <w:tcW w:w="2409" w:type="dxa"/>
                  <w:noWrap w:val="0"/>
                  <w:vAlign w:val="center"/>
                </w:tcPr>
                <w:p w14:paraId="5DD15A67">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260Wp光伏组件</w:t>
                  </w:r>
                </w:p>
              </w:tc>
              <w:tc>
                <w:tcPr>
                  <w:tcW w:w="1303" w:type="dxa"/>
                  <w:noWrap w:val="0"/>
                  <w:vAlign w:val="center"/>
                </w:tcPr>
                <w:p w14:paraId="66F5E3D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块</w:t>
                  </w:r>
                </w:p>
              </w:tc>
              <w:tc>
                <w:tcPr>
                  <w:tcW w:w="1378" w:type="dxa"/>
                  <w:noWrap w:val="0"/>
                  <w:vAlign w:val="center"/>
                </w:tcPr>
                <w:p w14:paraId="02B9A87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77440</w:t>
                  </w:r>
                </w:p>
              </w:tc>
              <w:tc>
                <w:tcPr>
                  <w:tcW w:w="1209" w:type="dxa"/>
                  <w:noWrap w:val="0"/>
                  <w:vAlign w:val="center"/>
                </w:tcPr>
                <w:p w14:paraId="4A89BE3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eastAsia" w:cs="Times New Roman"/>
                      <w:color w:val="000000"/>
                      <w:kern w:val="0"/>
                      <w:sz w:val="22"/>
                      <w:szCs w:val="22"/>
                      <w:lang w:val="en-US" w:eastAsia="zh-CN"/>
                    </w:rPr>
                    <w:t>74074</w:t>
                  </w:r>
                </w:p>
              </w:tc>
              <w:tc>
                <w:tcPr>
                  <w:tcW w:w="1551" w:type="dxa"/>
                  <w:noWrap w:val="0"/>
                  <w:vAlign w:val="center"/>
                </w:tcPr>
                <w:p w14:paraId="3C7D084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eastAsia" w:cs="Times New Roman"/>
                      <w:color w:val="000000"/>
                      <w:kern w:val="0"/>
                      <w:sz w:val="22"/>
                      <w:szCs w:val="22"/>
                      <w:lang w:val="en-US" w:eastAsia="zh-CN"/>
                    </w:rPr>
                    <w:t>光伏组件型号由260Wp升级为270Wp，故数量减少，但产能不变</w:t>
                  </w:r>
                </w:p>
              </w:tc>
            </w:tr>
            <w:tr w14:paraId="4684C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0B1FBE4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2</w:t>
                  </w:r>
                </w:p>
              </w:tc>
              <w:tc>
                <w:tcPr>
                  <w:tcW w:w="2409" w:type="dxa"/>
                  <w:noWrap w:val="0"/>
                  <w:vAlign w:val="center"/>
                </w:tcPr>
                <w:p w14:paraId="218FB5DD">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560</w:t>
                  </w:r>
                  <w:r>
                    <w:rPr>
                      <w:rFonts w:hint="default" w:ascii="Times New Roman" w:hAnsi="Times New Roman" w:eastAsia="宋体" w:cs="Times New Roman"/>
                      <w:bCs/>
                      <w:color w:val="000000"/>
                      <w:sz w:val="22"/>
                      <w:szCs w:val="22"/>
                      <w:lang w:eastAsia="zh-CN"/>
                    </w:rPr>
                    <w:t>kW</w:t>
                  </w:r>
                  <w:r>
                    <w:rPr>
                      <w:rFonts w:hint="default" w:ascii="Times New Roman" w:hAnsi="Times New Roman" w:eastAsia="宋体" w:cs="Times New Roman"/>
                      <w:bCs/>
                      <w:color w:val="000000"/>
                      <w:sz w:val="22"/>
                      <w:szCs w:val="22"/>
                    </w:rPr>
                    <w:t>逆变器</w:t>
                  </w:r>
                </w:p>
              </w:tc>
              <w:tc>
                <w:tcPr>
                  <w:tcW w:w="1303" w:type="dxa"/>
                  <w:noWrap w:val="0"/>
                  <w:vAlign w:val="center"/>
                </w:tcPr>
                <w:p w14:paraId="1D6A3CAB">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台</w:t>
                  </w:r>
                </w:p>
              </w:tc>
              <w:tc>
                <w:tcPr>
                  <w:tcW w:w="1378" w:type="dxa"/>
                  <w:noWrap w:val="0"/>
                  <w:vAlign w:val="center"/>
                </w:tcPr>
                <w:p w14:paraId="04EE5A1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150C6E8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rPr>
                    <w:t>40</w:t>
                  </w:r>
                </w:p>
              </w:tc>
              <w:tc>
                <w:tcPr>
                  <w:tcW w:w="1551" w:type="dxa"/>
                  <w:noWrap w:val="0"/>
                  <w:vAlign w:val="center"/>
                </w:tcPr>
                <w:p w14:paraId="7FBB563C">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7645F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768E13E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3</w:t>
                  </w:r>
                </w:p>
              </w:tc>
              <w:tc>
                <w:tcPr>
                  <w:tcW w:w="2409" w:type="dxa"/>
                  <w:noWrap w:val="0"/>
                  <w:vAlign w:val="center"/>
                </w:tcPr>
                <w:p w14:paraId="079A0F57">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直流配电柜</w:t>
                  </w:r>
                </w:p>
              </w:tc>
              <w:tc>
                <w:tcPr>
                  <w:tcW w:w="1303" w:type="dxa"/>
                  <w:noWrap w:val="0"/>
                  <w:vAlign w:val="center"/>
                </w:tcPr>
                <w:p w14:paraId="1A32D5B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个</w:t>
                  </w:r>
                </w:p>
              </w:tc>
              <w:tc>
                <w:tcPr>
                  <w:tcW w:w="1378" w:type="dxa"/>
                  <w:noWrap w:val="0"/>
                  <w:vAlign w:val="center"/>
                </w:tcPr>
                <w:p w14:paraId="3F028B43">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48DC5F7F">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551" w:type="dxa"/>
                  <w:noWrap w:val="0"/>
                  <w:vAlign w:val="center"/>
                </w:tcPr>
                <w:p w14:paraId="2660FE56">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30C21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6D7EEF50">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4</w:t>
                  </w:r>
                </w:p>
              </w:tc>
              <w:tc>
                <w:tcPr>
                  <w:tcW w:w="2409" w:type="dxa"/>
                  <w:noWrap w:val="0"/>
                  <w:vAlign w:val="center"/>
                </w:tcPr>
                <w:p w14:paraId="6123626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MW级直流逆变房</w:t>
                  </w:r>
                </w:p>
              </w:tc>
              <w:tc>
                <w:tcPr>
                  <w:tcW w:w="1303" w:type="dxa"/>
                  <w:noWrap w:val="0"/>
                  <w:vAlign w:val="center"/>
                </w:tcPr>
                <w:p w14:paraId="58BFEE39">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个</w:t>
                  </w:r>
                </w:p>
              </w:tc>
              <w:tc>
                <w:tcPr>
                  <w:tcW w:w="1378" w:type="dxa"/>
                  <w:noWrap w:val="0"/>
                  <w:vAlign w:val="center"/>
                </w:tcPr>
                <w:p w14:paraId="0357674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40</w:t>
                  </w:r>
                </w:p>
              </w:tc>
              <w:tc>
                <w:tcPr>
                  <w:tcW w:w="1209" w:type="dxa"/>
                  <w:noWrap w:val="0"/>
                  <w:vAlign w:val="center"/>
                </w:tcPr>
                <w:p w14:paraId="5A8B1BD1">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rPr>
                    <w:t>40</w:t>
                  </w:r>
                </w:p>
              </w:tc>
              <w:tc>
                <w:tcPr>
                  <w:tcW w:w="1551" w:type="dxa"/>
                  <w:noWrap w:val="0"/>
                  <w:vAlign w:val="center"/>
                </w:tcPr>
                <w:p w14:paraId="745CDB84">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3838F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4657E202">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5</w:t>
                  </w:r>
                </w:p>
              </w:tc>
              <w:tc>
                <w:tcPr>
                  <w:tcW w:w="2409" w:type="dxa"/>
                  <w:noWrap w:val="0"/>
                  <w:vAlign w:val="center"/>
                </w:tcPr>
                <w:p w14:paraId="1F338AC8">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箱式变压器</w:t>
                  </w:r>
                </w:p>
              </w:tc>
              <w:tc>
                <w:tcPr>
                  <w:tcW w:w="1303" w:type="dxa"/>
                  <w:noWrap w:val="0"/>
                  <w:vAlign w:val="center"/>
                </w:tcPr>
                <w:p w14:paraId="05059D6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套</w:t>
                  </w:r>
                </w:p>
              </w:tc>
              <w:tc>
                <w:tcPr>
                  <w:tcW w:w="1378" w:type="dxa"/>
                  <w:noWrap w:val="0"/>
                  <w:vAlign w:val="center"/>
                </w:tcPr>
                <w:p w14:paraId="5ED3307D">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20</w:t>
                  </w:r>
                </w:p>
              </w:tc>
              <w:tc>
                <w:tcPr>
                  <w:tcW w:w="1209" w:type="dxa"/>
                  <w:noWrap w:val="0"/>
                  <w:vAlign w:val="center"/>
                </w:tcPr>
                <w:p w14:paraId="06A9FDB4">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rPr>
                    <w:t>20</w:t>
                  </w:r>
                </w:p>
              </w:tc>
              <w:tc>
                <w:tcPr>
                  <w:tcW w:w="1551" w:type="dxa"/>
                  <w:noWrap w:val="0"/>
                  <w:vAlign w:val="center"/>
                </w:tcPr>
                <w:p w14:paraId="15E0EE97">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0"/>
                      <w:sz w:val="22"/>
                      <w:szCs w:val="22"/>
                      <w:lang w:val="en-US"/>
                    </w:rPr>
                  </w:pPr>
                  <w:r>
                    <w:rPr>
                      <w:rFonts w:hint="default" w:ascii="Times New Roman" w:hAnsi="Times New Roman" w:eastAsia="宋体" w:cs="Times New Roman"/>
                      <w:color w:val="000000"/>
                      <w:kern w:val="0"/>
                      <w:sz w:val="22"/>
                      <w:szCs w:val="22"/>
                      <w:lang w:val="en-US" w:eastAsia="zh-CN"/>
                    </w:rPr>
                    <w:t>不变</w:t>
                  </w:r>
                </w:p>
              </w:tc>
            </w:tr>
            <w:tr w14:paraId="41BD8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noWrap w:val="0"/>
                  <w:vAlign w:val="center"/>
                </w:tcPr>
                <w:p w14:paraId="493ED32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6</w:t>
                  </w:r>
                </w:p>
              </w:tc>
              <w:tc>
                <w:tcPr>
                  <w:tcW w:w="2409" w:type="dxa"/>
                  <w:noWrap w:val="0"/>
                  <w:vAlign w:val="center"/>
                </w:tcPr>
                <w:p w14:paraId="7062F3C3">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35KV配电装置</w:t>
                  </w:r>
                </w:p>
              </w:tc>
              <w:tc>
                <w:tcPr>
                  <w:tcW w:w="1303" w:type="dxa"/>
                  <w:noWrap w:val="0"/>
                  <w:vAlign w:val="center"/>
                </w:tcPr>
                <w:p w14:paraId="4B484321">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rPr>
                    <w:t>套</w:t>
                  </w:r>
                </w:p>
              </w:tc>
              <w:tc>
                <w:tcPr>
                  <w:tcW w:w="1378" w:type="dxa"/>
                  <w:noWrap w:val="0"/>
                  <w:vAlign w:val="center"/>
                </w:tcPr>
                <w:p w14:paraId="5699E6DB">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1</w:t>
                  </w:r>
                </w:p>
              </w:tc>
              <w:tc>
                <w:tcPr>
                  <w:tcW w:w="1209" w:type="dxa"/>
                  <w:noWrap w:val="0"/>
                  <w:vAlign w:val="center"/>
                </w:tcPr>
                <w:p w14:paraId="7E9778E9">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rPr>
                    <w:t>1</w:t>
                  </w:r>
                </w:p>
              </w:tc>
              <w:tc>
                <w:tcPr>
                  <w:tcW w:w="1551" w:type="dxa"/>
                  <w:noWrap w:val="0"/>
                  <w:vAlign w:val="center"/>
                </w:tcPr>
                <w:p w14:paraId="4C93CFE5">
                  <w:pPr>
                    <w:keepNext w:val="0"/>
                    <w:keepLines w:val="0"/>
                    <w:pageBreakBefore w:val="0"/>
                    <w:widowControl/>
                    <w:kinsoku/>
                    <w:wordWrap/>
                    <w:overflowPunct/>
                    <w:topLinePunct w:val="0"/>
                    <w:autoSpaceDE w:val="0"/>
                    <w:autoSpaceDN w:val="0"/>
                    <w:bidi w:val="0"/>
                    <w:adjustRightInd/>
                    <w:snapToGrid/>
                    <w:spacing w:line="240" w:lineRule="auto"/>
                    <w:ind w:left="-120" w:leftChars="-50" w:right="-120" w:rightChars="-50"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不变</w:t>
                  </w:r>
                </w:p>
              </w:tc>
            </w:tr>
          </w:tbl>
          <w:p w14:paraId="6113D684">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根据项目环评阶段和实际实施情况对比情况，项目光伏区面积减少，由于光伏区用地租用面积等问题，光伏组件数量有所变化，</w:t>
            </w:r>
            <w:r>
              <w:rPr>
                <w:rFonts w:hint="eastAsia" w:cs="Times New Roman"/>
                <w:color w:val="000000" w:themeColor="text1"/>
                <w:lang w:val="en-US" w:eastAsia="zh-CN"/>
                <w14:textFill>
                  <w14:solidFill>
                    <w14:schemeClr w14:val="tx1"/>
                  </w14:solidFill>
                </w14:textFill>
              </w:rPr>
              <w:t>其余不变</w:t>
            </w:r>
            <w:r>
              <w:rPr>
                <w:rFonts w:hint="default" w:ascii="Times New Roman" w:hAnsi="Times New Roman" w:eastAsia="宋体" w:cs="Times New Roman"/>
                <w:color w:val="000000" w:themeColor="text1"/>
                <w:lang w:val="en-US" w:eastAsia="zh-CN"/>
                <w14:textFill>
                  <w14:solidFill>
                    <w14:schemeClr w14:val="tx1"/>
                  </w14:solidFill>
                </w14:textFill>
              </w:rPr>
              <w:t>。</w:t>
            </w:r>
          </w:p>
          <w:p w14:paraId="1638773C">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4、生产工艺流程（附流程图）</w:t>
            </w:r>
          </w:p>
          <w:p w14:paraId="0A29D251">
            <w:pPr>
              <w:pStyle w:val="22"/>
              <w:bidi w:val="0"/>
              <w:ind w:left="0" w:leftChars="0" w:firstLine="480" w:firstLineChars="20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太阳光照在单晶硅光伏组件上，硅晶体内部的电子在光照的影响下发生移位，产生光生福特效应，硅晶体内部电子发生定向移动，产生电流。由于太阳能产生的电流为直流电，需要通过逆变装置将直流电转换成交流电。采用汇流箱将多串电池组件产生的直流电进行汇流，然后再输入直流配电柜，再至逆变器，经逆变器将电流转换成交流电，再接入后期建设的升压站的升压变压器的低压侧。</w:t>
            </w:r>
          </w:p>
          <w:p w14:paraId="12029A24">
            <w:pPr>
              <w:pStyle w:val="22"/>
              <w:bidi w:val="0"/>
              <w:ind w:left="0" w:leftChars="0" w:firstLine="0" w:firstLineChars="0"/>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rPr>
              <w:drawing>
                <wp:inline distT="0" distB="0" distL="114300" distR="114300">
                  <wp:extent cx="5228590" cy="2562225"/>
                  <wp:effectExtent l="0" t="0" r="10160" b="952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6"/>
                          <a:stretch>
                            <a:fillRect/>
                          </a:stretch>
                        </pic:blipFill>
                        <pic:spPr>
                          <a:xfrm>
                            <a:off x="0" y="0"/>
                            <a:ext cx="5228590" cy="2562225"/>
                          </a:xfrm>
                          <a:prstGeom prst="rect">
                            <a:avLst/>
                          </a:prstGeom>
                          <a:noFill/>
                          <a:ln>
                            <a:noFill/>
                          </a:ln>
                        </pic:spPr>
                      </pic:pic>
                    </a:graphicData>
                  </a:graphic>
                </wp:inline>
              </w:drawing>
            </w:r>
          </w:p>
          <w:p w14:paraId="0008B576">
            <w:pPr>
              <w:pStyle w:val="22"/>
              <w:bidi w:val="0"/>
              <w:ind w:left="0" w:leftChars="0" w:firstLine="0" w:firstLineChars="0"/>
              <w:jc w:val="cente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t>图4-1 发电工艺流程图</w:t>
            </w:r>
          </w:p>
          <w:p w14:paraId="5EF3F9E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0660EB9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4C7358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1E1B7F04">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2DA588CB">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7D50EA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20E8D07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186DE6C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03135EE9">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49AF3C3E">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75BB117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35DFDAA8">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447DE666">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5043B96D">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p>
          <w:p w14:paraId="35B94B11">
            <w:pPr>
              <w:pStyle w:val="22"/>
              <w:bidi w:val="0"/>
              <w:ind w:left="0" w:leftChars="0" w:firstLine="0" w:firstLineChars="0"/>
              <w:jc w:val="both"/>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pacing w:val="6"/>
                <w:kern w:val="2"/>
                <w:sz w:val="24"/>
                <w:szCs w:val="24"/>
                <w:lang w:val="en-US" w:eastAsia="zh-CN" w:bidi="ar-SA"/>
                <w14:textFill>
                  <w14:solidFill>
                    <w14:schemeClr w14:val="tx1"/>
                  </w14:solidFill>
                </w14:textFill>
              </w:rPr>
              <w:t xml:space="preserve"> </w:t>
            </w:r>
          </w:p>
        </w:tc>
      </w:tr>
      <w:tr w14:paraId="2CEA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87" w:hRule="atLeast"/>
        </w:trPr>
        <w:tc>
          <w:tcPr>
            <w:tcW w:w="9076" w:type="dxa"/>
          </w:tcPr>
          <w:p w14:paraId="729BA3D8">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建设项目环境保护投资</w:t>
            </w:r>
          </w:p>
          <w:p w14:paraId="5AC0C2E3">
            <w:pPr>
              <w:widowControl w:val="0"/>
              <w:bidi w:val="0"/>
              <w:spacing w:line="360" w:lineRule="auto"/>
              <w:ind w:left="0" w:leftChars="0" w:firstLine="480" w:firstLineChars="200"/>
              <w:jc w:val="both"/>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本工程</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实际</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总投资为11500万元，</w:t>
            </w: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实际</w:t>
            </w:r>
            <w:r>
              <w:rPr>
                <w:rFonts w:hint="default" w:ascii="Times New Roman" w:hAnsi="Times New Roman" w:eastAsia="宋体" w:cs="Times New Roman"/>
                <w:color w:val="000000" w:themeColor="text1"/>
                <w:kern w:val="2"/>
                <w:sz w:val="24"/>
                <w:szCs w:val="24"/>
                <w:shd w:val="clear" w:color="auto" w:fill="auto"/>
                <w:lang w:val="en-US" w:eastAsia="zh-CN" w:bidi="ar-SA"/>
                <w14:textFill>
                  <w14:solidFill>
                    <w14:schemeClr w14:val="tx1"/>
                  </w14:solidFill>
                </w14:textFill>
              </w:rPr>
              <w:t>环保投资共计168.5万元，占总投资的1.47%。本工程环保投资情况见下表。</w:t>
            </w:r>
          </w:p>
          <w:p w14:paraId="7D082ABB">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shd w:val="clear" w:color="auto" w:fill="auto"/>
                <w:lang w:val="en-US" w:eastAsia="zh-CN" w:bidi="ar-SA"/>
                <w14:textFill>
                  <w14:solidFill>
                    <w14:schemeClr w14:val="tx1"/>
                  </w14:solidFill>
                </w14:textFill>
              </w:rPr>
              <w:t>表4-4  环保投资一览表</w:t>
            </w:r>
          </w:p>
          <w:tbl>
            <w:tblPr>
              <w:tblStyle w:val="16"/>
              <w:tblW w:w="8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178"/>
              <w:gridCol w:w="3488"/>
              <w:gridCol w:w="1326"/>
              <w:gridCol w:w="1474"/>
            </w:tblGrid>
            <w:tr w14:paraId="4A199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1272" w:type="dxa"/>
                  <w:noWrap w:val="0"/>
                  <w:vAlign w:val="center"/>
                </w:tcPr>
                <w:p w14:paraId="7DB9C0D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污染源</w:t>
                  </w:r>
                </w:p>
              </w:tc>
              <w:tc>
                <w:tcPr>
                  <w:tcW w:w="1178" w:type="dxa"/>
                  <w:noWrap w:val="0"/>
                  <w:vAlign w:val="center"/>
                </w:tcPr>
                <w:p w14:paraId="240F4D3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时间</w:t>
                  </w:r>
                </w:p>
              </w:tc>
              <w:tc>
                <w:tcPr>
                  <w:tcW w:w="3488" w:type="dxa"/>
                  <w:noWrap w:val="0"/>
                  <w:vAlign w:val="center"/>
                </w:tcPr>
                <w:p w14:paraId="14FDE65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环境污染防治项目</w:t>
                  </w:r>
                </w:p>
              </w:tc>
              <w:tc>
                <w:tcPr>
                  <w:tcW w:w="1326" w:type="dxa"/>
                  <w:noWrap w:val="0"/>
                  <w:vAlign w:val="center"/>
                </w:tcPr>
                <w:p w14:paraId="33BECD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环评</w:t>
                  </w:r>
                  <w:r>
                    <w:rPr>
                      <w:rFonts w:hint="default" w:ascii="Times New Roman" w:hAnsi="Times New Roman" w:eastAsia="宋体" w:cs="Times New Roman"/>
                      <w:bCs/>
                      <w:color w:val="000000"/>
                      <w:sz w:val="22"/>
                      <w:szCs w:val="22"/>
                    </w:rPr>
                    <w:t>环保投资（万元）</w:t>
                  </w:r>
                </w:p>
              </w:tc>
              <w:tc>
                <w:tcPr>
                  <w:tcW w:w="1474" w:type="dxa"/>
                  <w:noWrap w:val="0"/>
                  <w:vAlign w:val="center"/>
                </w:tcPr>
                <w:p w14:paraId="3951B1F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00"/>
                      <w:sz w:val="22"/>
                      <w:szCs w:val="22"/>
                    </w:rPr>
                  </w:pPr>
                  <w:r>
                    <w:rPr>
                      <w:rFonts w:hint="default" w:ascii="Times New Roman" w:hAnsi="Times New Roman" w:eastAsia="宋体" w:cs="Times New Roman"/>
                      <w:bCs/>
                      <w:color w:val="000000"/>
                      <w:sz w:val="22"/>
                      <w:szCs w:val="22"/>
                      <w:lang w:val="en-US" w:eastAsia="zh-CN"/>
                    </w:rPr>
                    <w:t>实际</w:t>
                  </w:r>
                  <w:r>
                    <w:rPr>
                      <w:rFonts w:hint="default" w:ascii="Times New Roman" w:hAnsi="Times New Roman" w:eastAsia="宋体" w:cs="Times New Roman"/>
                      <w:bCs/>
                      <w:color w:val="000000"/>
                      <w:sz w:val="22"/>
                      <w:szCs w:val="22"/>
                    </w:rPr>
                    <w:t>环保投资（万元）</w:t>
                  </w:r>
                </w:p>
              </w:tc>
            </w:tr>
            <w:tr w14:paraId="72513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5B3F5B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kern w:val="0"/>
                      <w:sz w:val="22"/>
                      <w:szCs w:val="22"/>
                    </w:rPr>
                    <w:t>废气</w:t>
                  </w:r>
                </w:p>
              </w:tc>
              <w:tc>
                <w:tcPr>
                  <w:tcW w:w="1178" w:type="dxa"/>
                  <w:noWrap w:val="0"/>
                  <w:vAlign w:val="center"/>
                </w:tcPr>
                <w:p w14:paraId="4682634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61BA0BA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定期洒水、防风抑尘网</w:t>
                  </w:r>
                </w:p>
              </w:tc>
              <w:tc>
                <w:tcPr>
                  <w:tcW w:w="1326" w:type="dxa"/>
                  <w:noWrap w:val="0"/>
                  <w:vAlign w:val="center"/>
                </w:tcPr>
                <w:p w14:paraId="2BF2429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C86A3F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4.5</w:t>
                  </w:r>
                </w:p>
              </w:tc>
            </w:tr>
            <w:tr w14:paraId="35B23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72" w:type="dxa"/>
                  <w:vMerge w:val="continue"/>
                  <w:noWrap w:val="0"/>
                  <w:vAlign w:val="center"/>
                </w:tcPr>
                <w:p w14:paraId="5B3D820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4392884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37DABB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食堂安装油烟净化器+专用排烟管道</w:t>
                  </w:r>
                </w:p>
              </w:tc>
              <w:tc>
                <w:tcPr>
                  <w:tcW w:w="1326" w:type="dxa"/>
                  <w:noWrap w:val="0"/>
                  <w:vAlign w:val="center"/>
                </w:tcPr>
                <w:p w14:paraId="67E8BB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2</w:t>
                  </w:r>
                </w:p>
              </w:tc>
              <w:tc>
                <w:tcPr>
                  <w:tcW w:w="1474" w:type="dxa"/>
                  <w:noWrap w:val="0"/>
                  <w:vAlign w:val="center"/>
                </w:tcPr>
                <w:p w14:paraId="46B055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w:t>
                  </w:r>
                </w:p>
              </w:tc>
            </w:tr>
            <w:tr w14:paraId="631A0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069F2B9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废水</w:t>
                  </w:r>
                </w:p>
              </w:tc>
              <w:tc>
                <w:tcPr>
                  <w:tcW w:w="1178" w:type="dxa"/>
                  <w:noWrap w:val="0"/>
                  <w:vAlign w:val="center"/>
                </w:tcPr>
                <w:p w14:paraId="54104DF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757372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临时化粪池、沉淀池</w:t>
                  </w:r>
                </w:p>
              </w:tc>
              <w:tc>
                <w:tcPr>
                  <w:tcW w:w="1326" w:type="dxa"/>
                  <w:noWrap w:val="0"/>
                  <w:vAlign w:val="center"/>
                </w:tcPr>
                <w:p w14:paraId="7635C75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821D9A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3</w:t>
                  </w:r>
                </w:p>
              </w:tc>
            </w:tr>
            <w:tr w14:paraId="4E1BE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continue"/>
                  <w:noWrap w:val="0"/>
                  <w:vAlign w:val="center"/>
                </w:tcPr>
                <w:p w14:paraId="1105A27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0D9E39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4946969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三格式化粪池</w:t>
                  </w:r>
                </w:p>
              </w:tc>
              <w:tc>
                <w:tcPr>
                  <w:tcW w:w="1326" w:type="dxa"/>
                  <w:noWrap w:val="0"/>
                  <w:vAlign w:val="center"/>
                </w:tcPr>
                <w:p w14:paraId="53C824F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w:t>
                  </w:r>
                </w:p>
              </w:tc>
              <w:tc>
                <w:tcPr>
                  <w:tcW w:w="1474" w:type="dxa"/>
                  <w:noWrap w:val="0"/>
                  <w:vAlign w:val="center"/>
                </w:tcPr>
                <w:p w14:paraId="0BA7250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w:t>
                  </w:r>
                </w:p>
              </w:tc>
            </w:tr>
            <w:tr w14:paraId="2F6E9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76FAC72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噪声</w:t>
                  </w:r>
                </w:p>
              </w:tc>
              <w:tc>
                <w:tcPr>
                  <w:tcW w:w="1178" w:type="dxa"/>
                  <w:noWrap w:val="0"/>
                  <w:vAlign w:val="center"/>
                </w:tcPr>
                <w:p w14:paraId="5AF439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施工期</w:t>
                  </w:r>
                </w:p>
              </w:tc>
              <w:tc>
                <w:tcPr>
                  <w:tcW w:w="3488" w:type="dxa"/>
                  <w:noWrap w:val="0"/>
                  <w:vAlign w:val="center"/>
                </w:tcPr>
                <w:p w14:paraId="692A498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隔声屏障等</w:t>
                  </w:r>
                </w:p>
              </w:tc>
              <w:tc>
                <w:tcPr>
                  <w:tcW w:w="1326" w:type="dxa"/>
                  <w:noWrap w:val="0"/>
                  <w:vAlign w:val="center"/>
                </w:tcPr>
                <w:p w14:paraId="5676D5D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3CE75C4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5</w:t>
                  </w:r>
                </w:p>
              </w:tc>
            </w:tr>
            <w:tr w14:paraId="71BC9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272" w:type="dxa"/>
                  <w:vMerge w:val="continue"/>
                  <w:noWrap w:val="0"/>
                  <w:vAlign w:val="center"/>
                </w:tcPr>
                <w:p w14:paraId="000BBED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p>
              </w:tc>
              <w:tc>
                <w:tcPr>
                  <w:tcW w:w="1178" w:type="dxa"/>
                  <w:noWrap w:val="0"/>
                  <w:vAlign w:val="center"/>
                </w:tcPr>
                <w:p w14:paraId="3AF5AC2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kern w:val="0"/>
                      <w:sz w:val="22"/>
                      <w:szCs w:val="22"/>
                    </w:rPr>
                    <w:t>营运期</w:t>
                  </w:r>
                </w:p>
              </w:tc>
              <w:tc>
                <w:tcPr>
                  <w:tcW w:w="3488" w:type="dxa"/>
                  <w:noWrap w:val="0"/>
                  <w:vAlign w:val="center"/>
                </w:tcPr>
                <w:p w14:paraId="39EF60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2"/>
                      <w:szCs w:val="22"/>
                    </w:rPr>
                  </w:pPr>
                  <w:r>
                    <w:rPr>
                      <w:rFonts w:hint="default" w:ascii="Times New Roman" w:hAnsi="Times New Roman" w:eastAsia="宋体" w:cs="Times New Roman"/>
                      <w:color w:val="000000"/>
                      <w:sz w:val="22"/>
                      <w:szCs w:val="22"/>
                    </w:rPr>
                    <w:t>隔声、消声、减振、加强设备保养、扩大厂区绿化面积</w:t>
                  </w:r>
                </w:p>
              </w:tc>
              <w:tc>
                <w:tcPr>
                  <w:tcW w:w="1326" w:type="dxa"/>
                  <w:noWrap w:val="0"/>
                  <w:vAlign w:val="center"/>
                </w:tcPr>
                <w:p w14:paraId="70E0038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74" w:type="dxa"/>
                  <w:noWrap w:val="0"/>
                  <w:vAlign w:val="center"/>
                </w:tcPr>
                <w:p w14:paraId="2AEE0D2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15</w:t>
                  </w:r>
                </w:p>
              </w:tc>
            </w:tr>
            <w:tr w14:paraId="60EA8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restart"/>
                  <w:noWrap w:val="0"/>
                  <w:vAlign w:val="center"/>
                </w:tcPr>
                <w:p w14:paraId="5D09925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固废</w:t>
                  </w:r>
                </w:p>
              </w:tc>
              <w:tc>
                <w:tcPr>
                  <w:tcW w:w="1178" w:type="dxa"/>
                  <w:noWrap w:val="0"/>
                  <w:vAlign w:val="center"/>
                </w:tcPr>
                <w:p w14:paraId="447FBFA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noWrap w:val="0"/>
                  <w:vAlign w:val="center"/>
                </w:tcPr>
                <w:p w14:paraId="37DF19C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垃圾桶、固废暂存场所</w:t>
                  </w:r>
                </w:p>
              </w:tc>
              <w:tc>
                <w:tcPr>
                  <w:tcW w:w="1326" w:type="dxa"/>
                  <w:noWrap w:val="0"/>
                  <w:vAlign w:val="center"/>
                </w:tcPr>
                <w:p w14:paraId="7FBDAD3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517790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5</w:t>
                  </w:r>
                </w:p>
              </w:tc>
            </w:tr>
            <w:tr w14:paraId="3965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72" w:type="dxa"/>
                  <w:vMerge w:val="continue"/>
                  <w:noWrap w:val="0"/>
                  <w:vAlign w:val="center"/>
                </w:tcPr>
                <w:p w14:paraId="4C3785F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449196C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noWrap w:val="0"/>
                  <w:vAlign w:val="center"/>
                </w:tcPr>
                <w:p w14:paraId="18B30EF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垃圾桶、危废暂存场所</w:t>
                  </w:r>
                </w:p>
              </w:tc>
              <w:tc>
                <w:tcPr>
                  <w:tcW w:w="1326" w:type="dxa"/>
                  <w:noWrap w:val="0"/>
                  <w:vAlign w:val="center"/>
                </w:tcPr>
                <w:p w14:paraId="2D322F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w:t>
                  </w:r>
                </w:p>
              </w:tc>
              <w:tc>
                <w:tcPr>
                  <w:tcW w:w="1474" w:type="dxa"/>
                  <w:noWrap w:val="0"/>
                  <w:vAlign w:val="center"/>
                </w:tcPr>
                <w:p w14:paraId="799592C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3</w:t>
                  </w:r>
                </w:p>
              </w:tc>
            </w:tr>
            <w:tr w14:paraId="00FE2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noWrap w:val="0"/>
                  <w:vAlign w:val="center"/>
                </w:tcPr>
                <w:p w14:paraId="0A45E69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环境风险</w:t>
                  </w:r>
                </w:p>
              </w:tc>
              <w:tc>
                <w:tcPr>
                  <w:tcW w:w="1178" w:type="dxa"/>
                  <w:noWrap w:val="0"/>
                  <w:vAlign w:val="center"/>
                </w:tcPr>
                <w:p w14:paraId="383A3B2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noWrap w:val="0"/>
                  <w:vAlign w:val="center"/>
                </w:tcPr>
                <w:p w14:paraId="356F721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事故油池、推车式灭火器</w:t>
                  </w:r>
                </w:p>
              </w:tc>
              <w:tc>
                <w:tcPr>
                  <w:tcW w:w="1326" w:type="dxa"/>
                  <w:noWrap w:val="0"/>
                  <w:vAlign w:val="center"/>
                </w:tcPr>
                <w:p w14:paraId="4B08BB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30</w:t>
                  </w:r>
                </w:p>
              </w:tc>
              <w:tc>
                <w:tcPr>
                  <w:tcW w:w="1474" w:type="dxa"/>
                  <w:noWrap w:val="0"/>
                  <w:vAlign w:val="center"/>
                </w:tcPr>
                <w:p w14:paraId="7CC025F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10</w:t>
                  </w:r>
                </w:p>
              </w:tc>
            </w:tr>
            <w:tr w14:paraId="426B3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restart"/>
                  <w:noWrap w:val="0"/>
                  <w:vAlign w:val="center"/>
                </w:tcPr>
                <w:p w14:paraId="4E73DEF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水土保持</w:t>
                  </w:r>
                </w:p>
              </w:tc>
              <w:tc>
                <w:tcPr>
                  <w:tcW w:w="1178" w:type="dxa"/>
                  <w:noWrap w:val="0"/>
                  <w:vAlign w:val="center"/>
                </w:tcPr>
                <w:p w14:paraId="40D0701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vMerge w:val="restart"/>
                  <w:noWrap w:val="0"/>
                  <w:vAlign w:val="center"/>
                </w:tcPr>
                <w:p w14:paraId="4B609DF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snapToGrid w:val="0"/>
                      <w:color w:val="000000"/>
                      <w:sz w:val="22"/>
                      <w:szCs w:val="22"/>
                    </w:rPr>
                    <w:t>工程措施、植物措施、临时措施和管理措施相结合的综合防护措施</w:t>
                  </w:r>
                </w:p>
              </w:tc>
              <w:tc>
                <w:tcPr>
                  <w:tcW w:w="1326" w:type="dxa"/>
                  <w:vMerge w:val="restart"/>
                  <w:noWrap w:val="0"/>
                  <w:vAlign w:val="center"/>
                </w:tcPr>
                <w:p w14:paraId="046ED3E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50</w:t>
                  </w:r>
                </w:p>
              </w:tc>
              <w:tc>
                <w:tcPr>
                  <w:tcW w:w="1474" w:type="dxa"/>
                  <w:vMerge w:val="restart"/>
                  <w:noWrap w:val="0"/>
                  <w:vAlign w:val="center"/>
                </w:tcPr>
                <w:p w14:paraId="167AFF6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60</w:t>
                  </w:r>
                </w:p>
              </w:tc>
            </w:tr>
            <w:tr w14:paraId="59526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continue"/>
                  <w:noWrap w:val="0"/>
                  <w:vAlign w:val="center"/>
                </w:tcPr>
                <w:p w14:paraId="7530B97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57A4DAE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vMerge w:val="continue"/>
                  <w:noWrap w:val="0"/>
                  <w:vAlign w:val="center"/>
                </w:tcPr>
                <w:p w14:paraId="064E826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26" w:type="dxa"/>
                  <w:vMerge w:val="continue"/>
                  <w:noWrap w:val="0"/>
                  <w:vAlign w:val="center"/>
                </w:tcPr>
                <w:p w14:paraId="52F82D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74" w:type="dxa"/>
                  <w:vMerge w:val="continue"/>
                  <w:noWrap w:val="0"/>
                  <w:vAlign w:val="center"/>
                </w:tcPr>
                <w:p w14:paraId="650AC98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6B761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restart"/>
                  <w:noWrap w:val="0"/>
                  <w:vAlign w:val="center"/>
                </w:tcPr>
                <w:p w14:paraId="368473E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生态保护与恢复</w:t>
                  </w:r>
                </w:p>
              </w:tc>
              <w:tc>
                <w:tcPr>
                  <w:tcW w:w="1178" w:type="dxa"/>
                  <w:noWrap w:val="0"/>
                  <w:vAlign w:val="center"/>
                </w:tcPr>
                <w:p w14:paraId="68ACD52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施工期</w:t>
                  </w:r>
                </w:p>
              </w:tc>
              <w:tc>
                <w:tcPr>
                  <w:tcW w:w="3488" w:type="dxa"/>
                  <w:vMerge w:val="restart"/>
                  <w:noWrap w:val="0"/>
                  <w:vAlign w:val="center"/>
                </w:tcPr>
                <w:p w14:paraId="0AFAC5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植物保护措施、动物保护措施、植物恢复措施、动物恢复措施</w:t>
                  </w:r>
                </w:p>
              </w:tc>
              <w:tc>
                <w:tcPr>
                  <w:tcW w:w="1326" w:type="dxa"/>
                  <w:vMerge w:val="restart"/>
                  <w:noWrap w:val="0"/>
                  <w:vAlign w:val="center"/>
                </w:tcPr>
                <w:p w14:paraId="4E7BA9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60</w:t>
                  </w:r>
                </w:p>
              </w:tc>
              <w:tc>
                <w:tcPr>
                  <w:tcW w:w="1474" w:type="dxa"/>
                  <w:vMerge w:val="restart"/>
                  <w:noWrap w:val="0"/>
                  <w:vAlign w:val="center"/>
                </w:tcPr>
                <w:p w14:paraId="5BE9D62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60</w:t>
                  </w:r>
                </w:p>
              </w:tc>
            </w:tr>
            <w:tr w14:paraId="08F72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1272" w:type="dxa"/>
                  <w:vMerge w:val="continue"/>
                  <w:noWrap w:val="0"/>
                  <w:vAlign w:val="center"/>
                </w:tcPr>
                <w:p w14:paraId="38DA0A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178" w:type="dxa"/>
                  <w:noWrap w:val="0"/>
                  <w:vAlign w:val="center"/>
                </w:tcPr>
                <w:p w14:paraId="1AAF856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r>
                    <w:rPr>
                      <w:rFonts w:hint="default" w:ascii="Times New Roman" w:hAnsi="Times New Roman" w:eastAsia="宋体" w:cs="Times New Roman"/>
                      <w:color w:val="000000"/>
                      <w:sz w:val="22"/>
                      <w:szCs w:val="22"/>
                    </w:rPr>
                    <w:t>营运期</w:t>
                  </w:r>
                </w:p>
              </w:tc>
              <w:tc>
                <w:tcPr>
                  <w:tcW w:w="3488" w:type="dxa"/>
                  <w:vMerge w:val="continue"/>
                  <w:noWrap w:val="0"/>
                  <w:vAlign w:val="center"/>
                </w:tcPr>
                <w:p w14:paraId="2E0E5F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26" w:type="dxa"/>
                  <w:vMerge w:val="continue"/>
                  <w:noWrap w:val="0"/>
                  <w:vAlign w:val="top"/>
                </w:tcPr>
                <w:p w14:paraId="4C20010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74" w:type="dxa"/>
                  <w:vMerge w:val="continue"/>
                  <w:noWrap w:val="0"/>
                  <w:vAlign w:val="top"/>
                </w:tcPr>
                <w:p w14:paraId="3185C18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00"/>
                      <w:sz w:val="22"/>
                      <w:szCs w:val="22"/>
                    </w:rPr>
                  </w:pPr>
                </w:p>
              </w:tc>
            </w:tr>
            <w:tr w14:paraId="031C6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272" w:type="dxa"/>
                  <w:noWrap w:val="0"/>
                  <w:vAlign w:val="center"/>
                </w:tcPr>
                <w:p w14:paraId="475BBBA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合计</w:t>
                  </w:r>
                </w:p>
              </w:tc>
              <w:tc>
                <w:tcPr>
                  <w:tcW w:w="4666" w:type="dxa"/>
                  <w:gridSpan w:val="2"/>
                  <w:noWrap w:val="0"/>
                  <w:vAlign w:val="center"/>
                </w:tcPr>
                <w:p w14:paraId="55CF6FB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占总投资</w:t>
                  </w:r>
                  <w:r>
                    <w:rPr>
                      <w:rFonts w:hint="default" w:ascii="Times New Roman" w:hAnsi="Times New Roman" w:eastAsia="宋体" w:cs="Times New Roman"/>
                      <w:b/>
                      <w:color w:val="000000"/>
                      <w:sz w:val="22"/>
                      <w:szCs w:val="22"/>
                      <w:lang w:val="en-US" w:eastAsia="zh-CN"/>
                    </w:rPr>
                    <w:t>11500</w:t>
                  </w:r>
                  <w:r>
                    <w:rPr>
                      <w:rFonts w:hint="default" w:ascii="Times New Roman" w:hAnsi="Times New Roman" w:eastAsia="宋体" w:cs="Times New Roman"/>
                      <w:b/>
                      <w:color w:val="000000"/>
                      <w:sz w:val="22"/>
                      <w:szCs w:val="22"/>
                    </w:rPr>
                    <w:t>万元的1.</w:t>
                  </w:r>
                  <w:r>
                    <w:rPr>
                      <w:rFonts w:hint="default" w:ascii="Times New Roman" w:hAnsi="Times New Roman" w:eastAsia="宋体" w:cs="Times New Roman"/>
                      <w:b/>
                      <w:color w:val="000000"/>
                      <w:sz w:val="22"/>
                      <w:szCs w:val="22"/>
                      <w:lang w:val="en-US" w:eastAsia="zh-CN"/>
                    </w:rPr>
                    <w:t>47</w:t>
                  </w:r>
                  <w:r>
                    <w:rPr>
                      <w:rFonts w:hint="default" w:ascii="Times New Roman" w:hAnsi="Times New Roman" w:eastAsia="宋体" w:cs="Times New Roman"/>
                      <w:b/>
                      <w:color w:val="000000"/>
                      <w:sz w:val="22"/>
                      <w:szCs w:val="22"/>
                    </w:rPr>
                    <w:t>%</w:t>
                  </w:r>
                </w:p>
              </w:tc>
              <w:tc>
                <w:tcPr>
                  <w:tcW w:w="1326" w:type="dxa"/>
                  <w:noWrap w:val="0"/>
                  <w:vAlign w:val="center"/>
                </w:tcPr>
                <w:p w14:paraId="01D31B7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rPr>
                  </w:pPr>
                  <w:r>
                    <w:rPr>
                      <w:rFonts w:hint="default" w:ascii="Times New Roman" w:hAnsi="Times New Roman" w:eastAsia="宋体" w:cs="Times New Roman"/>
                      <w:b/>
                      <w:color w:val="000000"/>
                      <w:sz w:val="22"/>
                      <w:szCs w:val="22"/>
                    </w:rPr>
                    <w:t>220</w:t>
                  </w:r>
                </w:p>
              </w:tc>
              <w:tc>
                <w:tcPr>
                  <w:tcW w:w="1474" w:type="dxa"/>
                  <w:noWrap w:val="0"/>
                  <w:vAlign w:val="center"/>
                </w:tcPr>
                <w:p w14:paraId="1BFF99F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color w:val="000000"/>
                      <w:sz w:val="22"/>
                      <w:szCs w:val="22"/>
                      <w:lang w:val="en-US" w:eastAsia="zh-CN"/>
                    </w:rPr>
                  </w:pPr>
                  <w:r>
                    <w:rPr>
                      <w:rFonts w:hint="default" w:ascii="Times New Roman" w:hAnsi="Times New Roman" w:eastAsia="宋体" w:cs="Times New Roman"/>
                      <w:b/>
                      <w:color w:val="000000"/>
                      <w:sz w:val="22"/>
                      <w:szCs w:val="22"/>
                      <w:lang w:val="en-US" w:eastAsia="zh-CN"/>
                    </w:rPr>
                    <w:t>168.5</w:t>
                  </w:r>
                </w:p>
              </w:tc>
            </w:tr>
          </w:tbl>
          <w:p w14:paraId="0EC972E3">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r w14:paraId="1698E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9076" w:type="dxa"/>
          </w:tcPr>
          <w:p w14:paraId="0AF029C5">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建设项目变动情况及变动原因</w:t>
            </w:r>
          </w:p>
          <w:p w14:paraId="39733D9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1、《中华人民共和国环境影响评价法》和《建设项目环境保护管理条例》</w:t>
            </w:r>
          </w:p>
          <w:p w14:paraId="35ABABA2">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中华人民共和国环境影响评价法》第二十四条：建设项目的环境影响评价文件经批准后，建设项目的性质、规模、地点、采用的生产工艺或者防治污染、防止生态破坏的措施发生重大变动的，建设单位应当重新报批建设项目的环境影响评价文件。</w:t>
            </w:r>
          </w:p>
          <w:p w14:paraId="10928C80">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项目环境保护管理条例》第十二条：建设项目环境影响报告书、环境影响报告表经批准后，建设项目的性质、规模、地点、采用的生产工艺或者防治污染、防止生态破坏的措施发生重大变动的，建设单位应当重新报批建设项目环境影响报告书、环境影响报告表。</w:t>
            </w:r>
          </w:p>
          <w:p w14:paraId="0E5069E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根据《中华人民共和国环境影响评价法》</w:t>
            </w:r>
            <w:r>
              <w:rPr>
                <w:rFonts w:hint="eastAsia"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《建设项目环境保护管理条例》</w:t>
            </w:r>
            <w:r>
              <w:rPr>
                <w:rFonts w:hint="eastAsia" w:cs="Times New Roman"/>
                <w:color w:val="000000" w:themeColor="text1"/>
                <w:lang w:val="en-US" w:eastAsia="zh-CN"/>
                <w14:textFill>
                  <w14:solidFill>
                    <w14:schemeClr w14:val="tx1"/>
                  </w14:solidFill>
                </w14:textFill>
              </w:rPr>
              <w:t>和《安徽省生态环境厅关于规范建设项目环境影响评价调整变更工作的通知》（皖环函〔2023〕997号）中生态影响类建设项目重大变动清单</w:t>
            </w:r>
            <w:r>
              <w:rPr>
                <w:rFonts w:hint="default" w:ascii="Times New Roman" w:hAnsi="Times New Roman" w:eastAsia="宋体" w:cs="Times New Roman"/>
                <w:color w:val="000000" w:themeColor="text1"/>
                <w14:textFill>
                  <w14:solidFill>
                    <w14:schemeClr w14:val="tx1"/>
                  </w14:solidFill>
                </w14:textFill>
              </w:rPr>
              <w:t>，本项目环评阶段与实际建设的性质、规模、地点、生产工艺和防治污染、防治生态破坏的措施变化情况</w:t>
            </w:r>
          </w:p>
          <w:p w14:paraId="5CC79EA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如下：</w:t>
            </w:r>
          </w:p>
          <w:p w14:paraId="5A7B62C6">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（1）性质</w:t>
            </w:r>
          </w:p>
          <w:p w14:paraId="45FE00D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本项目环评阶段性质为新建项目，实际建设性质为新建项目，与环评阶段相比，建设项目的性质未发生改变，不属于重大变动。</w:t>
            </w:r>
          </w:p>
          <w:p w14:paraId="5656A27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（2）规模</w:t>
            </w:r>
          </w:p>
          <w:p w14:paraId="037256A6">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本项目环评阶段总装机容量为</w:t>
            </w:r>
            <w:r>
              <w:rPr>
                <w:rFonts w:hint="default" w:ascii="Times New Roman" w:hAnsi="Times New Roman" w:eastAsia="宋体"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MW，实际建设总装机容量为</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14:textFill>
                  <w14:solidFill>
                    <w14:schemeClr w14:val="tx1"/>
                  </w14:solidFill>
                </w14:textFill>
              </w:rPr>
              <w:t>MW，与环评</w:t>
            </w:r>
            <w:r>
              <w:rPr>
                <w:rFonts w:hint="eastAsia" w:cs="Times New Roman"/>
                <w:color w:val="000000" w:themeColor="text1"/>
                <w:lang w:val="en-US" w:eastAsia="zh-CN"/>
                <w14:textFill>
                  <w14:solidFill>
                    <w14:schemeClr w14:val="tx1"/>
                  </w14:solidFill>
                </w14:textFill>
              </w:rPr>
              <w:t>一致，不属于</w:t>
            </w:r>
            <w:r>
              <w:rPr>
                <w:rFonts w:hint="default" w:ascii="Times New Roman" w:hAnsi="Times New Roman" w:eastAsia="宋体" w:cs="Times New Roman"/>
                <w:color w:val="000000" w:themeColor="text1"/>
                <w14:textFill>
                  <w14:solidFill>
                    <w14:schemeClr w14:val="tx1"/>
                  </w14:solidFill>
                </w14:textFill>
              </w:rPr>
              <w:t>重大变动。本项目光伏区实际建设面积减少67.1626亩（减少百分比为12.74%）</w:t>
            </w:r>
            <w:r>
              <w:rPr>
                <w:rFonts w:hint="eastAsia" w:cs="Times New Roman"/>
                <w:color w:val="000000" w:themeColor="text1"/>
                <w:lang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项目面积减少，属于积极影响，不属于</w:t>
            </w:r>
            <w:r>
              <w:rPr>
                <w:rFonts w:hint="default" w:ascii="Times New Roman" w:hAnsi="Times New Roman" w:eastAsia="宋体" w:cs="Times New Roman"/>
                <w:color w:val="000000" w:themeColor="text1"/>
                <w14:textFill>
                  <w14:solidFill>
                    <w14:schemeClr w14:val="tx1"/>
                  </w14:solidFill>
                </w14:textFill>
              </w:rPr>
              <w:t>重大变动。</w:t>
            </w:r>
          </w:p>
          <w:p w14:paraId="6DF13784">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（3）地点</w:t>
            </w:r>
          </w:p>
          <w:p w14:paraId="0A0100D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本项目环评阶段光伏区选址于六安市霍邱县邵岗乡坎山村X035县道。实际建设光伏区整体位置</w:t>
            </w:r>
            <w:r>
              <w:rPr>
                <w:rFonts w:hint="default" w:ascii="Times New Roman" w:hAnsi="Times New Roman" w:eastAsia="宋体" w:cs="Times New Roman"/>
                <w:color w:val="000000" w:themeColor="text1"/>
                <w:lang w:val="en-US" w:eastAsia="zh-CN"/>
                <w14:textFill>
                  <w14:solidFill>
                    <w14:schemeClr w14:val="tx1"/>
                  </w14:solidFill>
                </w14:textFill>
              </w:rPr>
              <w:t>未</w:t>
            </w:r>
            <w:r>
              <w:rPr>
                <w:rFonts w:hint="default" w:ascii="Times New Roman" w:hAnsi="Times New Roman" w:eastAsia="宋体" w:cs="Times New Roman"/>
                <w:color w:val="000000" w:themeColor="text1"/>
                <w14:textFill>
                  <w14:solidFill>
                    <w14:schemeClr w14:val="tx1"/>
                  </w14:solidFill>
                </w14:textFill>
              </w:rPr>
              <w:t>发生变化，未超出原环评阶段选址范围。因此，光伏区面积</w:t>
            </w:r>
            <w:r>
              <w:rPr>
                <w:rFonts w:hint="eastAsia" w:ascii="Times New Roman" w:hAnsi="Times New Roman" w:eastAsia="宋体" w:cs="Times New Roman"/>
                <w:color w:val="000000" w:themeColor="text1"/>
                <w:lang w:val="en-US" w:eastAsia="zh-CN"/>
                <w14:textFill>
                  <w14:solidFill>
                    <w14:schemeClr w14:val="tx1"/>
                  </w14:solidFill>
                </w14:textFill>
              </w:rPr>
              <w:t>减小</w:t>
            </w:r>
            <w:r>
              <w:rPr>
                <w:rFonts w:hint="default" w:ascii="Times New Roman" w:hAnsi="Times New Roman" w:eastAsia="宋体" w:cs="Times New Roman"/>
                <w:color w:val="000000" w:themeColor="text1"/>
                <w14:textFill>
                  <w14:solidFill>
                    <w14:schemeClr w14:val="tx1"/>
                  </w14:solidFill>
                </w14:textFill>
              </w:rPr>
              <w:t>的变化不属于重大变动。</w:t>
            </w:r>
          </w:p>
          <w:p w14:paraId="268F6749">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（4）生产工艺</w:t>
            </w:r>
          </w:p>
          <w:p w14:paraId="2FAB8FA1">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本项目环评阶段生产工艺为由太阳能转化成电能，实际建设生产工艺为由太阳能转化成电能，与环评相比，实际建设生产工艺未发生变化，不属于重大变动。</w:t>
            </w:r>
          </w:p>
          <w:p w14:paraId="57CFB03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（5）防治污染、防止生态破坏的措施</w:t>
            </w:r>
          </w:p>
          <w:p w14:paraId="5A737C2E">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项目环评阶段采用低噪型设备，合理布局各主要噪声源设备，加强对设备的维修管理。项目运营期更换下的多晶硅太阳能电池板直接由设备厂家回收处置。加强人员管理，严禁随意破坏项目周边地表植被、严禁捕杀野生动物。</w:t>
            </w:r>
          </w:p>
          <w:p w14:paraId="582E9C5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实际建设采用低噪型设备</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合理布局各主要噪声源设备，加强对设备的维修管理。项目运营期</w:t>
            </w:r>
            <w:r>
              <w:rPr>
                <w:rFonts w:hint="eastAsia" w:cs="Times New Roman"/>
                <w:color w:val="000000" w:themeColor="text1"/>
                <w:lang w:eastAsia="zh-CN"/>
                <w14:textFill>
                  <w14:solidFill>
                    <w14:schemeClr w14:val="tx1"/>
                  </w14:solidFill>
                </w14:textFill>
              </w:rPr>
              <w:t>更换</w:t>
            </w:r>
            <w:r>
              <w:rPr>
                <w:rFonts w:hint="default" w:ascii="Times New Roman" w:hAnsi="Times New Roman" w:eastAsia="宋体" w:cs="Times New Roman"/>
                <w:color w:val="000000" w:themeColor="text1"/>
                <w14:textFill>
                  <w14:solidFill>
                    <w14:schemeClr w14:val="tx1"/>
                  </w14:solidFill>
                </w14:textFill>
              </w:rPr>
              <w:t>的多晶硅太阳能电池板直接由设备厂家回收处置，废变压器油等危险废物由</w:t>
            </w:r>
            <w:r>
              <w:rPr>
                <w:rFonts w:hint="default" w:ascii="Times New Roman" w:hAnsi="Times New Roman" w:eastAsia="宋体" w:cs="Times New Roman"/>
                <w:color w:val="000000" w:themeColor="text1"/>
                <w:lang w:val="en-US" w:eastAsia="zh-CN"/>
                <w14:textFill>
                  <w14:solidFill>
                    <w14:schemeClr w14:val="tx1"/>
                  </w14:solidFill>
                </w14:textFill>
              </w:rPr>
              <w:t>危废单位</w:t>
            </w:r>
            <w:r>
              <w:rPr>
                <w:rFonts w:hint="default" w:ascii="Times New Roman" w:hAnsi="Times New Roman" w:eastAsia="宋体" w:cs="Times New Roman"/>
                <w:color w:val="000000" w:themeColor="text1"/>
                <w14:textFill>
                  <w14:solidFill>
                    <w14:schemeClr w14:val="tx1"/>
                  </w14:solidFill>
                </w14:textFill>
              </w:rPr>
              <w:t>处置。加强人员管理，严禁随意破坏项目周边地表植被、严禁捕杀野生动物。</w:t>
            </w:r>
          </w:p>
          <w:p w14:paraId="66594E2F">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（6）小结</w:t>
            </w:r>
          </w:p>
          <w:p w14:paraId="44BA00CB">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综上所述，本项目建设性质、规模、生产工艺和防治污染、防止生态破坏的措施未发生重大变动。</w:t>
            </w:r>
          </w:p>
          <w:p w14:paraId="48ED997C">
            <w:pPr>
              <w:pStyle w:val="22"/>
              <w:bidi w:val="0"/>
              <w:rPr>
                <w:rFonts w:hint="default" w:ascii="Times New Roman" w:hAnsi="Times New Roman" w:eastAsia="宋体" w:cs="Times New Roman"/>
                <w:color w:val="000000" w:themeColor="text1"/>
                <w14:textFill>
                  <w14:solidFill>
                    <w14:schemeClr w14:val="tx1"/>
                  </w14:solidFill>
                </w14:textFill>
              </w:rPr>
            </w:pPr>
          </w:p>
          <w:p w14:paraId="08BFCBFB">
            <w:pPr>
              <w:pStyle w:val="22"/>
              <w:bidi w:val="0"/>
              <w:rPr>
                <w:rFonts w:hint="default" w:ascii="Times New Roman" w:hAnsi="Times New Roman" w:eastAsia="宋体" w:cs="Times New Roman"/>
                <w:color w:val="000000" w:themeColor="text1"/>
                <w14:textFill>
                  <w14:solidFill>
                    <w14:schemeClr w14:val="tx1"/>
                  </w14:solidFill>
                </w14:textFill>
              </w:rPr>
            </w:pPr>
          </w:p>
          <w:p w14:paraId="4E8B13FE">
            <w:pPr>
              <w:pStyle w:val="22"/>
              <w:bidi w:val="0"/>
              <w:rPr>
                <w:rFonts w:hint="default" w:ascii="Times New Roman" w:hAnsi="Times New Roman" w:eastAsia="宋体" w:cs="Times New Roman"/>
                <w:color w:val="000000" w:themeColor="text1"/>
                <w14:textFill>
                  <w14:solidFill>
                    <w14:schemeClr w14:val="tx1"/>
                  </w14:solidFill>
                </w14:textFill>
              </w:rPr>
            </w:pPr>
          </w:p>
          <w:p w14:paraId="1D02B36D">
            <w:pPr>
              <w:pStyle w:val="22"/>
              <w:bidi w:val="0"/>
              <w:rPr>
                <w:rFonts w:hint="default" w:ascii="Times New Roman" w:hAnsi="Times New Roman" w:eastAsia="宋体" w:cs="Times New Roman"/>
                <w:color w:val="000000" w:themeColor="text1"/>
                <w14:textFill>
                  <w14:solidFill>
                    <w14:schemeClr w14:val="tx1"/>
                  </w14:solidFill>
                </w14:textFill>
              </w:rPr>
            </w:pPr>
          </w:p>
          <w:p w14:paraId="320DF3EF">
            <w:pPr>
              <w:pStyle w:val="22"/>
              <w:bidi w:val="0"/>
              <w:rPr>
                <w:rFonts w:hint="default" w:ascii="Times New Roman" w:hAnsi="Times New Roman" w:eastAsia="宋体" w:cs="Times New Roman"/>
                <w:color w:val="000000" w:themeColor="text1"/>
                <w14:textFill>
                  <w14:solidFill>
                    <w14:schemeClr w14:val="tx1"/>
                  </w14:solidFill>
                </w14:textFill>
              </w:rPr>
            </w:pPr>
          </w:p>
          <w:p w14:paraId="5694D42B">
            <w:pPr>
              <w:pStyle w:val="22"/>
              <w:bidi w:val="0"/>
              <w:rPr>
                <w:rFonts w:hint="default" w:ascii="Times New Roman" w:hAnsi="Times New Roman" w:eastAsia="宋体" w:cs="Times New Roman"/>
                <w:color w:val="000000" w:themeColor="text1"/>
                <w14:textFill>
                  <w14:solidFill>
                    <w14:schemeClr w14:val="tx1"/>
                  </w14:solidFill>
                </w14:textFill>
              </w:rPr>
            </w:pPr>
          </w:p>
          <w:p w14:paraId="2E82FD49">
            <w:pPr>
              <w:pStyle w:val="22"/>
              <w:bidi w:val="0"/>
              <w:rPr>
                <w:rFonts w:hint="default" w:ascii="Times New Roman" w:hAnsi="Times New Roman" w:eastAsia="宋体" w:cs="Times New Roman"/>
                <w:color w:val="000000" w:themeColor="text1"/>
                <w14:textFill>
                  <w14:solidFill>
                    <w14:schemeClr w14:val="tx1"/>
                  </w14:solidFill>
                </w14:textFill>
              </w:rPr>
            </w:pPr>
          </w:p>
          <w:p w14:paraId="0C1DE473">
            <w:pPr>
              <w:pStyle w:val="22"/>
              <w:bidi w:val="0"/>
              <w:rPr>
                <w:rFonts w:hint="default" w:ascii="Times New Roman" w:hAnsi="Times New Roman" w:eastAsia="宋体" w:cs="Times New Roman"/>
                <w:color w:val="000000" w:themeColor="text1"/>
                <w14:textFill>
                  <w14:solidFill>
                    <w14:schemeClr w14:val="tx1"/>
                  </w14:solidFill>
                </w14:textFill>
              </w:rPr>
            </w:pPr>
          </w:p>
          <w:p w14:paraId="010199ED">
            <w:pPr>
              <w:pStyle w:val="22"/>
              <w:bidi w:val="0"/>
              <w:rPr>
                <w:rFonts w:hint="default" w:ascii="Times New Roman" w:hAnsi="Times New Roman" w:eastAsia="宋体" w:cs="Times New Roman"/>
                <w:color w:val="000000" w:themeColor="text1"/>
                <w14:textFill>
                  <w14:solidFill>
                    <w14:schemeClr w14:val="tx1"/>
                  </w14:solidFill>
                </w14:textFill>
              </w:rPr>
            </w:pPr>
          </w:p>
          <w:p w14:paraId="0926FDE4">
            <w:pPr>
              <w:pStyle w:val="22"/>
              <w:bidi w:val="0"/>
              <w:rPr>
                <w:rFonts w:hint="default" w:ascii="Times New Roman" w:hAnsi="Times New Roman" w:eastAsia="宋体" w:cs="Times New Roman"/>
                <w:color w:val="000000" w:themeColor="text1"/>
                <w14:textFill>
                  <w14:solidFill>
                    <w14:schemeClr w14:val="tx1"/>
                  </w14:solidFill>
                </w14:textFill>
              </w:rPr>
            </w:pPr>
          </w:p>
          <w:p w14:paraId="54B3DFE8">
            <w:pPr>
              <w:pStyle w:val="22"/>
              <w:bidi w:val="0"/>
              <w:rPr>
                <w:rFonts w:hint="default" w:ascii="Times New Roman" w:hAnsi="Times New Roman" w:eastAsia="宋体" w:cs="Times New Roman"/>
                <w:color w:val="000000" w:themeColor="text1"/>
                <w14:textFill>
                  <w14:solidFill>
                    <w14:schemeClr w14:val="tx1"/>
                  </w14:solidFill>
                </w14:textFill>
              </w:rPr>
            </w:pPr>
          </w:p>
          <w:p w14:paraId="5993D43B">
            <w:pPr>
              <w:pStyle w:val="22"/>
              <w:bidi w:val="0"/>
              <w:rPr>
                <w:rFonts w:hint="default" w:ascii="Times New Roman" w:hAnsi="Times New Roman" w:eastAsia="宋体" w:cs="Times New Roman"/>
                <w:color w:val="000000" w:themeColor="text1"/>
                <w14:textFill>
                  <w14:solidFill>
                    <w14:schemeClr w14:val="tx1"/>
                  </w14:solidFill>
                </w14:textFill>
              </w:rPr>
            </w:pPr>
          </w:p>
          <w:p w14:paraId="35631893">
            <w:pPr>
              <w:pStyle w:val="22"/>
              <w:bidi w:val="0"/>
              <w:rPr>
                <w:rFonts w:hint="default" w:ascii="Times New Roman" w:hAnsi="Times New Roman" w:eastAsia="宋体" w:cs="Times New Roman"/>
                <w:color w:val="000000" w:themeColor="text1"/>
                <w14:textFill>
                  <w14:solidFill>
                    <w14:schemeClr w14:val="tx1"/>
                  </w14:solidFill>
                </w14:textFill>
              </w:rPr>
            </w:pPr>
          </w:p>
          <w:p w14:paraId="64233F6D">
            <w:pPr>
              <w:pStyle w:val="22"/>
              <w:bidi w:val="0"/>
              <w:rPr>
                <w:rFonts w:hint="default" w:ascii="Times New Roman" w:hAnsi="Times New Roman" w:eastAsia="宋体" w:cs="Times New Roman"/>
                <w:color w:val="000000" w:themeColor="text1"/>
                <w14:textFill>
                  <w14:solidFill>
                    <w14:schemeClr w14:val="tx1"/>
                  </w14:solidFill>
                </w14:textFill>
              </w:rPr>
            </w:pPr>
          </w:p>
          <w:p w14:paraId="24F8B13B">
            <w:pPr>
              <w:pStyle w:val="22"/>
              <w:bidi w:val="0"/>
              <w:rPr>
                <w:rFonts w:hint="default" w:ascii="Times New Roman" w:hAnsi="Times New Roman" w:eastAsia="宋体" w:cs="Times New Roman"/>
                <w:color w:val="000000" w:themeColor="text1"/>
                <w14:textFill>
                  <w14:solidFill>
                    <w14:schemeClr w14:val="tx1"/>
                  </w14:solidFill>
                </w14:textFill>
              </w:rPr>
            </w:pPr>
          </w:p>
          <w:p w14:paraId="6F824DCF">
            <w:pPr>
              <w:pStyle w:val="22"/>
              <w:bidi w:val="0"/>
              <w:rPr>
                <w:rFonts w:hint="default" w:ascii="Times New Roman" w:hAnsi="Times New Roman" w:eastAsia="宋体" w:cs="Times New Roman"/>
                <w:color w:val="000000" w:themeColor="text1"/>
                <w14:textFill>
                  <w14:solidFill>
                    <w14:schemeClr w14:val="tx1"/>
                  </w14:solidFill>
                </w14:textFill>
              </w:rPr>
            </w:pPr>
          </w:p>
          <w:p w14:paraId="76FD0D9D">
            <w:pPr>
              <w:pStyle w:val="22"/>
              <w:bidi w:val="0"/>
              <w:rPr>
                <w:rFonts w:hint="default" w:ascii="Times New Roman" w:hAnsi="Times New Roman" w:eastAsia="宋体" w:cs="Times New Roman"/>
                <w:color w:val="000000" w:themeColor="text1"/>
                <w14:textFill>
                  <w14:solidFill>
                    <w14:schemeClr w14:val="tx1"/>
                  </w14:solidFill>
                </w14:textFill>
              </w:rPr>
            </w:pPr>
          </w:p>
          <w:p w14:paraId="764D6138">
            <w:pPr>
              <w:pStyle w:val="22"/>
              <w:bidi w:val="0"/>
              <w:rPr>
                <w:rFonts w:hint="default" w:ascii="Times New Roman" w:hAnsi="Times New Roman" w:eastAsia="宋体" w:cs="Times New Roman"/>
                <w:color w:val="000000" w:themeColor="text1"/>
                <w14:textFill>
                  <w14:solidFill>
                    <w14:schemeClr w14:val="tx1"/>
                  </w14:solidFill>
                </w14:textFill>
              </w:rPr>
            </w:pPr>
          </w:p>
          <w:p w14:paraId="3985950F">
            <w:pPr>
              <w:pStyle w:val="22"/>
              <w:bidi w:val="0"/>
              <w:rPr>
                <w:rFonts w:hint="default" w:ascii="Times New Roman" w:hAnsi="Times New Roman" w:eastAsia="宋体" w:cs="Times New Roman"/>
                <w:color w:val="000000" w:themeColor="text1"/>
                <w14:textFill>
                  <w14:solidFill>
                    <w14:schemeClr w14:val="tx1"/>
                  </w14:solidFill>
                </w14:textFill>
              </w:rPr>
            </w:pPr>
          </w:p>
          <w:p w14:paraId="6CC8B83E">
            <w:pPr>
              <w:pStyle w:val="22"/>
              <w:bidi w:val="0"/>
              <w:rPr>
                <w:rFonts w:hint="default" w:ascii="Times New Roman" w:hAnsi="Times New Roman" w:eastAsia="宋体" w:cs="Times New Roman"/>
                <w:color w:val="000000" w:themeColor="text1"/>
                <w14:textFill>
                  <w14:solidFill>
                    <w14:schemeClr w14:val="tx1"/>
                  </w14:solidFill>
                </w14:textFill>
              </w:rPr>
            </w:pPr>
          </w:p>
          <w:p w14:paraId="7F1B654E">
            <w:pPr>
              <w:pStyle w:val="22"/>
              <w:bidi w:val="0"/>
              <w:rPr>
                <w:rFonts w:hint="default" w:ascii="Times New Roman" w:hAnsi="Times New Roman" w:eastAsia="宋体" w:cs="Times New Roman"/>
                <w:color w:val="000000" w:themeColor="text1"/>
                <w14:textFill>
                  <w14:solidFill>
                    <w14:schemeClr w14:val="tx1"/>
                  </w14:solidFill>
                </w14:textFill>
              </w:rPr>
            </w:pPr>
          </w:p>
          <w:p w14:paraId="6D0A5D84">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根据生态环境部发布的《关于印发</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输变电建设项目重大变动清单（试行）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的通知》（环办辐射</w:t>
            </w:r>
            <w:r>
              <w:rPr>
                <w:rFonts w:hint="default" w:ascii="Times New Roman" w:hAnsi="Times New Roman" w:eastAsia="宋体" w:cs="Times New Roman"/>
                <w:color w:val="000000" w:themeColor="text1"/>
                <w:lang w:eastAsia="zh-CN"/>
                <w14:textFill>
                  <w14:solidFill>
                    <w14:schemeClr w14:val="tx1"/>
                  </w14:solidFill>
                </w14:textFill>
              </w:rPr>
              <w:t>〔2016〕84号</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内容，</w:t>
            </w:r>
            <w:r>
              <w:rPr>
                <w:rFonts w:hint="default" w:ascii="Times New Roman" w:hAnsi="Times New Roman" w:eastAsia="宋体" w:cs="Times New Roman"/>
                <w:color w:val="000000" w:themeColor="text1"/>
                <w14:textFill>
                  <w14:solidFill>
                    <w14:schemeClr w14:val="tx1"/>
                  </w14:solidFill>
                </w14:textFill>
              </w:rPr>
              <w:t>明确“输变电建设项目发生清单一项或一项以上，且可能导致不利环境影响显著加重的，界定为重大变动，其他变更界定为一般变动”。</w:t>
            </w:r>
          </w:p>
          <w:p w14:paraId="1C28A073">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根据调查，本工程与《关于印发</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输变电建设项目重大变动清单（试行）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的通知》（环办辐射</w:t>
            </w:r>
            <w:r>
              <w:rPr>
                <w:rFonts w:hint="default" w:ascii="Times New Roman" w:hAnsi="Times New Roman" w:eastAsia="宋体" w:cs="Times New Roman"/>
                <w:color w:val="000000" w:themeColor="text1"/>
                <w:lang w:eastAsia="zh-CN"/>
                <w14:textFill>
                  <w14:solidFill>
                    <w14:schemeClr w14:val="tx1"/>
                  </w14:solidFill>
                </w14:textFill>
              </w:rPr>
              <w:t>〔2016〕84号</w:t>
            </w:r>
            <w:r>
              <w:rPr>
                <w:rFonts w:hint="default" w:ascii="Times New Roman" w:hAnsi="Times New Roman" w:eastAsia="宋体" w:cs="Times New Roman"/>
                <w:color w:val="000000" w:themeColor="text1"/>
                <w14:textFill>
                  <w14:solidFill>
                    <w14:schemeClr w14:val="tx1"/>
                  </w14:solidFill>
                </w14:textFill>
              </w:rPr>
              <w:t>）中输变电建设项目重大变动清单对照情况</w:t>
            </w:r>
            <w:r>
              <w:rPr>
                <w:rFonts w:hint="default" w:ascii="Times New Roman" w:hAnsi="Times New Roman" w:eastAsia="宋体" w:cs="Times New Roman"/>
                <w:color w:val="000000" w:themeColor="text1"/>
                <w:lang w:val="en-US" w:eastAsia="zh-CN"/>
                <w14:textFill>
                  <w14:solidFill>
                    <w14:schemeClr w14:val="tx1"/>
                  </w14:solidFill>
                </w14:textFill>
              </w:rPr>
              <w:t>详见</w:t>
            </w:r>
            <w:r>
              <w:rPr>
                <w:rFonts w:hint="default" w:ascii="Times New Roman" w:hAnsi="Times New Roman" w:eastAsia="宋体" w:cs="Times New Roman"/>
                <w:color w:val="000000" w:themeColor="text1"/>
                <w14:textFill>
                  <w14:solidFill>
                    <w14:schemeClr w14:val="tx1"/>
                  </w14:solidFill>
                </w14:textFill>
              </w:rPr>
              <w:t>下表。</w:t>
            </w:r>
          </w:p>
          <w:p w14:paraId="2F7948B1">
            <w:pPr>
              <w:widowControl/>
              <w:bidi w:val="0"/>
              <w:spacing w:line="240" w:lineRule="auto"/>
              <w:ind w:firstLine="0" w:firstLineChars="0"/>
              <w:jc w:val="cente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bidi="ar-SA"/>
                <w14:textFill>
                  <w14:solidFill>
                    <w14:schemeClr w14:val="tx1"/>
                  </w14:solidFill>
                </w14:textFill>
              </w:rPr>
              <w:t>表4-5  本工程与重大变动清单对比分析表</w:t>
            </w:r>
          </w:p>
          <w:tbl>
            <w:tblPr>
              <w:tblStyle w:val="16"/>
              <w:tblW w:w="885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7"/>
              <w:gridCol w:w="3099"/>
              <w:gridCol w:w="888"/>
              <w:gridCol w:w="4335"/>
            </w:tblGrid>
            <w:tr w14:paraId="44CBC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 w:hRule="atLeast"/>
              </w:trPr>
              <w:tc>
                <w:tcPr>
                  <w:tcW w:w="303" w:type="pct"/>
                  <w:tcBorders>
                    <w:tl2br w:val="nil"/>
                    <w:tr2bl w:val="nil"/>
                  </w:tcBorders>
                  <w:vAlign w:val="center"/>
                </w:tcPr>
                <w:p w14:paraId="60AC80B7">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序号</w:t>
                  </w:r>
                </w:p>
              </w:tc>
              <w:tc>
                <w:tcPr>
                  <w:tcW w:w="1749" w:type="pct"/>
                  <w:tcBorders>
                    <w:tl2br w:val="nil"/>
                    <w:tr2bl w:val="nil"/>
                  </w:tcBorders>
                  <w:vAlign w:val="center"/>
                </w:tcPr>
                <w:p w14:paraId="194879D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输变电项目重大变动清单</w:t>
                  </w:r>
                </w:p>
              </w:tc>
              <w:tc>
                <w:tcPr>
                  <w:tcW w:w="501" w:type="pct"/>
                  <w:tcBorders>
                    <w:tl2br w:val="nil"/>
                    <w:tr2bl w:val="nil"/>
                  </w:tcBorders>
                  <w:vAlign w:val="center"/>
                </w:tcPr>
                <w:p w14:paraId="76804C1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是否存在该变动</w:t>
                  </w:r>
                </w:p>
              </w:tc>
              <w:tc>
                <w:tcPr>
                  <w:tcW w:w="2446" w:type="pct"/>
                  <w:tcBorders>
                    <w:tl2br w:val="nil"/>
                    <w:tr2bl w:val="nil"/>
                  </w:tcBorders>
                  <w:vAlign w:val="center"/>
                </w:tcPr>
                <w:p w14:paraId="2B8895A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说明</w:t>
                  </w:r>
                </w:p>
              </w:tc>
            </w:tr>
            <w:tr w14:paraId="75ADE2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10FDDFF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w:t>
                  </w:r>
                </w:p>
              </w:tc>
              <w:tc>
                <w:tcPr>
                  <w:tcW w:w="1749" w:type="pct"/>
                  <w:tcBorders>
                    <w:tl2br w:val="nil"/>
                    <w:tr2bl w:val="nil"/>
                  </w:tcBorders>
                  <w:vAlign w:val="center"/>
                </w:tcPr>
                <w:p w14:paraId="135F69F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电压等级升高</w:t>
                  </w:r>
                </w:p>
              </w:tc>
              <w:tc>
                <w:tcPr>
                  <w:tcW w:w="501" w:type="pct"/>
                  <w:tcBorders>
                    <w:tl2br w:val="nil"/>
                    <w:tr2bl w:val="nil"/>
                  </w:tcBorders>
                  <w:vAlign w:val="center"/>
                </w:tcPr>
                <w:p w14:paraId="7F9C79D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5C22521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电压等级与环评一致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14:textFill>
                        <w14:solidFill>
                          <w14:schemeClr w14:val="tx1"/>
                        </w14:solidFill>
                      </w14:textFill>
                    </w:rPr>
                    <w:t>均为</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35</w:t>
                  </w:r>
                  <w:r>
                    <w:rPr>
                      <w:rFonts w:hint="default" w:ascii="Times New Roman" w:hAnsi="Times New Roman" w:eastAsia="宋体" w:cs="Times New Roman"/>
                      <w:color w:val="000000" w:themeColor="text1"/>
                      <w:sz w:val="22"/>
                      <w:szCs w:val="22"/>
                      <w14:textFill>
                        <w14:solidFill>
                          <w14:schemeClr w14:val="tx1"/>
                        </w14:solidFill>
                      </w14:textFill>
                    </w:rPr>
                    <w:t>kV，电压等级发生未变动</w:t>
                  </w:r>
                </w:p>
              </w:tc>
            </w:tr>
            <w:tr w14:paraId="5B757A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6" w:hRule="atLeast"/>
              </w:trPr>
              <w:tc>
                <w:tcPr>
                  <w:tcW w:w="303" w:type="pct"/>
                  <w:tcBorders>
                    <w:tl2br w:val="nil"/>
                    <w:tr2bl w:val="nil"/>
                  </w:tcBorders>
                  <w:vAlign w:val="center"/>
                </w:tcPr>
                <w:p w14:paraId="65CEAEB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2</w:t>
                  </w:r>
                </w:p>
              </w:tc>
              <w:tc>
                <w:tcPr>
                  <w:tcW w:w="1749" w:type="pct"/>
                  <w:tcBorders>
                    <w:tl2br w:val="nil"/>
                    <w:tr2bl w:val="nil"/>
                  </w:tcBorders>
                  <w:vAlign w:val="center"/>
                </w:tcPr>
                <w:p w14:paraId="557EE3E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主变压器、换流变压器、高压电抗器等主要设备总数量增加超过原数量的30%</w:t>
                  </w:r>
                </w:p>
              </w:tc>
              <w:tc>
                <w:tcPr>
                  <w:tcW w:w="501" w:type="pct"/>
                  <w:tcBorders>
                    <w:tl2br w:val="nil"/>
                    <w:tr2bl w:val="nil"/>
                  </w:tcBorders>
                  <w:vAlign w:val="center"/>
                </w:tcPr>
                <w:p w14:paraId="1396E84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5AA2E2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主变压器、换流变压器、高压电抗器等主要设备总数量</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未变化</w:t>
                  </w:r>
                </w:p>
              </w:tc>
            </w:tr>
            <w:tr w14:paraId="48701A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2FB8934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3</w:t>
                  </w:r>
                </w:p>
              </w:tc>
              <w:tc>
                <w:tcPr>
                  <w:tcW w:w="1749" w:type="pct"/>
                  <w:tcBorders>
                    <w:tl2br w:val="nil"/>
                    <w:tr2bl w:val="nil"/>
                  </w:tcBorders>
                  <w:vAlign w:val="center"/>
                </w:tcPr>
                <w:p w14:paraId="6682C90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输电线路路径长度增加超过原路</w:t>
                  </w:r>
                </w:p>
                <w:p w14:paraId="7F4017A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径长度的30%</w:t>
                  </w:r>
                </w:p>
              </w:tc>
              <w:tc>
                <w:tcPr>
                  <w:tcW w:w="501" w:type="pct"/>
                  <w:tcBorders>
                    <w:tl2br w:val="nil"/>
                    <w:tr2bl w:val="nil"/>
                  </w:tcBorders>
                  <w:vAlign w:val="center"/>
                </w:tcPr>
                <w:p w14:paraId="3AAF5B1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0C5BE2E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与环评</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长度基本</w:t>
                  </w:r>
                  <w:r>
                    <w:rPr>
                      <w:rFonts w:hint="default" w:ascii="Times New Roman" w:hAnsi="Times New Roman" w:eastAsia="宋体" w:cs="Times New Roman"/>
                      <w:color w:val="000000" w:themeColor="text1"/>
                      <w:sz w:val="22"/>
                      <w:szCs w:val="22"/>
                      <w14:textFill>
                        <w14:solidFill>
                          <w14:schemeClr w14:val="tx1"/>
                        </w14:solidFill>
                      </w14:textFill>
                    </w:rPr>
                    <w:t>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路径</w:t>
                  </w: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0F39BF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0" w:hRule="atLeast"/>
              </w:trPr>
              <w:tc>
                <w:tcPr>
                  <w:tcW w:w="303" w:type="pct"/>
                  <w:tcBorders>
                    <w:tl2br w:val="nil"/>
                    <w:tr2bl w:val="nil"/>
                  </w:tcBorders>
                  <w:vAlign w:val="center"/>
                </w:tcPr>
                <w:p w14:paraId="7990AF7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4</w:t>
                  </w:r>
                </w:p>
              </w:tc>
              <w:tc>
                <w:tcPr>
                  <w:tcW w:w="1749" w:type="pct"/>
                  <w:tcBorders>
                    <w:tl2br w:val="nil"/>
                    <w:tr2bl w:val="nil"/>
                  </w:tcBorders>
                  <w:vAlign w:val="center"/>
                </w:tcPr>
                <w:p w14:paraId="3A7FDA0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变电站、换流站、开关站、串补站站址位移超过500米</w:t>
                  </w:r>
                </w:p>
              </w:tc>
              <w:tc>
                <w:tcPr>
                  <w:tcW w:w="501" w:type="pct"/>
                  <w:tcBorders>
                    <w:tl2br w:val="nil"/>
                    <w:tr2bl w:val="nil"/>
                  </w:tcBorders>
                  <w:vAlign w:val="center"/>
                </w:tcPr>
                <w:p w14:paraId="4AE2E7E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0970B26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shd w:val="clear" w:color="auto" w:fill="auto"/>
                      <w:lang w:val="en-US" w:eastAsia="zh-CN"/>
                      <w14:textFill>
                        <w14:solidFill>
                          <w14:schemeClr w14:val="tx1"/>
                        </w14:solidFill>
                      </w14:textFill>
                    </w:rPr>
                    <w:t>升压站</w:t>
                  </w:r>
                  <w:r>
                    <w:rPr>
                      <w:rFonts w:hint="default" w:ascii="Times New Roman" w:hAnsi="Times New Roman" w:eastAsia="宋体" w:cs="Times New Roman"/>
                      <w:color w:val="000000" w:themeColor="text1"/>
                      <w:sz w:val="22"/>
                      <w:szCs w:val="22"/>
                      <w14:textFill>
                        <w14:solidFill>
                          <w14:schemeClr w14:val="tx1"/>
                        </w14:solidFill>
                      </w14:textFill>
                    </w:rPr>
                    <w:t>站址</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与环评中位置</w:t>
                  </w:r>
                  <w:r>
                    <w:rPr>
                      <w:rFonts w:hint="default" w:ascii="Times New Roman" w:hAnsi="Times New Roman" w:eastAsia="宋体" w:cs="Times New Roman"/>
                      <w:color w:val="000000" w:themeColor="text1"/>
                      <w:sz w:val="22"/>
                      <w:szCs w:val="22"/>
                      <w14:textFill>
                        <w14:solidFill>
                          <w14:schemeClr w14:val="tx1"/>
                        </w14:solidFill>
                      </w14:textFill>
                    </w:rPr>
                    <w:t>一致</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均</w:t>
                  </w:r>
                  <w:r>
                    <w:rPr>
                      <w:rFonts w:hint="default" w:ascii="Times New Roman" w:hAnsi="Times New Roman" w:eastAsia="宋体" w:cs="Times New Roman"/>
                      <w:color w:val="000000" w:themeColor="text1"/>
                      <w:sz w:val="22"/>
                      <w:szCs w:val="22"/>
                      <w14:textFill>
                        <w14:solidFill>
                          <w14:schemeClr w14:val="tx1"/>
                        </w14:solidFill>
                      </w14:textFill>
                    </w:rPr>
                    <w:t>未发生位移</w:t>
                  </w:r>
                </w:p>
              </w:tc>
            </w:tr>
            <w:tr w14:paraId="64A3CE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 w:hRule="atLeast"/>
              </w:trPr>
              <w:tc>
                <w:tcPr>
                  <w:tcW w:w="303" w:type="pct"/>
                  <w:tcBorders>
                    <w:tl2br w:val="nil"/>
                    <w:tr2bl w:val="nil"/>
                  </w:tcBorders>
                  <w:vAlign w:val="center"/>
                </w:tcPr>
                <w:p w14:paraId="6BB7C29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5</w:t>
                  </w:r>
                </w:p>
              </w:tc>
              <w:tc>
                <w:tcPr>
                  <w:tcW w:w="1749" w:type="pct"/>
                  <w:tcBorders>
                    <w:tl2br w:val="nil"/>
                    <w:tr2bl w:val="nil"/>
                  </w:tcBorders>
                  <w:vAlign w:val="center"/>
                </w:tcPr>
                <w:p w14:paraId="36F106F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输电线路横向位移超过500米的累计长度超过原路径长度的30%</w:t>
                  </w:r>
                </w:p>
              </w:tc>
              <w:tc>
                <w:tcPr>
                  <w:tcW w:w="501" w:type="pct"/>
                  <w:tcBorders>
                    <w:tl2br w:val="nil"/>
                    <w:tr2bl w:val="nil"/>
                  </w:tcBorders>
                  <w:vAlign w:val="center"/>
                </w:tcPr>
                <w:p w14:paraId="0E1A691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387950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输电线路路径与环评一致，未发生横向位移</w:t>
                  </w:r>
                </w:p>
              </w:tc>
            </w:tr>
            <w:tr w14:paraId="3A1FDA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34" w:hRule="atLeast"/>
              </w:trPr>
              <w:tc>
                <w:tcPr>
                  <w:tcW w:w="303" w:type="pct"/>
                  <w:tcBorders>
                    <w:tl2br w:val="nil"/>
                    <w:tr2bl w:val="nil"/>
                  </w:tcBorders>
                  <w:vAlign w:val="center"/>
                </w:tcPr>
                <w:p w14:paraId="79F2D7A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6</w:t>
                  </w:r>
                </w:p>
              </w:tc>
              <w:tc>
                <w:tcPr>
                  <w:tcW w:w="1749" w:type="pct"/>
                  <w:tcBorders>
                    <w:tl2br w:val="nil"/>
                    <w:tr2bl w:val="nil"/>
                  </w:tcBorders>
                  <w:vAlign w:val="center"/>
                </w:tcPr>
                <w:p w14:paraId="1FB32F7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因输变电工程路径、站址等发生变化，导致进入新的自然保护区、风景名胜区、饮用水水源保护区等生态敏感区</w:t>
                  </w:r>
                </w:p>
              </w:tc>
              <w:tc>
                <w:tcPr>
                  <w:tcW w:w="501" w:type="pct"/>
                  <w:tcBorders>
                    <w:tl2br w:val="nil"/>
                    <w:tr2bl w:val="nil"/>
                  </w:tcBorders>
                  <w:vAlign w:val="center"/>
                </w:tcPr>
                <w:p w14:paraId="729E0B92">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2389CF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起点、终点</w:t>
                  </w:r>
                  <w:r>
                    <w:rPr>
                      <w:rFonts w:hint="default" w:ascii="Times New Roman" w:hAnsi="Times New Roman" w:eastAsia="宋体" w:cs="Times New Roman"/>
                      <w:color w:val="000000" w:themeColor="text1"/>
                      <w:sz w:val="22"/>
                      <w:szCs w:val="22"/>
                      <w14:textFill>
                        <w14:solidFill>
                          <w14:schemeClr w14:val="tx1"/>
                        </w14:solidFill>
                      </w14:textFill>
                    </w:rPr>
                    <w:t>站址均未</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变化，且不涉及自然保护区、风景名胜区、饮用水水源保护区等生态敏感区</w:t>
                  </w:r>
                </w:p>
              </w:tc>
            </w:tr>
            <w:tr w14:paraId="498CE6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6" w:hRule="atLeast"/>
              </w:trPr>
              <w:tc>
                <w:tcPr>
                  <w:tcW w:w="303" w:type="pct"/>
                  <w:tcBorders>
                    <w:tl2br w:val="nil"/>
                    <w:tr2bl w:val="nil"/>
                  </w:tcBorders>
                  <w:vAlign w:val="center"/>
                </w:tcPr>
                <w:p w14:paraId="2D168B6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7</w:t>
                  </w:r>
                </w:p>
              </w:tc>
              <w:tc>
                <w:tcPr>
                  <w:tcW w:w="1749" w:type="pct"/>
                  <w:tcBorders>
                    <w:tl2br w:val="nil"/>
                    <w:tr2bl w:val="nil"/>
                  </w:tcBorders>
                  <w:vAlign w:val="center"/>
                </w:tcPr>
                <w:p w14:paraId="73DBB90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因输变电工程线路、站址等发生变化，导致新增的电磁和声环境敏感目标超过原数量的30%</w:t>
                  </w:r>
                </w:p>
              </w:tc>
              <w:tc>
                <w:tcPr>
                  <w:tcW w:w="501" w:type="pct"/>
                  <w:tcBorders>
                    <w:tl2br w:val="nil"/>
                    <w:tr2bl w:val="nil"/>
                  </w:tcBorders>
                  <w:vAlign w:val="center"/>
                </w:tcPr>
                <w:p w14:paraId="70DF760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086E5B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输电线路路径</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起点、终点</w:t>
                  </w:r>
                  <w:r>
                    <w:rPr>
                      <w:rFonts w:hint="default" w:ascii="Times New Roman" w:hAnsi="Times New Roman" w:eastAsia="宋体" w:cs="Times New Roman"/>
                      <w:color w:val="000000" w:themeColor="text1"/>
                      <w:sz w:val="22"/>
                      <w:szCs w:val="22"/>
                      <w14:textFill>
                        <w14:solidFill>
                          <w14:schemeClr w14:val="tx1"/>
                        </w14:solidFill>
                      </w14:textFill>
                    </w:rPr>
                    <w:t>站址均未</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变化，未</w:t>
                  </w:r>
                  <w:r>
                    <w:rPr>
                      <w:rFonts w:hint="default" w:ascii="Times New Roman" w:hAnsi="Times New Roman" w:eastAsia="宋体" w:cs="Times New Roman"/>
                      <w:color w:val="000000" w:themeColor="text1"/>
                      <w:sz w:val="22"/>
                      <w:szCs w:val="22"/>
                      <w14:textFill>
                        <w14:solidFill>
                          <w14:schemeClr w14:val="tx1"/>
                        </w14:solidFill>
                      </w14:textFill>
                    </w:rPr>
                    <w:t>新增的电磁和声环境敏感目</w:t>
                  </w:r>
                </w:p>
              </w:tc>
            </w:tr>
            <w:tr w14:paraId="58DB2F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8" w:hRule="atLeast"/>
              </w:trPr>
              <w:tc>
                <w:tcPr>
                  <w:tcW w:w="303" w:type="pct"/>
                  <w:tcBorders>
                    <w:tl2br w:val="nil"/>
                    <w:tr2bl w:val="nil"/>
                  </w:tcBorders>
                  <w:vAlign w:val="center"/>
                </w:tcPr>
                <w:p w14:paraId="28D6144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8</w:t>
                  </w:r>
                </w:p>
              </w:tc>
              <w:tc>
                <w:tcPr>
                  <w:tcW w:w="1749" w:type="pct"/>
                  <w:tcBorders>
                    <w:tl2br w:val="nil"/>
                    <w:tr2bl w:val="nil"/>
                  </w:tcBorders>
                  <w:vAlign w:val="center"/>
                </w:tcPr>
                <w:p w14:paraId="31B693BC">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变电站由户内布置变为户外布置</w:t>
                  </w:r>
                </w:p>
              </w:tc>
              <w:tc>
                <w:tcPr>
                  <w:tcW w:w="501" w:type="pct"/>
                  <w:tcBorders>
                    <w:tl2br w:val="nil"/>
                    <w:tr2bl w:val="nil"/>
                  </w:tcBorders>
                  <w:vAlign w:val="center"/>
                </w:tcPr>
                <w:p w14:paraId="3291E49C">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2CE57FC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56D05A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303" w:type="pct"/>
                  <w:tcBorders>
                    <w:tl2br w:val="nil"/>
                    <w:tr2bl w:val="nil"/>
                  </w:tcBorders>
                  <w:vAlign w:val="center"/>
                </w:tcPr>
                <w:p w14:paraId="72C63FD7">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9</w:t>
                  </w:r>
                </w:p>
              </w:tc>
              <w:tc>
                <w:tcPr>
                  <w:tcW w:w="1749" w:type="pct"/>
                  <w:tcBorders>
                    <w:tl2br w:val="nil"/>
                    <w:tr2bl w:val="nil"/>
                  </w:tcBorders>
                  <w:vAlign w:val="center"/>
                </w:tcPr>
                <w:p w14:paraId="357E0F1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输电线路由地下电缆改为架空线路</w:t>
                  </w:r>
                </w:p>
              </w:tc>
              <w:tc>
                <w:tcPr>
                  <w:tcW w:w="501" w:type="pct"/>
                  <w:tcBorders>
                    <w:tl2br w:val="nil"/>
                    <w:tr2bl w:val="nil"/>
                  </w:tcBorders>
                  <w:vAlign w:val="center"/>
                </w:tcPr>
                <w:p w14:paraId="472BC73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7FEEB85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为</w:t>
                  </w:r>
                  <w:r>
                    <w:rPr>
                      <w:rFonts w:hint="default" w:ascii="Times New Roman" w:hAnsi="Times New Roman" w:eastAsia="宋体" w:cs="Times New Roman"/>
                      <w:color w:val="000000" w:themeColor="text1"/>
                      <w:sz w:val="22"/>
                      <w:szCs w:val="22"/>
                      <w14:textFill>
                        <w14:solidFill>
                          <w14:schemeClr w14:val="tx1"/>
                        </w14:solidFill>
                      </w14:textFill>
                    </w:rPr>
                    <w:t>地下电缆</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14:textFill>
                        <w14:solidFill>
                          <w14:schemeClr w14:val="tx1"/>
                        </w14:solidFill>
                      </w14:textFill>
                    </w:rPr>
                    <w:t>未发生变动</w:t>
                  </w:r>
                </w:p>
              </w:tc>
            </w:tr>
            <w:tr w14:paraId="6ECA7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0" w:hRule="atLeast"/>
              </w:trPr>
              <w:tc>
                <w:tcPr>
                  <w:tcW w:w="303" w:type="pct"/>
                  <w:tcBorders>
                    <w:tl2br w:val="nil"/>
                    <w:tr2bl w:val="nil"/>
                  </w:tcBorders>
                  <w:vAlign w:val="center"/>
                </w:tcPr>
                <w:p w14:paraId="6291F35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10</w:t>
                  </w:r>
                </w:p>
              </w:tc>
              <w:tc>
                <w:tcPr>
                  <w:tcW w:w="1749" w:type="pct"/>
                  <w:tcBorders>
                    <w:tl2br w:val="nil"/>
                    <w:tr2bl w:val="nil"/>
                  </w:tcBorders>
                  <w:vAlign w:val="center"/>
                </w:tcPr>
                <w:p w14:paraId="6ACF8B3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输电线路同塔设为多条线路架设累计长度超过原路径长度的30%</w:t>
                  </w:r>
                </w:p>
              </w:tc>
              <w:tc>
                <w:tcPr>
                  <w:tcW w:w="501" w:type="pct"/>
                  <w:tcBorders>
                    <w:tl2br w:val="nil"/>
                    <w:tr2bl w:val="nil"/>
                  </w:tcBorders>
                  <w:vAlign w:val="center"/>
                </w:tcPr>
                <w:p w14:paraId="5C77FF8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否</w:t>
                  </w:r>
                </w:p>
              </w:tc>
              <w:tc>
                <w:tcPr>
                  <w:tcW w:w="2446" w:type="pct"/>
                  <w:tcBorders>
                    <w:tl2br w:val="nil"/>
                    <w:tr2bl w:val="nil"/>
                  </w:tcBorders>
                  <w:vAlign w:val="center"/>
                </w:tcPr>
                <w:p w14:paraId="6595C61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工程</w:t>
                  </w:r>
                  <w:r>
                    <w:rPr>
                      <w:rFonts w:hint="default" w:ascii="Times New Roman" w:hAnsi="Times New Roman" w:eastAsia="宋体" w:cs="Times New Roman"/>
                      <w:color w:val="000000" w:themeColor="text1"/>
                      <w:sz w:val="22"/>
                      <w:szCs w:val="22"/>
                      <w14:textFill>
                        <w14:solidFill>
                          <w14:schemeClr w14:val="tx1"/>
                        </w14:solidFill>
                      </w14:textFill>
                    </w:rPr>
                    <w:t>不存在同塔设为多条线路架设情况</w:t>
                  </w:r>
                </w:p>
              </w:tc>
            </w:tr>
          </w:tbl>
          <w:p w14:paraId="5A0324D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根据上表与《输变电建设项目重大变动清单（试行）》的对照</w:t>
            </w:r>
            <w:r>
              <w:rPr>
                <w:rFonts w:hint="default" w:ascii="Times New Roman" w:hAnsi="Times New Roman" w:eastAsia="宋体" w:cs="Times New Roman"/>
                <w:color w:val="000000" w:themeColor="text1"/>
                <w:lang w:val="en-US" w:eastAsia="zh-CN"/>
                <w14:textFill>
                  <w14:solidFill>
                    <w14:schemeClr w14:val="tx1"/>
                  </w14:solidFill>
                </w14:textFill>
              </w:rPr>
              <w:t>分析</w:t>
            </w: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未发生重大变动。</w:t>
            </w:r>
          </w:p>
        </w:tc>
      </w:tr>
      <w:tr w14:paraId="67CA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9076" w:type="dxa"/>
          </w:tcPr>
          <w:p w14:paraId="3B49F60B">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bCs/>
                <w:color w:val="auto"/>
              </w:rPr>
            </w:pPr>
            <w:r>
              <w:rPr>
                <w:rFonts w:hint="default" w:ascii="Times New Roman" w:hAnsi="Times New Roman" w:eastAsia="宋体" w:cs="Times New Roman"/>
                <w:b/>
                <w:bCs/>
                <w:color w:val="auto"/>
                <w:sz w:val="24"/>
                <w:szCs w:val="24"/>
              </w:rPr>
              <w:t>与项目有关的生态破坏和污染物排放、主要环境问题及环境保护措施</w:t>
            </w:r>
          </w:p>
          <w:p w14:paraId="2DE70920">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一、施工期</w:t>
            </w:r>
          </w:p>
          <w:p w14:paraId="5ABA66F4">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1、废气</w:t>
            </w:r>
          </w:p>
          <w:p w14:paraId="61D7F663">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项目施工期大气污染物主要是施工扬尘、施工机械和运输车辆及装修时产生的废气。</w:t>
            </w:r>
          </w:p>
          <w:p w14:paraId="2B50302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项目施工区和运输道路采取洒水降尘、覆盖裸土等措施；运输车辆限速慢行，渣土、砂石等在运输过程中采取覆盖措施；施工机械和运输车辆燃油烟气产生量较小，呈无组织排放。</w:t>
            </w:r>
          </w:p>
          <w:p w14:paraId="4EE2348E">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2、废水</w:t>
            </w:r>
          </w:p>
          <w:p w14:paraId="34D958E3">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项目施工期废水主要包括建筑施工废水。</w:t>
            </w:r>
          </w:p>
          <w:p w14:paraId="08AE91C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施工废水主要来自于混凝土养护、机械冲洗、场地冲洗等。项目施工废水产生量较少，施工时，建设施工废水临时沉淀池，将废水引入池中进行沉淀处理，经过沉淀处理后的施工废水回用于混凝土搅拌用水及施工场地洒水降尘，不外排，施工场地不设置施工营地，施工人员均为周边村镇人员，主要依托周边村镇现有生活设施进行食宿，因此项目施工期无生活废水。</w:t>
            </w:r>
          </w:p>
          <w:p w14:paraId="79A54682">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3、噪声</w:t>
            </w:r>
          </w:p>
          <w:p w14:paraId="7A3E4C5F">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施工期采用低噪机械，合理安排施工场地布置，文明施工，加强施工管理，合理安排施工进度，将主要噪声源尽量远离场界等措施减小噪声的影响。项目夜间禁止施工，对周围声环境影响较小。运输车辆减速行驶、禁鸣等。施工噪声环境影响具有阶段性和短期性，随着施工期的结束，各种不利影响也将会得以消除。</w:t>
            </w:r>
          </w:p>
          <w:p w14:paraId="3B471B7F">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4、固废</w:t>
            </w:r>
          </w:p>
          <w:p w14:paraId="4BA9C68A">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项目施工期固体废物主要为废弃土石方、建筑垃圾。</w:t>
            </w:r>
          </w:p>
          <w:p w14:paraId="19608DDE">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剥离的表土临时堆放在规划的表土堆场中，用于后期绿化覆土，开挖的土石方全部回填，无弃方。建筑垃圾主要为废钢筋、废木材、废砖石、废弃混凝土等，光伏板区域基本不建设建筑物，建筑垃圾产生量非常少，能回收利用的回收利用，无法回收利用的定期清运至政府指定地点处理。</w:t>
            </w:r>
          </w:p>
          <w:p w14:paraId="1B950578">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5、生态</w:t>
            </w:r>
          </w:p>
          <w:p w14:paraId="1A884D3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项目施工期基础开挖、表土剥离等扰动，会造成项目原有土壤、植被破坏，增加水土流失，使项目的生态环境受到一定的影响。</w:t>
            </w:r>
          </w:p>
          <w:p w14:paraId="34844517">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项目施工期采取临时水保措施，合理安排工期，合理选择施工工序，避开雨天进行地表开挖和基础施工。项目建成后，施工区被建筑物、道路覆盖，施工造成的水土流失将得到控制。</w:t>
            </w:r>
          </w:p>
          <w:p w14:paraId="60DBC7D3">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①建设过程中产生的弃土以及施工材料临时堆场在平整场</w:t>
            </w:r>
            <w:r>
              <w:rPr>
                <w:rFonts w:hint="eastAsia" w:cs="Times New Roman"/>
                <w:color w:val="000000"/>
                <w:sz w:val="24"/>
                <w:lang w:val="en-US" w:eastAsia="zh-CN"/>
              </w:rPr>
              <w:t>堆放</w:t>
            </w:r>
            <w:r>
              <w:rPr>
                <w:rFonts w:hint="default" w:ascii="Times New Roman" w:hAnsi="Times New Roman" w:eastAsia="宋体" w:cs="Times New Roman"/>
                <w:color w:val="000000"/>
                <w:sz w:val="24"/>
              </w:rPr>
              <w:t>，并采取</w:t>
            </w:r>
            <w:r>
              <w:rPr>
                <w:rFonts w:hint="eastAsia" w:cs="Times New Roman"/>
                <w:color w:val="000000"/>
                <w:sz w:val="24"/>
                <w:lang w:eastAsia="zh-CN"/>
              </w:rPr>
              <w:t>了</w:t>
            </w:r>
            <w:r>
              <w:rPr>
                <w:rFonts w:hint="default" w:ascii="Times New Roman" w:hAnsi="Times New Roman" w:eastAsia="宋体" w:cs="Times New Roman"/>
                <w:color w:val="000000"/>
                <w:sz w:val="24"/>
              </w:rPr>
              <w:t>相应拦挡措施，</w:t>
            </w:r>
            <w:r>
              <w:rPr>
                <w:rFonts w:hint="eastAsia" w:cs="Times New Roman"/>
                <w:color w:val="000000"/>
                <w:sz w:val="24"/>
                <w:lang w:val="en-US" w:eastAsia="zh-CN"/>
              </w:rPr>
              <w:t>未</w:t>
            </w:r>
            <w:r>
              <w:rPr>
                <w:rFonts w:hint="default" w:ascii="Times New Roman" w:hAnsi="Times New Roman" w:eastAsia="宋体" w:cs="Times New Roman"/>
                <w:color w:val="000000"/>
                <w:sz w:val="24"/>
                <w:lang w:eastAsia="zh-CN"/>
              </w:rPr>
              <w:t>向其他</w:t>
            </w:r>
            <w:r>
              <w:rPr>
                <w:rFonts w:hint="default" w:ascii="Times New Roman" w:hAnsi="Times New Roman" w:eastAsia="宋体" w:cs="Times New Roman"/>
                <w:color w:val="000000"/>
                <w:sz w:val="24"/>
              </w:rPr>
              <w:t>任何地方倾倒、堆置弃土弃渣；</w:t>
            </w:r>
          </w:p>
          <w:p w14:paraId="65834D92">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②施工期间开挖土方用于回填场地及铺设道路；</w:t>
            </w:r>
          </w:p>
          <w:p w14:paraId="09CD195E">
            <w:pPr>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③雨季</w:t>
            </w:r>
            <w:r>
              <w:rPr>
                <w:rFonts w:hint="eastAsia" w:cs="Times New Roman"/>
                <w:color w:val="000000"/>
                <w:sz w:val="24"/>
                <w:lang w:val="en-US" w:eastAsia="zh-CN"/>
              </w:rPr>
              <w:t>不施工</w:t>
            </w:r>
            <w:r>
              <w:rPr>
                <w:rFonts w:hint="default" w:ascii="Times New Roman" w:hAnsi="Times New Roman" w:eastAsia="宋体" w:cs="Times New Roman"/>
                <w:color w:val="000000"/>
                <w:sz w:val="24"/>
              </w:rPr>
              <w:t>，防止突发暴雨对裸露地表冲刷造成水土流失，施工阶段遇到雨季无法施工时设临时挡墙，避免发生大面积的水土流失；</w:t>
            </w:r>
          </w:p>
          <w:p w14:paraId="314B72D6">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④合理安排作业时段并适时加快施工进度，施工结束应及时清理场地，按照规划对项目区域场地进行硬化、绿化、种植草木，尽量将水土流失降到最低；</w:t>
            </w:r>
          </w:p>
          <w:p w14:paraId="4A934BC1">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⑤尽量缩小开挖面积，降低开挖面坡度，尽量做到随挖、随整、随填、随夯、随运，减少松土储量，争取各工程区挖填方充分利用，充分利用弃方。</w:t>
            </w:r>
          </w:p>
          <w:p w14:paraId="2EEED394">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因此项目运营对周围生态环境影响较小。</w:t>
            </w:r>
          </w:p>
          <w:p w14:paraId="5CB8674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p>
          <w:p w14:paraId="1B9636B6">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二、营运</w:t>
            </w:r>
            <w:r>
              <w:rPr>
                <w:rFonts w:hint="eastAsia" w:ascii="Times New Roman" w:hAnsi="Times New Roman" w:eastAsia="宋体" w:cs="Times New Roman"/>
                <w:b/>
                <w:bCs/>
                <w:color w:val="000000" w:themeColor="text1"/>
                <w:lang w:val="en-US" w:eastAsia="zh-CN"/>
                <w14:textFill>
                  <w14:solidFill>
                    <w14:schemeClr w14:val="tx1"/>
                  </w14:solidFill>
                </w14:textFill>
              </w:rPr>
              <w:t>期</w:t>
            </w:r>
          </w:p>
          <w:p w14:paraId="6E3690F4">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1、废气</w:t>
            </w:r>
          </w:p>
          <w:p w14:paraId="2D43B2E9">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本项目光伏电站主要是利用光伏元件转化太阳能为电能，太阳能的利用属于清洁能源。在项目营运期，光伏电站没有生产工艺废气污染源，项目区产生的主要废气为厨房油烟废气，对周围大气环境的影响很小。本项目营运期升压站区内提供员工食宿，厨房产生的油烟废气经油烟净化装置处理后，由专用烟道引至屋顶集中排放。</w:t>
            </w:r>
          </w:p>
          <w:p w14:paraId="75A0A35A">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2、废水</w:t>
            </w:r>
          </w:p>
          <w:p w14:paraId="1FF79CD1">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p w14:paraId="3F939A27">
            <w:pPr>
              <w:wordWrap w:val="0"/>
              <w:adjustRightInd w:val="0"/>
              <w:snapToGrid w:val="0"/>
              <w:spacing w:line="360" w:lineRule="auto"/>
              <w:ind w:firstLine="480" w:firstLineChars="200"/>
              <w:rPr>
                <w:rFonts w:hint="default" w:ascii="Times New Roman" w:hAnsi="Times New Roman" w:eastAsia="宋体" w:cs="Times New Roman"/>
              </w:rPr>
            </w:pPr>
            <w:r>
              <w:rPr>
                <w:rFonts w:hint="default" w:ascii="Times New Roman" w:hAnsi="Times New Roman" w:eastAsia="宋体" w:cs="Times New Roman"/>
                <w:color w:val="000000"/>
                <w:sz w:val="24"/>
              </w:rPr>
              <w:t>因此，本项目运营期产生的废水对区域水环境影响较小。</w:t>
            </w:r>
          </w:p>
          <w:p w14:paraId="492CECAE">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3、噪声</w:t>
            </w:r>
          </w:p>
          <w:p w14:paraId="15931AEE">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项目运营期噪声主要为变压器运行噪声，经距离衰减后厂界达标排放。</w:t>
            </w:r>
          </w:p>
          <w:p w14:paraId="0155EAB5">
            <w:pPr>
              <w:pStyle w:val="22"/>
              <w:keepNext w:val="0"/>
              <w:keepLines w:val="0"/>
              <w:pageBreakBefore w:val="0"/>
              <w:widowControl w:val="0"/>
              <w:kinsoku/>
              <w:wordWrap/>
              <w:overflowPunct/>
              <w:topLinePunct w:val="0"/>
              <w:autoSpaceDE w:val="0"/>
              <w:autoSpaceDN w:val="0"/>
              <w:bidi w:val="0"/>
              <w:adjustRightInd/>
              <w:snapToGrid/>
              <w:ind w:left="0" w:leftChars="0"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4、固体废弃物</w:t>
            </w:r>
          </w:p>
          <w:p w14:paraId="04A07B62">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项目生产过程中产生的固体废物主要为生活垃圾、项目生产过程中产生的废旧的光伏组件、废电池以及变压器检修、更换以及发生事故时产生的废油。 </w:t>
            </w:r>
          </w:p>
          <w:p w14:paraId="1AD23400">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①生活垃圾</w:t>
            </w:r>
          </w:p>
          <w:p w14:paraId="6F8EF21A">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生活垃圾分类集中收集后，统一由环卫部门清运处理。</w:t>
            </w:r>
          </w:p>
          <w:p w14:paraId="24789166">
            <w:pPr>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②废旧的光伏组件</w:t>
            </w:r>
          </w:p>
          <w:p w14:paraId="51C434C0">
            <w:pPr>
              <w:wordWrap w:val="0"/>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对于损坏更换的电池组件以及光伏电池组件使用寿命到期后更换下来的电池组件，直接由设备生产厂家回收。</w:t>
            </w:r>
          </w:p>
          <w:p w14:paraId="2FC705D9">
            <w:pPr>
              <w:wordWrap w:val="0"/>
              <w:adjustRightInd w:val="0"/>
              <w:snapToGrid w:val="0"/>
              <w:spacing w:line="360" w:lineRule="auto"/>
              <w:ind w:firstLine="510"/>
              <w:rPr>
                <w:rFonts w:hint="default" w:ascii="Times New Roman" w:hAnsi="Times New Roman" w:eastAsia="宋体" w:cs="Times New Roman"/>
                <w:b w:val="0"/>
                <w:bCs/>
                <w:color w:val="000000"/>
                <w:spacing w:val="6"/>
                <w:sz w:val="24"/>
                <w:szCs w:val="24"/>
              </w:rPr>
            </w:pPr>
            <w:r>
              <w:rPr>
                <w:rFonts w:hint="default" w:ascii="Times New Roman" w:hAnsi="Times New Roman" w:eastAsia="宋体" w:cs="Times New Roman"/>
                <w:b w:val="0"/>
                <w:bCs/>
                <w:color w:val="000000"/>
                <w:spacing w:val="6"/>
                <w:sz w:val="24"/>
                <w:szCs w:val="24"/>
              </w:rPr>
              <w:t>③废电池</w:t>
            </w:r>
          </w:p>
          <w:p w14:paraId="42BC5072">
            <w:pPr>
              <w:wordWrap w:val="0"/>
              <w:adjustRightInd w:val="0"/>
              <w:snapToGrid w:val="0"/>
              <w:spacing w:line="360" w:lineRule="auto"/>
              <w:ind w:firstLine="510"/>
              <w:rPr>
                <w:rFonts w:hint="default" w:ascii="Times New Roman" w:hAnsi="Times New Roman" w:eastAsia="宋体" w:cs="Times New Roman"/>
                <w:b w:val="0"/>
                <w:bCs/>
                <w:color w:val="000000"/>
                <w:sz w:val="24"/>
              </w:rPr>
            </w:pPr>
            <w:r>
              <w:rPr>
                <w:rFonts w:hint="default" w:ascii="Times New Roman" w:hAnsi="Times New Roman" w:eastAsia="宋体" w:cs="Times New Roman"/>
                <w:b w:val="0"/>
                <w:bCs/>
                <w:color w:val="000000"/>
                <w:sz w:val="24"/>
              </w:rPr>
              <w:t>项目</w:t>
            </w:r>
            <w:r>
              <w:rPr>
                <w:rFonts w:hint="default" w:ascii="Times New Roman" w:hAnsi="Times New Roman" w:eastAsia="宋体" w:cs="Times New Roman"/>
                <w:b w:val="0"/>
                <w:bCs/>
                <w:color w:val="000000"/>
                <w:spacing w:val="-2"/>
                <w:kern w:val="0"/>
                <w:sz w:val="24"/>
              </w:rPr>
              <w:t>运行过程中会产生一定量的废电池</w:t>
            </w:r>
            <w:r>
              <w:rPr>
                <w:rFonts w:hint="default" w:ascii="Times New Roman" w:hAnsi="Times New Roman" w:eastAsia="宋体" w:cs="Times New Roman"/>
                <w:b w:val="0"/>
                <w:bCs/>
                <w:color w:val="000000"/>
                <w:sz w:val="24"/>
              </w:rPr>
              <w:t>。属于危险固废</w:t>
            </w:r>
            <w:r>
              <w:rPr>
                <w:rFonts w:hint="default" w:ascii="Times New Roman" w:hAnsi="Times New Roman" w:eastAsia="宋体" w:cs="Times New Roman"/>
                <w:b w:val="0"/>
                <w:bCs/>
                <w:color w:val="000000"/>
                <w:spacing w:val="-2"/>
                <w:kern w:val="0"/>
                <w:sz w:val="24"/>
              </w:rPr>
              <w:t>，</w:t>
            </w:r>
            <w:r>
              <w:rPr>
                <w:rFonts w:hint="default" w:ascii="Times New Roman" w:hAnsi="Times New Roman" w:eastAsia="宋体" w:cs="Times New Roman"/>
                <w:b w:val="0"/>
                <w:bCs/>
                <w:color w:val="000000"/>
                <w:sz w:val="24"/>
              </w:rPr>
              <w:t>经收集后及时交由有资质单位处理。</w:t>
            </w:r>
          </w:p>
          <w:p w14:paraId="5AFCB4C5">
            <w:pPr>
              <w:wordWrap w:val="0"/>
              <w:adjustRightInd w:val="0"/>
              <w:snapToGrid w:val="0"/>
              <w:spacing w:line="360" w:lineRule="auto"/>
              <w:ind w:firstLine="510"/>
              <w:rPr>
                <w:rFonts w:hint="default" w:ascii="Times New Roman" w:hAnsi="Times New Roman" w:eastAsia="宋体" w:cs="Times New Roman"/>
                <w:b w:val="0"/>
                <w:bCs/>
                <w:color w:val="000000"/>
                <w:sz w:val="24"/>
              </w:rPr>
            </w:pPr>
            <w:r>
              <w:rPr>
                <w:rFonts w:hint="default" w:ascii="Times New Roman" w:hAnsi="Times New Roman" w:eastAsia="宋体" w:cs="Times New Roman"/>
                <w:b w:val="0"/>
                <w:bCs/>
                <w:color w:val="000000"/>
                <w:sz w:val="24"/>
              </w:rPr>
              <w:t>④废油</w:t>
            </w:r>
          </w:p>
          <w:p w14:paraId="76269177">
            <w:pPr>
              <w:wordWrap w:val="0"/>
              <w:adjustRightInd w:val="0"/>
              <w:snapToGrid w:val="0"/>
              <w:spacing w:line="360" w:lineRule="auto"/>
              <w:ind w:firstLine="510"/>
              <w:rPr>
                <w:rFonts w:hint="default" w:ascii="Times New Roman" w:hAnsi="Times New Roman" w:eastAsia="宋体" w:cs="Times New Roman"/>
                <w:color w:val="000000"/>
                <w:sz w:val="24"/>
              </w:rPr>
            </w:pPr>
            <w:r>
              <w:rPr>
                <w:rFonts w:hint="default" w:ascii="Times New Roman" w:hAnsi="Times New Roman" w:eastAsia="宋体" w:cs="Times New Roman"/>
                <w:b w:val="0"/>
                <w:bCs/>
                <w:color w:val="000000"/>
                <w:sz w:val="24"/>
              </w:rPr>
              <w:t>项目变压器</w:t>
            </w:r>
            <w:r>
              <w:rPr>
                <w:rFonts w:hint="default" w:ascii="Times New Roman" w:hAnsi="Times New Roman" w:eastAsia="宋体" w:cs="Times New Roman"/>
                <w:color w:val="000000"/>
                <w:sz w:val="24"/>
              </w:rPr>
              <w:t>检修、更换以及发生事故时会产生一定量的废变压器油</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属于危废，经收集后及时交由有资质单位处理。</w:t>
            </w:r>
          </w:p>
          <w:p w14:paraId="159D6E02">
            <w:pPr>
              <w:pStyle w:val="6"/>
              <w:adjustRightInd w:val="0"/>
              <w:snapToGrid w:val="0"/>
              <w:spacing w:after="0"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综上所述，本项目产生的各类固废均得到了有效</w:t>
            </w:r>
            <w:r>
              <w:rPr>
                <w:rFonts w:hint="default" w:ascii="Times New Roman" w:hAnsi="Times New Roman" w:eastAsia="宋体" w:cs="Times New Roman"/>
                <w:color w:val="000000"/>
                <w:sz w:val="24"/>
                <w:lang w:eastAsia="zh-CN"/>
              </w:rPr>
              <w:t>地</w:t>
            </w:r>
            <w:r>
              <w:rPr>
                <w:rFonts w:hint="default" w:ascii="Times New Roman" w:hAnsi="Times New Roman" w:eastAsia="宋体" w:cs="Times New Roman"/>
                <w:color w:val="000000"/>
                <w:sz w:val="24"/>
              </w:rPr>
              <w:t>处理及处置，不会产生二次污染，对周边环境影响较小。</w:t>
            </w:r>
          </w:p>
          <w:p w14:paraId="575978AA">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lang w:val="en-US" w:eastAsia="zh-CN"/>
              </w:rPr>
              <w:t>5、生态</w:t>
            </w:r>
          </w:p>
          <w:p w14:paraId="53EF49B5">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加强对工作人员关于野生动植物保护的宣传教育，并做好生态环境保护的监督工作、严格执行区域水土保持设计中提出的工程措施和植物措施。对于逐渐回来的动物，项目的工作人员要加以保护，不可随意滥杀，达到人与自然和谐相处的目的，经过一段时间，项目所在区域的生态环境会逐渐恢复。</w:t>
            </w:r>
          </w:p>
          <w:p w14:paraId="310E9383">
            <w:pPr>
              <w:pStyle w:val="22"/>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color w:val="000000"/>
                <w:kern w:val="0"/>
                <w:sz w:val="24"/>
                <w:szCs w:val="24"/>
                <w:lang w:val="en-US" w:eastAsia="zh-CN" w:bidi="ar"/>
              </w:rPr>
            </w:pPr>
          </w:p>
        </w:tc>
      </w:tr>
    </w:tbl>
    <w:p w14:paraId="3630B52F">
      <w:pPr>
        <w:pStyle w:val="20"/>
        <w:rPr>
          <w:rFonts w:hint="default" w:ascii="Times New Roman" w:hAnsi="Times New Roman" w:eastAsia="宋体" w:cs="Times New Roman"/>
        </w:rPr>
      </w:pPr>
    </w:p>
    <w:p w14:paraId="34A7B391">
      <w:pPr>
        <w:pStyle w:val="22"/>
        <w:ind w:left="0" w:leftChars="0" w:firstLine="0" w:firstLineChars="0"/>
        <w:rPr>
          <w:rFonts w:hint="default" w:ascii="Times New Roman" w:hAnsi="Times New Roman" w:eastAsia="宋体" w:cs="Times New Roman"/>
        </w:rPr>
        <w:sectPr>
          <w:pgSz w:w="11910" w:h="16840"/>
          <w:pgMar w:top="1457" w:right="1525" w:bottom="1457" w:left="1525" w:header="720" w:footer="720" w:gutter="0"/>
          <w:pgBorders>
            <w:top w:val="none" w:sz="0" w:space="0"/>
            <w:left w:val="none" w:sz="0" w:space="0"/>
            <w:bottom w:val="none" w:sz="0" w:space="0"/>
            <w:right w:val="none" w:sz="0" w:space="0"/>
          </w:pgBorders>
          <w:pgNumType w:fmt="decimal"/>
          <w:cols w:space="720" w:num="1"/>
        </w:sectPr>
      </w:pPr>
    </w:p>
    <w:p w14:paraId="07BC6B93">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表5</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环境影响评价回顾</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6"/>
      </w:tblGrid>
      <w:tr w14:paraId="1B1D2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6" w:type="dxa"/>
          </w:tcPr>
          <w:p w14:paraId="7393A2E6">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环境影响评价的主要环境影响预测及结论</w:t>
            </w:r>
          </w:p>
          <w:p w14:paraId="757013C0">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2017年2月安徽省四维环境工程有限公司编制完成《霍邱韩瑞新能源发电有限公司坎山村20MW光伏发电项目环境影响报告表》，主要结论及对策措施如下：</w:t>
            </w:r>
          </w:p>
          <w:p w14:paraId="647CA142">
            <w:pPr>
              <w:pStyle w:val="22"/>
              <w:bidi w:val="0"/>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的建设符合国家和地方的产业政策，选址符合当地城乡规划要求。建设单位在落实本次评价提出的各项污染治理措施以及严格执行“三同时”制度后，各类污染物均可做到达标排放或无害化处置，对区域环境影响较小，不会改变评价区域环境质量功能级别。同时通过项目工程的建设，可充分利用当地的太阳能资源，改善当地的能源结构，节约有限的煤炭资源和水资源，减少污染，保护环境，符合国家能源政策，具有良好的社会效益，符合可持续发展战略。因此，从环境保护的角度分析，该项目的建设是可行的。</w:t>
            </w:r>
          </w:p>
          <w:p w14:paraId="72186A6A">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一</w:t>
            </w:r>
            <w:r>
              <w:rPr>
                <w:rFonts w:hint="default" w:ascii="Times New Roman" w:hAnsi="Times New Roman" w:eastAsia="宋体" w:cs="Times New Roman"/>
                <w:b/>
                <w:bCs/>
                <w:color w:val="000000" w:themeColor="text1"/>
                <w14:textFill>
                  <w14:solidFill>
                    <w14:schemeClr w14:val="tx1"/>
                  </w14:solidFill>
                </w14:textFill>
              </w:rPr>
              <w:t>、施工期环境影响分析</w:t>
            </w:r>
          </w:p>
          <w:p w14:paraId="3A547088">
            <w:pPr>
              <w:pStyle w:val="9"/>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1、施工期产污环节分析</w:t>
            </w:r>
          </w:p>
          <w:p w14:paraId="4EE98922">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（1）生态环境：施工期对生态环境的影响主要为工程建设导致土地占用、植被破坏及水土流失的影响。施工开挖、平整、土方临时堆放等将造成植被面积减少，对原地貌的扰动、损坏有可能引起水土流失。</w:t>
            </w:r>
          </w:p>
          <w:p w14:paraId="265E4DB8">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施工噪声：主要由施工机械噪声和运输车辆交通噪声，其中施工机械噪声主要是由施工时物件碰撞产生的，噪声排放具有瞬间性和不定性；运输车辆交通噪声主要是车辆发动机及车辆鸣笛产生的噪声，具有短暂性特点。</w:t>
            </w:r>
          </w:p>
          <w:p w14:paraId="1483C7CC">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（3）施工</w:t>
            </w:r>
            <w:r>
              <w:rPr>
                <w:rFonts w:hint="eastAsia" w:ascii="Times New Roman" w:hAnsi="Times New Roman" w:eastAsia="宋体" w:cs="Times New Roman"/>
                <w:color w:val="000000" w:themeColor="text1"/>
                <w:lang w:val="en-US" w:eastAsia="zh-CN"/>
                <w14:textFill>
                  <w14:solidFill>
                    <w14:schemeClr w14:val="tx1"/>
                  </w14:solidFill>
                </w14:textFill>
              </w:rPr>
              <w:t>废气</w:t>
            </w:r>
            <w:r>
              <w:rPr>
                <w:rFonts w:hint="default" w:ascii="Times New Roman" w:hAnsi="Times New Roman" w:eastAsia="宋体" w:cs="Times New Roman"/>
                <w:color w:val="000000" w:themeColor="text1"/>
                <w:lang w:val="en-US" w:eastAsia="zh-CN"/>
                <w14:textFill>
                  <w14:solidFill>
                    <w14:schemeClr w14:val="tx1"/>
                  </w14:solidFill>
                </w14:textFill>
              </w:rPr>
              <w:t>：施工开挖、土石方回填、施工现场的清理平整以及施工车辆行驶产生的二次扬尘和对环境空气质量造成的暂时性的和局部的影响。</w:t>
            </w:r>
          </w:p>
          <w:p w14:paraId="683A5512">
            <w:pPr>
              <w:pStyle w:val="9"/>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（4）施工废水：施工废水及施工人员的生活污水。</w:t>
            </w:r>
          </w:p>
          <w:p w14:paraId="11D1510A">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（5）施工固体废物：施工过程中可能产生的弃土弃渣、建筑垃圾等，施工人员产生的生活垃圾。</w:t>
            </w:r>
          </w:p>
          <w:p w14:paraId="46E9B9D6">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p>
          <w:p w14:paraId="2ADDDA8E">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2、施工期主要环境影响回顾分析</w:t>
            </w:r>
          </w:p>
          <w:p w14:paraId="7DD1DA9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经调查，施工单位施工阶段基本落实了噪声、扬尘、废水、固废等污染防治措施。施工期主要环境影响回顾如下：</w:t>
            </w:r>
          </w:p>
          <w:p w14:paraId="69579AA5">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w:t>
            </w:r>
            <w:r>
              <w:rPr>
                <w:rFonts w:hint="default" w:ascii="Times New Roman" w:hAnsi="Times New Roman" w:eastAsia="宋体" w:cs="Times New Roman"/>
                <w:b/>
                <w:bCs/>
                <w:color w:val="000000" w:themeColor="text1"/>
                <w14:textFill>
                  <w14:solidFill>
                    <w14:schemeClr w14:val="tx1"/>
                  </w14:solidFill>
                </w14:textFill>
              </w:rPr>
              <w:t>施工期</w:t>
            </w:r>
            <w:r>
              <w:rPr>
                <w:rFonts w:hint="default" w:ascii="Times New Roman" w:hAnsi="Times New Roman" w:eastAsia="宋体" w:cs="Times New Roman"/>
                <w:b/>
                <w:bCs/>
                <w:color w:val="000000" w:themeColor="text1"/>
                <w:lang w:val="en-US" w:eastAsia="zh-CN"/>
                <w14:textFill>
                  <w14:solidFill>
                    <w14:schemeClr w14:val="tx1"/>
                  </w14:solidFill>
                </w14:textFill>
              </w:rPr>
              <w:t>生态影响分析</w:t>
            </w:r>
          </w:p>
          <w:p w14:paraId="1BF21475">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本工程不涉及安徽省生态保护红线，不经过自然保护区、风景名胜区、饮用水源保护区、世界自然及文化遗产地。</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本工程建设地点不属于水土流失重点防护区域，永久占地面积较小</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Cs w:val="24"/>
                <w:lang w:val="en-US" w:bidi="ar-SA"/>
                <w14:textFill>
                  <w14:solidFill>
                    <w14:schemeClr w14:val="tx1"/>
                  </w14:solidFill>
                </w14:textFill>
              </w:rPr>
              <w:t>对各生态系统的影响有限</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w:t>
            </w:r>
          </w:p>
          <w:p w14:paraId="4A15B08D">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施工结束后，对临时占地进行植被恢复，基本能够恢复其原有生态功能，施工活动采取有效防治措施后可将环境影响控制在较小的范围内，且随着施工活动的结束影响随之消失。</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因此，本工程对周边生态环境影响较小。</w:t>
            </w:r>
          </w:p>
          <w:p w14:paraId="7857C2CF">
            <w:pPr>
              <w:widowControl w:val="0"/>
              <w:spacing w:line="360" w:lineRule="auto"/>
              <w:ind w:firstLine="482" w:firstLineChars="200"/>
              <w:jc w:val="both"/>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施工期噪声</w:t>
            </w:r>
          </w:p>
          <w:p w14:paraId="036F142D">
            <w:pPr>
              <w:widowControl w:val="0"/>
              <w:spacing w:line="360" w:lineRule="auto"/>
              <w:ind w:firstLine="480" w:firstLineChars="200"/>
              <w:jc w:val="both"/>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输电线路工程在建设期的场地平整、挖土填方、基础施工及光伏组件施工等几个阶段中，主要噪声源为交通运输噪声、施工噪声等，影响是短暂的，施工结束立即可得到恢复。</w:t>
            </w:r>
          </w:p>
          <w:p w14:paraId="51D7B639">
            <w:pPr>
              <w:keepNext w:val="0"/>
              <w:keepLines w:val="0"/>
              <w:pageBreakBefore w:val="0"/>
              <w:widowControl w:val="0"/>
              <w:numPr>
                <w:ilvl w:val="0"/>
                <w:numId w:val="0"/>
              </w:numPr>
              <w:kinsoku/>
              <w:wordWrap/>
              <w:overflowPunct/>
              <w:topLinePunct w:val="0"/>
              <w:autoSpaceDE/>
              <w:autoSpaceDN/>
              <w:bidi w:val="0"/>
              <w:adjustRightInd/>
              <w:snapToGrid/>
              <w:spacing w:before="0" w:after="0"/>
              <w:ind w:left="0" w:leftChars="0" w:right="0" w:firstLine="482" w:firstLineChars="200"/>
              <w:textAlignment w:val="auto"/>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（3）施工扬尘分析</w:t>
            </w:r>
          </w:p>
          <w:p w14:paraId="30059A92">
            <w:pPr>
              <w:autoSpaceDE/>
              <w:autoSpaceDN/>
              <w:bidi w:val="0"/>
              <w:spacing w:before="0" w:after="0"/>
              <w:ind w:left="0" w:right="0" w:firstLine="72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本</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工程</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施工现场均在野外，施工废气具有间歇性、短期性和流动性的特点</w:t>
            </w: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，由于土地裸露产生的局部、少量二次扬尘，可能对周围环境产生暂时影响，建成后对裸露土地进行绿化即可消除，</w:t>
            </w:r>
            <w:r>
              <w:rPr>
                <w:rFonts w:hint="default" w:ascii="Times New Roman" w:hAnsi="Times New Roman" w:eastAsia="宋体" w:cs="Times New Roman"/>
                <w:color w:val="000000" w:themeColor="text1"/>
                <w:kern w:val="2"/>
                <w:szCs w:val="24"/>
                <w:lang w:val="en-US" w:bidi="ar-SA"/>
                <w14:textFill>
                  <w14:solidFill>
                    <w14:schemeClr w14:val="tx1"/>
                  </w14:solidFill>
                </w14:textFill>
              </w:rPr>
              <w:t>该类污染源对大气环境的影响较轻。</w:t>
            </w:r>
          </w:p>
          <w:p w14:paraId="7842E4D5">
            <w:pPr>
              <w:autoSpaceDE/>
              <w:autoSpaceDN/>
              <w:bidi w:val="0"/>
              <w:spacing w:before="0" w:after="0"/>
              <w:ind w:left="0" w:right="0" w:firstLine="720"/>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Cs w:val="24"/>
                <w:lang w:val="en-US" w:eastAsia="zh-CN" w:bidi="ar-SA"/>
                <w14:textFill>
                  <w14:solidFill>
                    <w14:schemeClr w14:val="tx1"/>
                  </w14:solidFill>
                </w14:textFill>
              </w:rPr>
              <w:t>另外，在施工中汽车运输使用临时施工道路，将使施工场地附近二次扬尘增加，但由于施工强度不大，基础开挖量小，而且施工点都远离居民区，因此其对环境空气的影响范围和程度很小。</w:t>
            </w:r>
          </w:p>
          <w:p w14:paraId="540CABF1">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根据《安徽省大气污染防治条例</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Cs w:val="21"/>
                <w:lang w:val="en-US" w:bidi="ar-SA"/>
                <w14:textFill>
                  <w14:solidFill>
                    <w14:schemeClr w14:val="tx1"/>
                  </w14:solidFill>
                </w14:textFill>
              </w:rPr>
              <w:t>安徽省建筑工程施工扬尘污染防治规定》等相关要求，建筑工程施工扬尘治理措施应当符合下列规定：</w:t>
            </w:r>
          </w:p>
          <w:p w14:paraId="5700D07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①施工单位在工程开始施工时，应主动向当地县级环保行政主管部门申报，接受当地环保部门的监督管理</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Cs w:val="24"/>
                <w:lang w:val="en-US" w:eastAsia="zh-CN" w:bidi="ar-SA"/>
                <w14:textFill>
                  <w14:solidFill>
                    <w14:schemeClr w14:val="tx1"/>
                  </w14:solidFill>
                </w14:textFill>
              </w:rPr>
              <w:t>施工过程应严格执行6个100%的规定。</w:t>
            </w:r>
          </w:p>
          <w:p w14:paraId="21FBE4A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②工程施工现场必须设置控制扬尘污染责任标志牌，标明扬尘污染防治措施、主管部门、责任人及相关部门电话等内容。</w:t>
            </w:r>
          </w:p>
          <w:p w14:paraId="7E345688">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③施工现场应保持整洁，气象预报风力达到5级以上的天气，不得进行土方挖填等作业。</w:t>
            </w:r>
          </w:p>
          <w:p w14:paraId="3EF743CC">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④</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材料堆放</w:t>
            </w:r>
            <w:r>
              <w:rPr>
                <w:rFonts w:hint="default" w:ascii="Times New Roman" w:hAnsi="Times New Roman" w:eastAsia="宋体" w:cs="Times New Roman"/>
                <w:color w:val="000000" w:themeColor="text1"/>
                <w:kern w:val="2"/>
                <w:szCs w:val="21"/>
                <w:lang w:val="en-US" w:bidi="ar-SA"/>
                <w14:textFill>
                  <w14:solidFill>
                    <w14:schemeClr w14:val="tx1"/>
                  </w14:solidFill>
                </w14:textFill>
              </w:rPr>
              <w:t>应当采取围挡、遮盖等防尘措施。施工现场禁止将包装物、可燃垃圾等固体废弃物就地焚烧。对易起尘的临时堆土、运输过程中的土石方等应采用密闭式防尘布（网）进行苫盖，禁止凌空抛撒。</w:t>
            </w:r>
          </w:p>
          <w:p w14:paraId="65A34EE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⑤重点区域建筑施工工地要做到工地周边围挡、物料堆放覆盖、土方开挖湿法作业</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等</w:t>
            </w:r>
            <w:r>
              <w:rPr>
                <w:rFonts w:hint="default" w:ascii="Times New Roman" w:hAnsi="Times New Roman" w:eastAsia="宋体" w:cs="Times New Roman"/>
                <w:color w:val="000000" w:themeColor="text1"/>
                <w:kern w:val="2"/>
                <w:szCs w:val="21"/>
                <w:lang w:val="en-US" w:bidi="ar-SA"/>
                <w14:textFill>
                  <w14:solidFill>
                    <w14:schemeClr w14:val="tx1"/>
                  </w14:solidFill>
                </w14:textFill>
              </w:rPr>
              <w:t>。施工过程中，建设单位应当对裸露地面进行覆盖，暂时不能开工的建设用地超过三个月的，应当进行绿化或者遮盖。</w:t>
            </w:r>
          </w:p>
          <w:p w14:paraId="2221EE5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⑥施工现场禁止搅拌混凝土、</w:t>
            </w:r>
            <w:r>
              <w:rPr>
                <w:rFonts w:hint="default" w:ascii="Times New Roman" w:hAnsi="Times New Roman" w:eastAsia="宋体" w:cs="Times New Roman"/>
                <w:color w:val="000000" w:themeColor="text1"/>
                <w:kern w:val="2"/>
                <w:szCs w:val="21"/>
                <w:lang w:val="en-US" w:eastAsia="zh-CN" w:bidi="ar-SA"/>
                <w14:textFill>
                  <w14:solidFill>
                    <w14:schemeClr w14:val="tx1"/>
                  </w14:solidFill>
                </w14:textFill>
              </w:rPr>
              <w:t>砂浆，</w:t>
            </w:r>
            <w:r>
              <w:rPr>
                <w:rFonts w:hint="default" w:ascii="Times New Roman" w:hAnsi="Times New Roman" w:eastAsia="宋体" w:cs="Times New Roman"/>
                <w:color w:val="000000" w:themeColor="text1"/>
                <w:kern w:val="2"/>
                <w:szCs w:val="24"/>
                <w:lang w:val="en-US" w:bidi="ar-SA"/>
                <w14:textFill>
                  <w14:solidFill>
                    <w14:schemeClr w14:val="tx1"/>
                  </w14:solidFill>
                </w14:textFill>
              </w:rPr>
              <w:t>水泥采用外购商品砼（商品混凝土），罐车运输进场。</w:t>
            </w:r>
            <w:r>
              <w:rPr>
                <w:rFonts w:hint="default" w:ascii="Times New Roman" w:hAnsi="Times New Roman" w:eastAsia="宋体" w:cs="Times New Roman"/>
                <w:color w:val="000000" w:themeColor="text1"/>
                <w:kern w:val="2"/>
                <w:szCs w:val="21"/>
                <w:lang w:val="en-US" w:bidi="ar-SA"/>
                <w14:textFill>
                  <w14:solidFill>
                    <w14:schemeClr w14:val="tx1"/>
                  </w14:solidFill>
                </w14:textFill>
              </w:rPr>
              <w:t>车辆运输散体材料和废弃物时，必须100%进行密闭，避免沿途漏撒</w:t>
            </w:r>
            <w:r>
              <w:rPr>
                <w:rFonts w:hint="default" w:ascii="Times New Roman" w:hAnsi="Times New Roman" w:eastAsia="宋体" w:cs="Times New Roman"/>
                <w:b w:val="0"/>
                <w:bCs w:val="0"/>
                <w:color w:val="000000" w:themeColor="text1"/>
                <w:kern w:val="2"/>
                <w:szCs w:val="24"/>
                <w:lang w:val="en-US" w:eastAsia="zh-CN" w:bidi="ar-SA"/>
                <w14:textFill>
                  <w14:solidFill>
                    <w14:schemeClr w14:val="tx1"/>
                  </w14:solidFill>
                </w14:textFill>
              </w:rPr>
              <w:t>，禁止无牌无证车辆进入施工现场。</w:t>
            </w:r>
          </w:p>
          <w:p w14:paraId="47579B5B">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⑦采取密闭运输，车身应保持整洁，防止建筑材料、垃圾和工程渣土飞扬、洒落、流溢，严禁抛扔或随意倾倒，保证运输途中不污染道路和环境，对不符合要求的运输车辆和驾驶人员，严禁进场进行装运作业。</w:t>
            </w:r>
          </w:p>
          <w:p w14:paraId="0E942206">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⑧建立扬尘控制责任制度，扬尘治理费用列入工程造价。施工现场应保持环境卫生整洁并设专人负责，施工单位在施工过程中，全时段保持作业现场湿润无浮尘。</w:t>
            </w:r>
          </w:p>
          <w:p w14:paraId="73648DF7">
            <w:pPr>
              <w:autoSpaceDE w:val="0"/>
              <w:autoSpaceDN w:val="0"/>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1"/>
                <w:lang w:val="en-US" w:bidi="ar-SA"/>
                <w14:textFill>
                  <w14:solidFill>
                    <w14:schemeClr w14:val="tx1"/>
                  </w14:solidFill>
                </w14:textFill>
              </w:rPr>
            </w:pPr>
            <w:r>
              <w:rPr>
                <w:rFonts w:hint="default" w:ascii="Times New Roman" w:hAnsi="Times New Roman" w:eastAsia="宋体" w:cs="Times New Roman"/>
                <w:color w:val="000000" w:themeColor="text1"/>
                <w:kern w:val="2"/>
                <w:szCs w:val="21"/>
                <w:lang w:val="en-US" w:bidi="ar-SA"/>
                <w14:textFill>
                  <w14:solidFill>
                    <w14:schemeClr w14:val="tx1"/>
                  </w14:solidFill>
                </w14:textFill>
              </w:rPr>
              <w:t>通过加强对施工期的管理，在采取以上措施的前提下，项目施工期对周边环境空气的影响不大。</w:t>
            </w:r>
          </w:p>
          <w:p w14:paraId="174602D9">
            <w:pPr>
              <w:autoSpaceDE/>
              <w:autoSpaceDN/>
              <w:adjustRightInd w:val="0"/>
              <w:snapToGrid w:val="0"/>
              <w:spacing w:before="0" w:after="0" w:line="360" w:lineRule="auto"/>
              <w:ind w:left="0" w:right="0" w:firstLine="482" w:firstLineChars="200"/>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（4）施工期固体废物环境影响分析</w:t>
            </w:r>
          </w:p>
          <w:p w14:paraId="1BC507A1">
            <w:pPr>
              <w:autoSpaceDE/>
              <w:autoSpaceDN/>
              <w:adjustRightInd w:val="0"/>
              <w:snapToGrid w:val="0"/>
              <w:spacing w:before="0" w:after="0" w:line="360" w:lineRule="auto"/>
              <w:ind w:left="0" w:right="0" w:firstLine="480" w:firstLineChars="200"/>
              <w:rPr>
                <w:rFonts w:hint="default" w:ascii="Times New Roman" w:hAnsi="Times New Roman" w:eastAsia="宋体" w:cs="Times New Roman"/>
                <w:color w:val="000000" w:themeColor="text1"/>
                <w:kern w:val="2"/>
                <w:szCs w:val="24"/>
                <w:lang w:val="en-US" w:bidi="ar-SA"/>
                <w14:textFill>
                  <w14:solidFill>
                    <w14:schemeClr w14:val="tx1"/>
                  </w14:solidFill>
                </w14:textFill>
              </w:rPr>
            </w:pPr>
            <w:r>
              <w:rPr>
                <w:rFonts w:hint="default" w:ascii="Times New Roman" w:hAnsi="Times New Roman" w:eastAsia="宋体" w:cs="Times New Roman"/>
                <w:color w:val="000000" w:themeColor="text1"/>
                <w:kern w:val="2"/>
                <w:szCs w:val="24"/>
                <w:lang w:val="en-US" w:bidi="ar-SA"/>
                <w14:textFill>
                  <w14:solidFill>
                    <w14:schemeClr w14:val="tx1"/>
                  </w14:solidFill>
                </w14:textFill>
              </w:rPr>
              <w:t>本项目基础开挖产生的土方和建筑垃圾，作为回填材料使用。施工人员产生的生活垃圾集中收集消毒，日产日清，由环卫部门清运至城市生活垃圾填埋厂处置。施工期产生的固体废弃物对环境基本没有污染影响。</w:t>
            </w:r>
          </w:p>
          <w:p w14:paraId="7C158CDE">
            <w:pPr>
              <w:widowControl/>
              <w:autoSpaceDE/>
              <w:autoSpaceDN/>
              <w:spacing w:before="0" w:after="0" w:line="360" w:lineRule="auto"/>
              <w:ind w:left="0" w:right="0" w:firstLine="482" w:firstLineChars="200"/>
              <w:jc w:val="both"/>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Cs w:val="24"/>
                <w:lang w:val="en-US" w:eastAsia="zh-CN" w:bidi="ar-SA"/>
                <w14:textFill>
                  <w14:solidFill>
                    <w14:schemeClr w14:val="tx1"/>
                  </w14:solidFill>
                </w14:textFill>
              </w:rPr>
              <w:t>（5）施工期地表水环境影响分析</w:t>
            </w:r>
          </w:p>
          <w:p w14:paraId="7C053898">
            <w:pPr>
              <w:widowControl/>
              <w:autoSpaceDE/>
              <w:autoSpaceDN/>
              <w:spacing w:before="0" w:after="0" w:line="360" w:lineRule="auto"/>
              <w:ind w:left="0" w:right="0" w:firstLine="480" w:firstLineChars="200"/>
              <w:jc w:val="both"/>
              <w:rPr>
                <w:rFonts w:hint="default" w:ascii="Times New Roman" w:hAnsi="Times New Roman" w:eastAsia="宋体" w:cs="Times New Roman"/>
                <w:color w:val="000000" w:themeColor="text1"/>
                <w:kern w:val="2"/>
                <w:szCs w:val="24"/>
                <w:lang w:val="en-US" w:bidi="ar-SA"/>
                <w14:textFill>
                  <w14:solidFill>
                    <w14:schemeClr w14:val="tx1"/>
                  </w14:solidFill>
                </w14:textFill>
              </w:rPr>
            </w:pPr>
            <w:r>
              <w:rPr>
                <w:rFonts w:hint="default" w:ascii="Times New Roman" w:hAnsi="Times New Roman" w:eastAsia="宋体" w:cs="Times New Roman"/>
                <w:color w:val="000000"/>
                <w:sz w:val="24"/>
                <w:szCs w:val="24"/>
              </w:rPr>
              <w:t>施工单位应严格执行《建设工程施工地文明施工及环境管理暂行规定》，对污水的排放进行组织设计，严禁乱排乱流污染道路。泥浆废水设沉淀池收集后部分回用，少量泼洒场地，对环境影响很小。生活污水设置临时化粪池对其进行收集处理后，用于周边农业施肥不外排。可见经过这些措施后，本项目施工期对地表水环境的影响将大大减小</w:t>
            </w:r>
            <w:r>
              <w:rPr>
                <w:rFonts w:hint="default" w:ascii="Times New Roman" w:hAnsi="Times New Roman" w:eastAsia="宋体" w:cs="Times New Roman"/>
                <w:color w:val="000000" w:themeColor="text1"/>
                <w:kern w:val="2"/>
                <w:szCs w:val="24"/>
                <w:lang w:val="en-US" w:bidi="ar-SA"/>
                <w14:textFill>
                  <w14:solidFill>
                    <w14:schemeClr w14:val="tx1"/>
                  </w14:solidFill>
                </w14:textFill>
              </w:rPr>
              <w:t>。</w:t>
            </w:r>
          </w:p>
          <w:p w14:paraId="032E46A2">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p>
          <w:p w14:paraId="461ABD5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二</w:t>
            </w:r>
            <w:r>
              <w:rPr>
                <w:rFonts w:hint="default" w:ascii="Times New Roman" w:hAnsi="Times New Roman" w:eastAsia="宋体" w:cs="Times New Roman"/>
                <w:b/>
                <w:bCs/>
                <w:color w:val="000000" w:themeColor="text1"/>
                <w14:textFill>
                  <w14:solidFill>
                    <w14:schemeClr w14:val="tx1"/>
                  </w14:solidFill>
                </w14:textFill>
              </w:rPr>
              <w:t>、</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运营期</w:t>
            </w:r>
            <w:r>
              <w:rPr>
                <w:rFonts w:hint="default" w:ascii="Times New Roman" w:hAnsi="Times New Roman" w:eastAsia="宋体" w:cs="Times New Roman"/>
                <w:b/>
                <w:bCs/>
                <w:color w:val="000000" w:themeColor="text1"/>
                <w14:textFill>
                  <w14:solidFill>
                    <w14:schemeClr w14:val="tx1"/>
                  </w14:solidFill>
                </w14:textFill>
              </w:rPr>
              <w:t>环境影响分析结论</w:t>
            </w:r>
          </w:p>
          <w:p w14:paraId="56666D8A">
            <w:pPr>
              <w:keepNext w:val="0"/>
              <w:keepLines w:val="0"/>
              <w:pageBreakBefore w:val="0"/>
              <w:widowControl w:val="0"/>
              <w:kinsoku/>
              <w:wordWrap/>
              <w:overflowPunct/>
              <w:topLinePunct w:val="0"/>
              <w:autoSpaceDE w:val="0"/>
              <w:autoSpaceDN w:val="0"/>
              <w:bidi w:val="0"/>
              <w:adjustRightInd/>
              <w:snapToGrid/>
              <w:ind w:left="0" w:leftChars="0" w:right="0" w:rightChars="0"/>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1、电磁影响</w:t>
            </w:r>
          </w:p>
          <w:p w14:paraId="3F7D53E8">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根据《环境影响评价技术导则输变电工程》（HJ24-2014）及《电磁环境控制限值》（GB8702-2014），100KV 及以下输变电项目豁免，属电磁环境管理豁免范畴。</w:t>
            </w:r>
          </w:p>
          <w:p w14:paraId="69F06B95">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sz w:val="24"/>
              </w:rPr>
              <w:t>本项目光伏并网发电设备及输变电线路的辐射影响，均属于电磁环境管理豁免范畴。本项目产生的微量电磁辐射对人员的影响甚微。</w:t>
            </w:r>
          </w:p>
          <w:p w14:paraId="0DA9F288">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2、噪声</w:t>
            </w:r>
          </w:p>
          <w:p w14:paraId="464ACCBD">
            <w:pPr>
              <w:wordWrap w:val="0"/>
              <w:autoSpaceDE w:val="0"/>
              <w:autoSpaceDN w:val="0"/>
              <w:adjustRightInd w:val="0"/>
              <w:snapToGrid w:val="0"/>
              <w:spacing w:line="360" w:lineRule="auto"/>
              <w:ind w:firstLine="480" w:firstLineChars="200"/>
              <w:rPr>
                <w:rFonts w:hint="default" w:ascii="Times New Roman" w:hAnsi="Times New Roman" w:eastAsia="宋体" w:cs="Times New Roman"/>
                <w:color w:val="000000"/>
                <w:kern w:val="0"/>
                <w:sz w:val="24"/>
              </w:rPr>
            </w:pPr>
            <w:r>
              <w:rPr>
                <w:rFonts w:hint="default" w:ascii="Times New Roman" w:hAnsi="Times New Roman" w:eastAsia="宋体" w:cs="Times New Roman"/>
                <w:color w:val="000000"/>
                <w:kern w:val="0"/>
                <w:sz w:val="24"/>
              </w:rPr>
              <w:t>本项目在生产运营过程中，主要噪声源有光伏电站的逆变器、升压变压器以及空调主机等，噪声声级为 65dB(A)-75dB(A)。升压变压器设备均放置在单独的配电房，经过建筑的隔声降噪处理后及距离衰减后，降噪效果可达 18～25dB(A)，项目营运期产生的噪声对周边环境影响较小。</w:t>
            </w:r>
          </w:p>
          <w:p w14:paraId="3ED5A13C">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3、废水</w:t>
            </w:r>
          </w:p>
          <w:p w14:paraId="01820385">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项目营运期的废水主要包括生活污水和光伏组件的清洗废水。</w:t>
            </w:r>
          </w:p>
          <w:p w14:paraId="2D452987">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生活污水经三格化粪池处理后</w:t>
            </w:r>
            <w:r>
              <w:rPr>
                <w:rFonts w:hint="default" w:ascii="Times New Roman" w:hAnsi="Times New Roman" w:eastAsia="宋体" w:cs="Times New Roman"/>
                <w:color w:val="000000"/>
                <w:spacing w:val="-2"/>
                <w:sz w:val="24"/>
              </w:rPr>
              <w:t>用于周边农业施肥或厂区绿化</w:t>
            </w:r>
            <w:r>
              <w:rPr>
                <w:rFonts w:hint="default" w:ascii="Times New Roman" w:hAnsi="Times New Roman" w:eastAsia="宋体" w:cs="Times New Roman"/>
                <w:color w:val="000000"/>
                <w:sz w:val="24"/>
              </w:rPr>
              <w:t>，不外排。</w:t>
            </w:r>
          </w:p>
          <w:p w14:paraId="64D9A2D1">
            <w:pPr>
              <w:wordWrap w:val="0"/>
              <w:adjustRightInd w:val="0"/>
              <w:snapToGrid w:val="0"/>
              <w:spacing w:line="360" w:lineRule="auto"/>
              <w:ind w:firstLine="480" w:firstLineChars="200"/>
              <w:rPr>
                <w:rFonts w:hint="default" w:ascii="Times New Roman" w:hAnsi="Times New Roman" w:eastAsia="宋体" w:cs="Times New Roman"/>
                <w:color w:val="000000"/>
                <w:spacing w:val="-8"/>
                <w:sz w:val="24"/>
              </w:rPr>
            </w:pPr>
            <w:r>
              <w:rPr>
                <w:rFonts w:hint="default" w:ascii="Times New Roman" w:hAnsi="Times New Roman" w:eastAsia="宋体" w:cs="Times New Roman"/>
                <w:color w:val="000000"/>
                <w:sz w:val="24"/>
              </w:rPr>
              <w:t>光伏组件的清洗废水可直接作为光伏组件下喜阴作物农业灌溉用水，不外排。</w:t>
            </w:r>
          </w:p>
          <w:p w14:paraId="46F994B5">
            <w:pPr>
              <w:pStyle w:val="8"/>
              <w:keepNext w:val="0"/>
              <w:keepLines w:val="0"/>
              <w:pageBreakBefore w:val="0"/>
              <w:widowControl w:val="0"/>
              <w:kinsoku/>
              <w:wordWrap/>
              <w:overflowPunct/>
              <w:topLinePunct w:val="0"/>
              <w:autoSpaceDE w:val="0"/>
              <w:autoSpaceDN w:val="0"/>
              <w:bidi w:val="0"/>
              <w:adjustRightInd/>
              <w:snapToGrid/>
              <w:ind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sz w:val="24"/>
              </w:rPr>
              <w:t>综上，拟建项目产生的各项废水不外排，对区域地表水环境影响较小</w:t>
            </w:r>
            <w:r>
              <w:rPr>
                <w:rFonts w:hint="default" w:ascii="Times New Roman" w:hAnsi="Times New Roman" w:eastAsia="宋体" w:cs="Times New Roman"/>
                <w:color w:val="000000" w:themeColor="text1"/>
                <w:lang w:eastAsia="zh-CN"/>
                <w14:textFill>
                  <w14:solidFill>
                    <w14:schemeClr w14:val="tx1"/>
                  </w14:solidFill>
                </w14:textFill>
              </w:rPr>
              <w:t>。</w:t>
            </w:r>
          </w:p>
          <w:p w14:paraId="7C79BD74">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4、固废</w:t>
            </w:r>
          </w:p>
          <w:p w14:paraId="20669C93">
            <w:pPr>
              <w:wordWrap w:val="0"/>
              <w:adjustRightInd w:val="0"/>
              <w:snapToGrid w:val="0"/>
              <w:spacing w:line="360" w:lineRule="auto"/>
              <w:ind w:firstLine="472"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pacing w:val="-2"/>
                <w:kern w:val="0"/>
                <w:sz w:val="24"/>
              </w:rPr>
              <w:t>拟建项目生产过程中产生的固体废物主要为</w:t>
            </w:r>
            <w:r>
              <w:rPr>
                <w:rFonts w:hint="default" w:ascii="Times New Roman" w:hAnsi="Times New Roman" w:eastAsia="宋体" w:cs="Times New Roman"/>
                <w:color w:val="000000"/>
                <w:sz w:val="24"/>
              </w:rPr>
              <w:t>废旧的光伏组件、废电池、废油和生活垃圾。废旧的光伏组件、废电池收集后直接由设备生产厂家回收；废油集中收集后及时交有资质单位处理；生活垃圾分类集中收集后交环卫部门统一清运处理。</w:t>
            </w:r>
          </w:p>
          <w:p w14:paraId="62594610">
            <w:pPr>
              <w:wordWrap w:val="0"/>
              <w:adjustRightInd w:val="0"/>
              <w:snapToGrid w:val="0"/>
              <w:spacing w:line="360" w:lineRule="auto"/>
              <w:ind w:firstLine="480" w:firstLineChars="200"/>
              <w:rPr>
                <w:rFonts w:hint="default" w:ascii="Times New Roman" w:hAnsi="Times New Roman" w:eastAsia="宋体" w:cs="Times New Roman"/>
                <w:color w:val="000000"/>
                <w:sz w:val="24"/>
                <w:highlight w:val="yellow"/>
              </w:rPr>
            </w:pPr>
            <w:r>
              <w:rPr>
                <w:rFonts w:hint="default" w:ascii="Times New Roman" w:hAnsi="Times New Roman" w:eastAsia="宋体" w:cs="Times New Roman"/>
                <w:color w:val="000000"/>
                <w:sz w:val="24"/>
              </w:rPr>
              <w:t>由此可见，项目营运期产生的各类固废均可做到有效合理的处置，无二次污染产生，对周边环境影响较小。</w:t>
            </w:r>
          </w:p>
          <w:p w14:paraId="2C23CB7C">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5、大气</w:t>
            </w:r>
          </w:p>
          <w:p w14:paraId="2D262B5A">
            <w:pPr>
              <w:widowControl/>
              <w:wordWrap w:val="0"/>
              <w:adjustRightInd w:val="0"/>
              <w:snapToGrid w:val="0"/>
              <w:spacing w:line="360" w:lineRule="auto"/>
              <w:ind w:firstLine="480" w:firstLineChars="200"/>
              <w:jc w:val="left"/>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color w:val="000000"/>
                <w:sz w:val="24"/>
              </w:rPr>
              <w:t>本项目营运期产生的废气主</w:t>
            </w:r>
            <w:r>
              <w:rPr>
                <w:rFonts w:hint="default" w:ascii="Times New Roman" w:hAnsi="Times New Roman" w:eastAsia="宋体" w:cs="Times New Roman"/>
                <w:color w:val="000000"/>
                <w:sz w:val="24"/>
                <w:lang w:eastAsia="zh-CN"/>
              </w:rPr>
              <w:t>要是</w:t>
            </w:r>
            <w:r>
              <w:rPr>
                <w:rFonts w:hint="default" w:ascii="Times New Roman" w:hAnsi="Times New Roman" w:eastAsia="宋体" w:cs="Times New Roman"/>
                <w:color w:val="000000"/>
                <w:sz w:val="24"/>
              </w:rPr>
              <w:t>职工食堂烹饪产生的食堂油烟。根据工程分析知，</w:t>
            </w:r>
            <w:r>
              <w:rPr>
                <w:rFonts w:hint="default" w:ascii="Times New Roman" w:hAnsi="Times New Roman" w:eastAsia="宋体" w:cs="Times New Roman"/>
                <w:color w:val="000000"/>
                <w:sz w:val="24"/>
                <w:szCs w:val="24"/>
              </w:rPr>
              <w:t>本项目食堂油烟排放量为0.92kg/a，排放浓度为0.42mg/m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rPr>
              <w:t>，满足《饮食业油烟排放标准（试行）》（GB18483-2001）中限值要求，对周围大气环境影响较小。</w:t>
            </w:r>
          </w:p>
          <w:p w14:paraId="78227004">
            <w:pPr>
              <w:pStyle w:val="9"/>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6、环境风险</w:t>
            </w:r>
          </w:p>
          <w:p w14:paraId="17F0764E">
            <w:pPr>
              <w:wordWrap w:val="0"/>
              <w:adjustRightInd w:val="0"/>
              <w:snapToGri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本项目的事故风险主要为可能有变压器油外泄而引起污染环境的意外事故。</w:t>
            </w:r>
          </w:p>
          <w:p w14:paraId="043CC128">
            <w:pPr>
              <w:wordWrap w:val="0"/>
              <w:adjustRightInd w:val="0"/>
              <w:snapToGrid w:val="0"/>
              <w:spacing w:line="360" w:lineRule="auto"/>
              <w:ind w:firstLine="480" w:firstLineChars="200"/>
              <w:rPr>
                <w:rFonts w:hint="eastAsia" w:cs="Times New Roman"/>
                <w:color w:val="000000"/>
                <w:sz w:val="24"/>
                <w:lang w:val="en-US" w:eastAsia="zh-CN"/>
              </w:rPr>
            </w:pPr>
            <w:r>
              <w:rPr>
                <w:rFonts w:hint="default" w:ascii="Times New Roman" w:hAnsi="Times New Roman" w:eastAsia="宋体" w:cs="Times New Roman"/>
                <w:color w:val="000000"/>
                <w:sz w:val="24"/>
              </w:rPr>
              <w:t>针对变压器箱体贮有变压器油，项目在变压器下方设封闭事故油池</w:t>
            </w:r>
            <w:r>
              <w:rPr>
                <w:rFonts w:hint="eastAsia" w:cs="Times New Roman"/>
                <w:color w:val="000000"/>
                <w:sz w:val="24"/>
                <w:lang w:eastAsia="zh-CN"/>
              </w:rPr>
              <w:t>，</w:t>
            </w:r>
            <w:r>
              <w:rPr>
                <w:rFonts w:hint="eastAsia" w:cs="Times New Roman"/>
                <w:color w:val="000000"/>
                <w:sz w:val="24"/>
                <w:lang w:val="en-US" w:eastAsia="zh-CN"/>
              </w:rPr>
              <w:t>容积为</w:t>
            </w:r>
          </w:p>
          <w:p w14:paraId="286B696B">
            <w:pPr>
              <w:wordWrap w:val="0"/>
              <w:adjustRightInd w:val="0"/>
              <w:snapToGrid w:val="0"/>
              <w:spacing w:line="360" w:lineRule="auto"/>
              <w:ind w:left="0" w:leftChars="0" w:firstLine="0" w:firstLineChars="0"/>
              <w:rPr>
                <w:rFonts w:hint="default" w:ascii="Times New Roman" w:hAnsi="Times New Roman" w:eastAsia="宋体" w:cs="Times New Roman"/>
                <w:color w:val="000000"/>
                <w:sz w:val="24"/>
              </w:rPr>
            </w:pPr>
            <w:r>
              <w:rPr>
                <w:rFonts w:hint="eastAsia" w:cs="Times New Roman"/>
                <w:color w:val="000000"/>
                <w:sz w:val="24"/>
                <w:lang w:val="en-US" w:eastAsia="zh-CN"/>
              </w:rPr>
              <w:t>1m</w:t>
            </w:r>
            <w:r>
              <w:rPr>
                <w:rFonts w:hint="eastAsia" w:cs="Times New Roman"/>
                <w:color w:val="000000"/>
                <w:sz w:val="24"/>
                <w:vertAlign w:val="superscript"/>
                <w:lang w:val="en-US" w:eastAsia="zh-CN"/>
              </w:rPr>
              <w:t>3</w:t>
            </w:r>
            <w:r>
              <w:rPr>
                <w:rFonts w:hint="default" w:ascii="Times New Roman" w:hAnsi="Times New Roman" w:eastAsia="宋体" w:cs="Times New Roman"/>
                <w:color w:val="000000"/>
                <w:sz w:val="24"/>
              </w:rPr>
              <w:t>。光伏电站运营期正常情况下，变压器无漏油产生，事故时排出的油经事故油池统一收集，交由有资质单位统一处理不外排。</w:t>
            </w:r>
          </w:p>
          <w:p w14:paraId="7EBC3EE5">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7、光污染</w:t>
            </w:r>
          </w:p>
          <w:p w14:paraId="0AEE0C80">
            <w:pPr>
              <w:wordWrap w:val="0"/>
              <w:autoSpaceDE w:val="0"/>
              <w:autoSpaceDN w:val="0"/>
              <w:adjustRightInd w:val="0"/>
              <w:snapToGrid w:val="0"/>
              <w:spacing w:line="360" w:lineRule="auto"/>
              <w:ind w:firstLine="480" w:firstLineChars="200"/>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sz w:val="24"/>
              </w:rPr>
              <w:t>项目采用的太阳能组件表面材质为晶硅薄膜组件，结构简单，可靠性高，根据《玻璃幕墙光学性能》（GB/T18091-2000）规定，为限制玻璃有害光反射，其反射率应采用反射比不大于0.30的玻璃，本项目采用的光伏组件表面反射比仅为0.11-0.15，符合《玻璃幕墙光学性能》（GB/T18091-2000）中的要求，不会对周边环境造成较大光污染。</w:t>
            </w:r>
            <w:r>
              <w:rPr>
                <w:rFonts w:hint="default" w:ascii="Times New Roman" w:hAnsi="Times New Roman" w:eastAsia="宋体" w:cs="Times New Roman"/>
                <w:color w:val="000000"/>
                <w:sz w:val="24"/>
                <w:lang w:val="zh-CN"/>
              </w:rPr>
              <w:t>项目光伏组件反射的太阳光对周围空间环境的影响较小，影响程度及范围有限。</w:t>
            </w:r>
          </w:p>
        </w:tc>
      </w:tr>
      <w:tr w14:paraId="76760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6" w:type="dxa"/>
          </w:tcPr>
          <w:p w14:paraId="354E0FA7">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环境影响评价文件批复意见</w:t>
            </w:r>
          </w:p>
          <w:p w14:paraId="6440F3C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2017年4月27日，原六安市环境保护局出具了《六安市环境保护局关于霍邱韩瑞新能源发电有限公司坎山村20MW光伏发电项目环境影响报告表的批复》（</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六环评</w:t>
            </w:r>
            <w:r>
              <w:rPr>
                <w:rFonts w:hint="default" w:ascii="Times New Roman" w:hAnsi="Times New Roman" w:eastAsia="宋体" w:cs="Times New Roman"/>
                <w:color w:val="000000" w:themeColor="text1"/>
                <w:sz w:val="24"/>
                <w:szCs w:val="24"/>
                <w14:textFill>
                  <w14:solidFill>
                    <w14:schemeClr w14:val="tx1"/>
                  </w14:solidFill>
                </w14:textFill>
              </w:rPr>
              <w:t>〔20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14:textFill>
                  <w14:solidFill>
                    <w14:schemeClr w14:val="tx1"/>
                  </w14:solidFill>
                </w14:textFill>
              </w:rPr>
              <w:t>号</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具体内容</w:t>
            </w:r>
            <w:r>
              <w:rPr>
                <w:rFonts w:hint="default" w:ascii="Times New Roman" w:hAnsi="Times New Roman" w:eastAsia="宋体" w:cs="Times New Roman"/>
                <w:color w:val="000000" w:themeColor="text1"/>
                <w14:textFill>
                  <w14:solidFill>
                    <w14:schemeClr w14:val="tx1"/>
                  </w14:solidFill>
                </w14:textFill>
              </w:rPr>
              <w:t>如下：</w:t>
            </w:r>
          </w:p>
          <w:p w14:paraId="06F8794B">
            <w:pPr>
              <w:pStyle w:val="22"/>
              <w:bidi w:val="0"/>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b w:val="0"/>
                <w:bCs w:val="0"/>
                <w:color w:val="000000" w:themeColor="text1"/>
                <w14:textFill>
                  <w14:solidFill>
                    <w14:schemeClr w14:val="tx1"/>
                  </w14:solidFill>
                </w14:textFill>
              </w:rPr>
              <w:t>：</w:t>
            </w:r>
          </w:p>
          <w:p w14:paraId="5352381A">
            <w:pPr>
              <w:pStyle w:val="22"/>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你公司《坎山村20MW光伏发电项目环境影响报告表》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以下简称“报告表”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收悉。根据《</w:t>
            </w:r>
            <w:r>
              <w:rPr>
                <w:rFonts w:hint="default" w:ascii="Times New Roman" w:hAnsi="Times New Roman" w:eastAsia="宋体" w:cs="Times New Roman"/>
                <w:color w:val="000000" w:themeColor="text1"/>
                <w:lang w:eastAsia="zh-CN"/>
                <w14:textFill>
                  <w14:solidFill>
                    <w14:schemeClr w14:val="tx1"/>
                  </w14:solidFill>
                </w14:textFill>
              </w:rPr>
              <w:t>中华人民共和国环境影响评价法</w:t>
            </w:r>
            <w:r>
              <w:rPr>
                <w:rFonts w:hint="default" w:ascii="Times New Roman" w:hAnsi="Times New Roman" w:eastAsia="宋体" w:cs="Times New Roman"/>
                <w:color w:val="000000" w:themeColor="text1"/>
                <w14:textFill>
                  <w14:solidFill>
                    <w14:schemeClr w14:val="tx1"/>
                  </w14:solidFill>
                </w14:textFill>
              </w:rPr>
              <w:t>》等法律有关规定，现批复如下</w:t>
            </w:r>
            <w:r>
              <w:rPr>
                <w:rFonts w:hint="default" w:ascii="Times New Roman" w:hAnsi="Times New Roman" w:eastAsia="宋体" w:cs="Times New Roman"/>
                <w:color w:val="000000" w:themeColor="text1"/>
                <w:lang w:eastAsia="zh-CN"/>
                <w14:textFill>
                  <w14:solidFill>
                    <w14:schemeClr w14:val="tx1"/>
                  </w14:solidFill>
                </w14:textFill>
              </w:rPr>
              <w:t>：</w:t>
            </w:r>
          </w:p>
          <w:p w14:paraId="015C9BE3">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一、该项目位于六安市霍邱县邵岗乡坎山村X035县道东</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占地面积527.1626亩，拟利用滩涂地，整修鱼塘，鱼塘上布设渔光互补太阳能发电站。项目内容包括</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一座光伏发电站，总装机容量20MWp，项目配套建设35kV升压站、1km送出线路及综合楼。项目用地不在东西湖湿地自然保护区内。我局同意报告表所列建设内容和提出的环境保护措施。根据报告表结论和霍邱县环保局预审意见，从环境保护角度，我局同意项目建设。</w:t>
            </w:r>
          </w:p>
          <w:p w14:paraId="5ACFC01D">
            <w:pPr>
              <w:pStyle w:val="22"/>
              <w:bidi w:val="0"/>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二、在项目建设、运行过程中和运行期满后须认真落实报告表提出的各项环境保护措施，并着重做好以下工作</w:t>
            </w:r>
            <w:r>
              <w:rPr>
                <w:rFonts w:hint="default" w:ascii="Times New Roman" w:hAnsi="Times New Roman" w:eastAsia="宋体" w:cs="Times New Roman"/>
                <w:color w:val="000000" w:themeColor="text1"/>
                <w:lang w:eastAsia="zh-CN"/>
                <w14:textFill>
                  <w14:solidFill>
                    <w14:schemeClr w14:val="tx1"/>
                  </w14:solidFill>
                </w14:textFill>
              </w:rPr>
              <w:t>：</w:t>
            </w:r>
          </w:p>
          <w:p w14:paraId="7C643A77">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1.员工生活污水经预处理后用于周边农业灌溉，不得直接排入自然水体。</w:t>
            </w:r>
          </w:p>
          <w:p w14:paraId="664DCEA1">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2.优先选用低噪声设备，优化升压站平面布局，落实高噪声设备减振、隔声等措施，确保场界噪声、环境敏感点声环境达标。</w:t>
            </w:r>
          </w:p>
          <w:p w14:paraId="08857BFD">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3.项目施工应结合项目区域地形地貌，防止大面积开挖项目施工应做好水土保持和生态恢复工作。按照边建设边恢复的原则，光伏</w:t>
            </w:r>
            <w:r>
              <w:rPr>
                <w:rFonts w:hint="default" w:ascii="Times New Roman" w:hAnsi="Times New Roman" w:eastAsia="宋体" w:cs="Times New Roman"/>
                <w:color w:val="000000" w:themeColor="text1"/>
                <w:lang w:eastAsia="zh-CN"/>
                <w14:textFill>
                  <w14:solidFill>
                    <w14:schemeClr w14:val="tx1"/>
                  </w14:solidFill>
                </w14:textFill>
              </w:rPr>
              <w:t>组件</w:t>
            </w:r>
            <w:r>
              <w:rPr>
                <w:rFonts w:hint="default" w:ascii="Times New Roman" w:hAnsi="Times New Roman" w:eastAsia="宋体" w:cs="Times New Roman"/>
                <w:color w:val="000000" w:themeColor="text1"/>
                <w14:textFill>
                  <w14:solidFill>
                    <w14:schemeClr w14:val="tx1"/>
                  </w14:solidFill>
                </w14:textFill>
              </w:rPr>
              <w:t>安装结束后，及时进行生态修复。养殖、绿化须因地制宜，防止外来物种入侵。电站服务期满后，你公司应做好设备拆除、场地的生态恢复工作。</w:t>
            </w:r>
          </w:p>
          <w:p w14:paraId="78B8618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规范建设危险废物暂存场所，有效收集废电池、废油等危险废物，并及时委托有资质单位处理处置。为防止事故状态下变压器油外泄，变压器下须设置事故收集油池。废光伏组件应收集暂存，由厂家回收利用，不得随意堆放丢弃。生活垃圾收集后定点存放，及时交由环卫部门清运。三、项目的污染防治设施必须与主体工程同时设计、同时施工、同时投入使用。项目竣工后，尽快委托有资质的单位进行竣工环保验收调查，并向我局申请竣工环保验收。</w:t>
            </w:r>
          </w:p>
          <w:p w14:paraId="68BB50D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四、霍邱县环保局负责该项目的环境监督管理工作。</w:t>
            </w:r>
          </w:p>
          <w:p w14:paraId="6D07C39B">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1148504">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7AC78AFC">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1E046B0">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7D298C0">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DA665A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2CA184B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5E8F29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5051FA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2C3C1DC">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9AD2379">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643C0BB">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50B9A901">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FC2467F">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3F74AE9">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18F967C4">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08B684C3">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39EB1F0E">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4467F5B1">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656D5A8D">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p>
          <w:p w14:paraId="2249B7FA">
            <w:pPr>
              <w:pStyle w:val="22"/>
              <w:bidi w:val="0"/>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 xml:space="preserve"> </w:t>
            </w:r>
          </w:p>
          <w:p w14:paraId="0372D3B8">
            <w:pPr>
              <w:pStyle w:val="22"/>
              <w:bidi w:val="0"/>
              <w:rPr>
                <w:rFonts w:hint="default" w:ascii="Times New Roman" w:hAnsi="Times New Roman" w:eastAsia="宋体" w:cs="Times New Roman"/>
                <w:color w:val="000000" w:themeColor="text1"/>
                <w14:textFill>
                  <w14:solidFill>
                    <w14:schemeClr w14:val="tx1"/>
                  </w14:solidFill>
                </w14:textFill>
              </w:rPr>
            </w:pPr>
          </w:p>
          <w:p w14:paraId="50E7362A">
            <w:pPr>
              <w:pStyle w:val="22"/>
              <w:bidi w:val="0"/>
              <w:rPr>
                <w:rFonts w:hint="default" w:ascii="Times New Roman" w:hAnsi="Times New Roman" w:eastAsia="宋体" w:cs="Times New Roman"/>
                <w:color w:val="000000" w:themeColor="text1"/>
                <w14:textFill>
                  <w14:solidFill>
                    <w14:schemeClr w14:val="tx1"/>
                  </w14:solidFill>
                </w14:textFill>
              </w:rPr>
            </w:pPr>
          </w:p>
          <w:p w14:paraId="0B9B1016">
            <w:pPr>
              <w:pStyle w:val="22"/>
              <w:bidi w:val="0"/>
              <w:rPr>
                <w:rFonts w:hint="default" w:ascii="Times New Roman" w:hAnsi="Times New Roman" w:eastAsia="宋体" w:cs="Times New Roman"/>
                <w:color w:val="000000" w:themeColor="text1"/>
                <w14:textFill>
                  <w14:solidFill>
                    <w14:schemeClr w14:val="tx1"/>
                  </w14:solidFill>
                </w14:textFill>
              </w:rPr>
            </w:pPr>
          </w:p>
          <w:p w14:paraId="4FA03901">
            <w:pPr>
              <w:pStyle w:val="22"/>
              <w:bidi w:val="0"/>
              <w:ind w:left="0" w:leftChars="0" w:firstLine="0" w:firstLineChars="0"/>
              <w:rPr>
                <w:rFonts w:hint="default" w:ascii="Times New Roman" w:hAnsi="Times New Roman" w:eastAsia="宋体" w:cs="Times New Roman"/>
                <w:color w:val="000000" w:themeColor="text1"/>
                <w14:textFill>
                  <w14:solidFill>
                    <w14:schemeClr w14:val="tx1"/>
                  </w14:solidFill>
                </w14:textFill>
              </w:rPr>
            </w:pPr>
          </w:p>
        </w:tc>
      </w:tr>
    </w:tbl>
    <w:p w14:paraId="7625A010">
      <w:pP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br w:type="page"/>
      </w:r>
    </w:p>
    <w:p w14:paraId="3482F942">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表6</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环境保护设施、环境保护措施落实情况</w:t>
      </w:r>
    </w:p>
    <w:tbl>
      <w:tblPr>
        <w:tblStyle w:val="17"/>
        <w:tblW w:w="521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704"/>
        <w:gridCol w:w="4855"/>
        <w:gridCol w:w="2540"/>
        <w:gridCol w:w="938"/>
      </w:tblGrid>
      <w:tr w14:paraId="3628B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225" w:type="pct"/>
            <w:vAlign w:val="center"/>
          </w:tcPr>
          <w:p w14:paraId="6B3EF283">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阶段</w:t>
            </w:r>
          </w:p>
        </w:tc>
        <w:tc>
          <w:tcPr>
            <w:tcW w:w="373" w:type="pct"/>
            <w:vAlign w:val="center"/>
          </w:tcPr>
          <w:p w14:paraId="3A2B43ED">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影响类别</w:t>
            </w:r>
          </w:p>
        </w:tc>
        <w:tc>
          <w:tcPr>
            <w:tcW w:w="2563" w:type="pct"/>
            <w:vAlign w:val="center"/>
          </w:tcPr>
          <w:p w14:paraId="78A15440">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环境影响报告表及批复文件中要求的环境保护设施、环境保护措施</w:t>
            </w:r>
          </w:p>
        </w:tc>
        <w:tc>
          <w:tcPr>
            <w:tcW w:w="1341" w:type="pct"/>
            <w:vAlign w:val="center"/>
          </w:tcPr>
          <w:p w14:paraId="62EA68E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14:textFill>
                  <w14:solidFill>
                    <w14:schemeClr w14:val="tx1"/>
                  </w14:solidFill>
                </w14:textFill>
              </w:rPr>
            </w:pPr>
            <w:r>
              <w:rPr>
                <w:rFonts w:hint="default" w:ascii="Times New Roman" w:hAnsi="Times New Roman" w:eastAsia="宋体" w:cs="Times New Roman"/>
                <w:b/>
                <w:bCs/>
                <w:color w:val="000000" w:themeColor="text1"/>
                <w:sz w:val="22"/>
                <w:szCs w:val="22"/>
                <w14:textFill>
                  <w14:solidFill>
                    <w14:schemeClr w14:val="tx1"/>
                  </w14:solidFill>
                </w14:textFill>
              </w:rPr>
              <w:t>环境保护设施、环境保护措施落实情况</w:t>
            </w:r>
          </w:p>
        </w:tc>
        <w:tc>
          <w:tcPr>
            <w:tcW w:w="496" w:type="pct"/>
            <w:vAlign w:val="center"/>
          </w:tcPr>
          <w:p w14:paraId="7C3D5AF3">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b/>
                <w:bCs/>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b/>
                <w:bCs/>
                <w:color w:val="000000" w:themeColor="text1"/>
                <w:sz w:val="22"/>
                <w:szCs w:val="22"/>
                <w:lang w:val="en-US" w:eastAsia="zh-CN"/>
                <w14:textFill>
                  <w14:solidFill>
                    <w14:schemeClr w14:val="tx1"/>
                  </w14:solidFill>
                </w14:textFill>
              </w:rPr>
              <w:t>是否满足要求</w:t>
            </w:r>
          </w:p>
        </w:tc>
      </w:tr>
      <w:tr w14:paraId="655EF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25" w:type="pct"/>
            <w:vMerge w:val="restart"/>
            <w:vAlign w:val="center"/>
          </w:tcPr>
          <w:p w14:paraId="364E683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施工期</w:t>
            </w:r>
          </w:p>
        </w:tc>
        <w:tc>
          <w:tcPr>
            <w:tcW w:w="373" w:type="pct"/>
            <w:vAlign w:val="center"/>
          </w:tcPr>
          <w:p w14:paraId="20AE6F56">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大气</w:t>
            </w:r>
          </w:p>
        </w:tc>
        <w:tc>
          <w:tcPr>
            <w:tcW w:w="2563" w:type="pct"/>
            <w:vAlign w:val="center"/>
          </w:tcPr>
          <w:p w14:paraId="730DCFF4">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 xml:space="preserve">①厂内扬尘防治措施 </w:t>
            </w:r>
          </w:p>
          <w:p w14:paraId="208FEF4E">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A、强化扬尘污染防治责任，严格实行网络化管理，施工企业要在开工前制定建筑施工现场扬尘控制措施；</w:t>
            </w:r>
          </w:p>
          <w:p w14:paraId="6BE6C38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B、施工现场设置洒水降尘措施，安排专人定时洒水降尘；</w:t>
            </w:r>
          </w:p>
          <w:p w14:paraId="199546D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C、施工现场出入口道路实施硬化并配备车辆冲洗设施。对驶出施工现场的机动车辆冲洗干净，方可上路。施工现场内道路实施碎石铺设。裸露场地应当采取覆盖或绿化措施；</w:t>
            </w:r>
          </w:p>
          <w:p w14:paraId="2ABD902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D、施工现场使用商品混凝土和预拌砂浆，搅拌混凝土、砂浆采取封闭、降尘措施；</w:t>
            </w:r>
          </w:p>
          <w:p w14:paraId="3BF51AB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E、施工现场土方开挖后尽快完成回填，不能及时回填的场地，采取覆盖等防尘措施；砂石等散体材料集中堆放并覆盖，落实好物料堆场防风抑尘措施；</w:t>
            </w:r>
          </w:p>
          <w:p w14:paraId="6140EEE8">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F、渣土等建筑垃圾集中、分类堆放，严密遮盖，采用装袋清运，严禁高处抛撒。需要运输、处理的，按照市容环境卫生行政主管部门规定的时间、线路和要求，清运到指定的场所处理。严格实行密闭运输，落实冲洗保洁措施；</w:t>
            </w:r>
          </w:p>
          <w:p w14:paraId="4349CCD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G、外脚手架应当设置悬挂密闭式安全网封闭，并保持严密整洁；</w:t>
            </w:r>
          </w:p>
          <w:p w14:paraId="0C501BD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H、施工现场禁止焚烧沥青、油毡、橡胶、塑料、皮革、垃圾以及其他产生有毒有害烟尘和恶臭气体的物质。</w:t>
            </w:r>
          </w:p>
          <w:p w14:paraId="082654FE">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I、运进或运出工地的土方、砂石、建筑垃圾等易产生扬尘的材料，应采取密闭运输。</w:t>
            </w:r>
          </w:p>
          <w:p w14:paraId="2DA6C22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②场外运输扬尘防治</w:t>
            </w:r>
          </w:p>
          <w:p w14:paraId="3C9CD848">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A、运输方式：运沙、石、水泥等的车辆加盖顶棚，密闭运输，</w:t>
            </w:r>
            <w:r>
              <w:rPr>
                <w:rFonts w:hint="default" w:ascii="Times New Roman" w:hAnsi="Times New Roman" w:eastAsia="宋体" w:cs="Times New Roman"/>
                <w:color w:val="000000" w:themeColor="text1"/>
                <w:sz w:val="22"/>
                <w:szCs w:val="22"/>
                <w:lang w:eastAsia="zh-CN"/>
                <w14:textFill>
                  <w14:solidFill>
                    <w14:schemeClr w14:val="tx1"/>
                  </w14:solidFill>
                </w14:textFill>
              </w:rPr>
              <w:t>防止</w:t>
            </w:r>
            <w:r>
              <w:rPr>
                <w:rFonts w:hint="default" w:ascii="Times New Roman" w:hAnsi="Times New Roman" w:eastAsia="宋体" w:cs="Times New Roman"/>
                <w:color w:val="000000" w:themeColor="text1"/>
                <w:sz w:val="22"/>
                <w:szCs w:val="22"/>
                <w14:textFill>
                  <w14:solidFill>
                    <w14:schemeClr w14:val="tx1"/>
                  </w14:solidFill>
                </w14:textFill>
              </w:rPr>
              <w:t>沿途洒落；</w:t>
            </w:r>
          </w:p>
          <w:p w14:paraId="25CE6EF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B、运输时间：选择车流、人流较少的时间进行物料输送。</w:t>
            </w:r>
          </w:p>
        </w:tc>
        <w:tc>
          <w:tcPr>
            <w:tcW w:w="1341" w:type="pct"/>
            <w:vAlign w:val="center"/>
          </w:tcPr>
          <w:p w14:paraId="55EF1018">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施</w:t>
            </w:r>
            <w:r>
              <w:rPr>
                <w:rFonts w:hint="default" w:ascii="Times New Roman" w:hAnsi="Times New Roman" w:eastAsia="宋体" w:cs="Times New Roman"/>
                <w:color w:val="000000" w:themeColor="text1"/>
                <w:sz w:val="22"/>
                <w:szCs w:val="22"/>
                <w:lang w:val="zh-CN" w:eastAsia="zh-CN"/>
                <w14:textFill>
                  <w14:solidFill>
                    <w14:schemeClr w14:val="tx1"/>
                  </w14:solidFill>
                </w14:textFill>
              </w:rPr>
              <w:t>工方对施工生产、生活场地粉状物料进行苫布遮盖；定时洒水；</w:t>
            </w:r>
          </w:p>
          <w:p w14:paraId="372D08F2">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施工现场出入口道路实施硬化并配备车辆冲洗设施。对驶出施工现场的机动车辆冲洗干净</w:t>
            </w:r>
          </w:p>
          <w:p w14:paraId="3E244531">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裸露的土方等易产生扬尘的地方覆盖防尘网；对施工期运输车辆应采取加盖篷布覆盖；及时清扫运输道路，设专人定期对运输道路洒水降尘措施；通过采取以上措施降低施工扬尘、运输扬尘对周围环境影响。选择符合环保标准的施工机械，并定期维修保养</w:t>
            </w:r>
          </w:p>
        </w:tc>
        <w:tc>
          <w:tcPr>
            <w:tcW w:w="496" w:type="pct"/>
            <w:vAlign w:val="center"/>
          </w:tcPr>
          <w:p w14:paraId="4AC6E835">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709D5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6AA57795">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B52DDC6">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噪声</w:t>
            </w:r>
          </w:p>
        </w:tc>
        <w:tc>
          <w:tcPr>
            <w:tcW w:w="2563" w:type="pct"/>
            <w:vAlign w:val="center"/>
          </w:tcPr>
          <w:p w14:paraId="2B4224C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A、项目建设开工前应取得区政府部门证明，并于开工前15日需要向环保部门申报，经环保部门同意后方可进行施工；</w:t>
            </w:r>
          </w:p>
          <w:p w14:paraId="4E49D26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B、合理安排施工时间，严禁昼间（12:00-2:00）和夜间（22：00-次日6:00）施工；若因工艺或特殊需要必须连续施工，施工单位应在施工前3日内报请地方环保部门批准，并向施工场地周围的居民或单位发布公告，同时严禁中、高考期间施工。</w:t>
            </w:r>
          </w:p>
          <w:p w14:paraId="23C853B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C、施工须选用低噪设备，专人负责保养维护；</w:t>
            </w:r>
          </w:p>
          <w:p w14:paraId="777E6F5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D、施工单位须将木工房、钢筋加工间等高噪声作业点根据实际情况合理的布置于施工场区中部或者西部（最大程度远离敏感点），以有效利用施工场区的距离衰减减少对项目周边的影响，同时对施工期固定的机械设备尽量入棚操作。</w:t>
            </w:r>
          </w:p>
          <w:p w14:paraId="68C6B83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E、建设单位应在各场界设置高围挡，根据类比，上述声屏障可有效隔声10-20dB(A)，可大大减少施工噪声对敏感点的影响；此外，在结构阶段和装修阶段，建设单位应对建筑物外部采用围挡，以减轻施工噪声对环境影响。</w:t>
            </w:r>
          </w:p>
          <w:p w14:paraId="01137CD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F、施工车辆出入地点应尽量远离敏感点，同时车辆出入现场时须低速、禁鸣，最大限度减少施工噪声影响。</w:t>
            </w:r>
          </w:p>
          <w:p w14:paraId="7AF25C6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G、建设管理部门应加强对施工场地的噪声管理，施工企业也应对施工噪声进行自律，文明施工，禁止工人恶意制造噪声，避免因施工噪声产生纠纷。</w:t>
            </w:r>
          </w:p>
          <w:p w14:paraId="166ACB42">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zh-CN"/>
                <w14:textFill>
                  <w14:solidFill>
                    <w14:schemeClr w14:val="tx1"/>
                  </w14:solidFill>
                </w14:textFill>
              </w:rPr>
              <w:t>H、建设与施工单位还应与施工场地周围居民建立良好的关系，及时让他们了解施工进度及采取的降噪措施，并取得大家的共同理解。</w:t>
            </w:r>
          </w:p>
        </w:tc>
        <w:tc>
          <w:tcPr>
            <w:tcW w:w="1341" w:type="pct"/>
            <w:vAlign w:val="center"/>
          </w:tcPr>
          <w:p w14:paraId="2E7A991F">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选</w:t>
            </w:r>
            <w:r>
              <w:rPr>
                <w:rFonts w:hint="default" w:ascii="Times New Roman" w:hAnsi="Times New Roman" w:eastAsia="宋体" w:cs="Times New Roman"/>
                <w:color w:val="000000" w:themeColor="text1"/>
                <w:sz w:val="22"/>
                <w:szCs w:val="22"/>
                <w14:textFill>
                  <w14:solidFill>
                    <w14:schemeClr w14:val="tx1"/>
                  </w14:solidFill>
                </w14:textFill>
              </w:rPr>
              <w:t>用低噪声设备，合理布局，合理安排施工时间，加强管理</w:t>
            </w:r>
            <w:r>
              <w:rPr>
                <w:rFonts w:hint="default" w:ascii="Times New Roman" w:hAnsi="Times New Roman" w:eastAsia="宋体" w:cs="Times New Roman"/>
                <w:color w:val="000000" w:themeColor="text1"/>
                <w:sz w:val="22"/>
                <w:szCs w:val="22"/>
                <w:lang w:eastAsia="zh-CN"/>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合理安排施工布局，建立施工围挡</w:t>
            </w:r>
          </w:p>
        </w:tc>
        <w:tc>
          <w:tcPr>
            <w:tcW w:w="496" w:type="pct"/>
            <w:vAlign w:val="center"/>
          </w:tcPr>
          <w:p w14:paraId="57A07FC1">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1016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7DF54A62">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4CC6EDF">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w:t>
            </w:r>
          </w:p>
        </w:tc>
        <w:tc>
          <w:tcPr>
            <w:tcW w:w="2563" w:type="pct"/>
            <w:vAlign w:val="center"/>
          </w:tcPr>
          <w:p w14:paraId="3148362B">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场地污水（车辆清洗水、施工废水）经初步隔油、沉淀处理，沉淀时间不少于2h，尽可能回用于施工用水；多余废水可就地泼洒，但应注意洒水量以及洒水地点的控制，避免施工废水进入沿周围干道漫流。施工机械设备的废机油及机修时排放的废油，虽然排放量不大，但含有高浓度有机物，若倒入水体会产生严重的水体污染，必须加强管理，及时收集，严禁乱倒，防止污染水环境。</w:t>
            </w:r>
          </w:p>
          <w:p w14:paraId="056CE0A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施工人员日常生活产生的生活污水，主要污染物为COD、NH</w:t>
            </w:r>
            <w:r>
              <w:rPr>
                <w:rFonts w:hint="default" w:ascii="Times New Roman" w:hAnsi="Times New Roman" w:eastAsia="宋体" w:cs="Times New Roman"/>
                <w:color w:val="000000" w:themeColor="text1"/>
                <w:sz w:val="22"/>
                <w:szCs w:val="22"/>
                <w:vertAlign w:val="subscript"/>
                <w14:textFill>
                  <w14:solidFill>
                    <w14:schemeClr w14:val="tx1"/>
                  </w14:solidFill>
                </w14:textFill>
              </w:rPr>
              <w:t>3</w:t>
            </w:r>
            <w:r>
              <w:rPr>
                <w:rFonts w:hint="default" w:ascii="Times New Roman" w:hAnsi="Times New Roman" w:eastAsia="宋体" w:cs="Times New Roman"/>
                <w:color w:val="000000" w:themeColor="text1"/>
                <w:sz w:val="22"/>
                <w:szCs w:val="22"/>
                <w14:textFill>
                  <w14:solidFill>
                    <w14:schemeClr w14:val="tx1"/>
                  </w14:solidFill>
                </w14:textFill>
              </w:rPr>
              <w:t>-N、SS等，可通过项目区设置临时化粪池进行收集处理，用于项目区的绿化或周边农业施肥。</w:t>
            </w:r>
          </w:p>
          <w:p w14:paraId="62FC493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挖方和填方在降雨时会有大量的泥沙流入下水道，致使水体浑浊，悬浮物增多，土壤颗粒吸附的化学物质进入水体，会使水中的pH值发生变化，因此，施工单位应做好建筑材料建筑废料以及土方的管理，防止它们成为地面水的二次污染源。</w:t>
            </w:r>
          </w:p>
        </w:tc>
        <w:tc>
          <w:tcPr>
            <w:tcW w:w="1341" w:type="pct"/>
            <w:vAlign w:val="center"/>
          </w:tcPr>
          <w:p w14:paraId="65B0181A">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时，建设施工废水临时沉淀池，将废水引入池中进行沉淀处理，经过沉淀处理后的施工废水回用于混凝土搅拌用水及施工场地洒水降尘，不外排。整个项目占地及施工范围较为分散，施工场地不设置施工营地，施工人员均为周边村镇人员，主要依托周边村镇现有生活设施进行食宿，因此项目施工期无生活废水。</w:t>
            </w:r>
          </w:p>
        </w:tc>
        <w:tc>
          <w:tcPr>
            <w:tcW w:w="496" w:type="pct"/>
            <w:vAlign w:val="center"/>
          </w:tcPr>
          <w:p w14:paraId="024087B4">
            <w:pPr>
              <w:pStyle w:val="29"/>
              <w:keepNext w:val="0"/>
              <w:keepLines w:val="0"/>
              <w:pageBreakBefore w:val="0"/>
              <w:widowControl w:val="0"/>
              <w:kinsoku/>
              <w:wordWrap/>
              <w:overflowPunct/>
              <w:topLinePunct w:val="0"/>
              <w:autoSpaceDE w:val="0"/>
              <w:autoSpaceDN w:val="0"/>
              <w:bidi w:val="0"/>
              <w:spacing w:line="240" w:lineRule="auto"/>
              <w:ind w:firstLine="0" w:firstLineChars="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02596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24F4415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4BF2381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固废</w:t>
            </w:r>
          </w:p>
        </w:tc>
        <w:tc>
          <w:tcPr>
            <w:tcW w:w="2563" w:type="pct"/>
            <w:vAlign w:val="center"/>
          </w:tcPr>
          <w:p w14:paraId="69BD646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项目施工期固废主要有建筑施工和装修过程中产生的建筑垃圾、施工人员的生活垃圾以及开挖土石方。</w:t>
            </w:r>
          </w:p>
          <w:p w14:paraId="395D2B1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施工期生活垃圾集中收集后，由环卫部门定期清运至城市垃圾填埋场填埋处理。</w:t>
            </w:r>
          </w:p>
          <w:p w14:paraId="27C8F0D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工程施工过程中产生的建筑垃圾和废弃渣土应严格落实建设部《城市建筑垃圾和工程渣土管理规定》及其他相关规定和要求，妥善做好施工期间工地建筑垃圾和渣土的临时暂存、清运及综合处置工作。</w:t>
            </w:r>
          </w:p>
        </w:tc>
        <w:tc>
          <w:tcPr>
            <w:tcW w:w="1341" w:type="pct"/>
            <w:vAlign w:val="center"/>
          </w:tcPr>
          <w:p w14:paraId="136A980F">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本项目基础开挖产生的土方和建筑垃圾，作为回填材料使用。施工人员产生的生活垃圾集中收集消毒，日产日清，由环卫部门清运至城市生活垃圾填埋厂处置。施工期产生的固体废弃物对环境基本没有污染影响。</w:t>
            </w:r>
          </w:p>
        </w:tc>
        <w:tc>
          <w:tcPr>
            <w:tcW w:w="496" w:type="pct"/>
            <w:vAlign w:val="center"/>
          </w:tcPr>
          <w:p w14:paraId="03C636D9">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F37A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5" w:type="pct"/>
            <w:vMerge w:val="continue"/>
            <w:vAlign w:val="center"/>
          </w:tcPr>
          <w:p w14:paraId="5784536B">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0FBD7F4C">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w:t>
            </w:r>
          </w:p>
        </w:tc>
        <w:tc>
          <w:tcPr>
            <w:tcW w:w="2563" w:type="pct"/>
            <w:vAlign w:val="center"/>
          </w:tcPr>
          <w:p w14:paraId="384C3981">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①建设过程中产生的弃土以及施工材料临时堆场须在平整场地，并采取相应拦挡措施，禁止</w:t>
            </w:r>
            <w:r>
              <w:rPr>
                <w:rFonts w:hint="default" w:ascii="Times New Roman" w:hAnsi="Times New Roman" w:eastAsia="宋体" w:cs="Times New Roman"/>
                <w:color w:val="000000" w:themeColor="text1"/>
                <w:sz w:val="22"/>
                <w:szCs w:val="22"/>
                <w:lang w:eastAsia="zh-CN"/>
                <w14:textFill>
                  <w14:solidFill>
                    <w14:schemeClr w14:val="tx1"/>
                  </w14:solidFill>
                </w14:textFill>
              </w:rPr>
              <w:t>向其他</w:t>
            </w:r>
            <w:r>
              <w:rPr>
                <w:rFonts w:hint="default" w:ascii="Times New Roman" w:hAnsi="Times New Roman" w:eastAsia="宋体" w:cs="Times New Roman"/>
                <w:color w:val="000000" w:themeColor="text1"/>
                <w:sz w:val="22"/>
                <w:szCs w:val="22"/>
                <w14:textFill>
                  <w14:solidFill>
                    <w14:schemeClr w14:val="tx1"/>
                  </w14:solidFill>
                </w14:textFill>
              </w:rPr>
              <w:t>任何地方倾倒、堆置弃土弃渣；</w:t>
            </w:r>
          </w:p>
          <w:p w14:paraId="26F33682">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②施工期间开挖土方用于回填场地及铺设道路，其实施过程应合理衔接，尽量避免土方堆置，若需堆置则应注意土方的合理堆置，与周边道路保持一定距离；</w:t>
            </w:r>
          </w:p>
          <w:p w14:paraId="04C9E5A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③尽量避免雨季，防止突发暴雨对裸露地表冲刷造成水土流失，施工阶段遇到雨季无法施工时须采取必要的护坡措施（设临时挡墙），避免发生大面积的水土流失；</w:t>
            </w:r>
          </w:p>
          <w:p w14:paraId="4A05970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④合理安排作业时段并适时加快施工进度，施工结束应及时清理场地，按照规划对项目区域场地进行硬化、绿化、种植草木，尽量将水土流失降到最低；</w:t>
            </w:r>
          </w:p>
          <w:p w14:paraId="2A9E28D7">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⑤尽量缩小开挖面积，降低开挖面坡度，尽量做到随挖、随整、随填、随夯、随运，减少松土储量，争取各工程区挖填方充分利用，充分利用弃方。</w:t>
            </w:r>
          </w:p>
        </w:tc>
        <w:tc>
          <w:tcPr>
            <w:tcW w:w="1341" w:type="pct"/>
            <w:vAlign w:val="center"/>
          </w:tcPr>
          <w:p w14:paraId="58A31882">
            <w:pPr>
              <w:pStyle w:val="29"/>
              <w:keepNext w:val="0"/>
              <w:keepLines w:val="0"/>
              <w:pageBreakBefore w:val="0"/>
              <w:widowControl w:val="0"/>
              <w:kinsoku/>
              <w:wordWrap/>
              <w:overflowPunct/>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项目施工期采取临时水保措施，合理安排工期，合理选择施工工序，避开雨天进行地表开挖和基础施工。</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合理绿化，设置围挡</w:t>
            </w:r>
          </w:p>
        </w:tc>
        <w:tc>
          <w:tcPr>
            <w:tcW w:w="496" w:type="pct"/>
            <w:vAlign w:val="center"/>
          </w:tcPr>
          <w:p w14:paraId="2C9B93C3">
            <w:pPr>
              <w:pStyle w:val="29"/>
              <w:keepNext w:val="0"/>
              <w:keepLines w:val="0"/>
              <w:pageBreakBefore w:val="0"/>
              <w:widowControl w:val="0"/>
              <w:kinsoku/>
              <w:wordWrap/>
              <w:overflowPunct/>
              <w:topLinePunct w:val="0"/>
              <w:autoSpaceDE w:val="0"/>
              <w:autoSpaceDN w:val="0"/>
              <w:bidi w:val="0"/>
              <w:spacing w:line="240" w:lineRule="auto"/>
              <w:ind w:firstLine="0" w:firstLineChars="0"/>
              <w:textAlignment w:val="auto"/>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51F87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restart"/>
            <w:vAlign w:val="center"/>
          </w:tcPr>
          <w:p w14:paraId="441B803A">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运营期</w:t>
            </w:r>
          </w:p>
        </w:tc>
        <w:tc>
          <w:tcPr>
            <w:tcW w:w="373" w:type="pct"/>
            <w:vAlign w:val="center"/>
          </w:tcPr>
          <w:p w14:paraId="6DD7AE60">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水环境</w:t>
            </w:r>
          </w:p>
        </w:tc>
        <w:tc>
          <w:tcPr>
            <w:tcW w:w="2563" w:type="pct"/>
            <w:vAlign w:val="center"/>
          </w:tcPr>
          <w:p w14:paraId="182492C5">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1.</w:t>
            </w:r>
            <w:r>
              <w:rPr>
                <w:rFonts w:hint="default" w:ascii="Times New Roman" w:hAnsi="Times New Roman" w:eastAsia="宋体" w:cs="Times New Roman"/>
                <w:color w:val="000000" w:themeColor="text1"/>
                <w:sz w:val="22"/>
                <w:szCs w:val="22"/>
                <w:lang w:val="zh-CN" w:eastAsia="zh-CN"/>
                <w14:textFill>
                  <w14:solidFill>
                    <w14:schemeClr w14:val="tx1"/>
                  </w14:solidFill>
                </w14:textFill>
              </w:rPr>
              <w:t>员工生活污水经预处理后用于周边农业灌溉，不得直接排入自然水体。</w:t>
            </w:r>
          </w:p>
        </w:tc>
        <w:tc>
          <w:tcPr>
            <w:tcW w:w="1341" w:type="pct"/>
            <w:vAlign w:val="center"/>
          </w:tcPr>
          <w:p w14:paraId="24B814EB">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tc>
        <w:tc>
          <w:tcPr>
            <w:tcW w:w="496" w:type="pct"/>
            <w:vAlign w:val="center"/>
          </w:tcPr>
          <w:p w14:paraId="59AFEED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9DC9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5EAF7021">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5BF1D0C5">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噪声</w:t>
            </w:r>
          </w:p>
        </w:tc>
        <w:tc>
          <w:tcPr>
            <w:tcW w:w="2563" w:type="pct"/>
            <w:vAlign w:val="center"/>
          </w:tcPr>
          <w:p w14:paraId="1329F50C">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2.优先选用低噪声设备，优化升压站平面布局，落实高噪声设备减振、隔声等措施，确保场界噪声、环境敏感点声环境达标。</w:t>
            </w:r>
          </w:p>
        </w:tc>
        <w:tc>
          <w:tcPr>
            <w:tcW w:w="1341" w:type="pct"/>
            <w:vAlign w:val="center"/>
          </w:tcPr>
          <w:p w14:paraId="5E7D784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项目运营期噪声主要为变压器运行噪声，噪声经距离衰减降</w:t>
            </w:r>
          </w:p>
          <w:p w14:paraId="2D5FC25D">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低对周边环境的影响。经检测，运营期噪声满足GB12348-2008《工业企业厂界环境噪声排放标准》2类标准限值要求。</w:t>
            </w:r>
          </w:p>
        </w:tc>
        <w:tc>
          <w:tcPr>
            <w:tcW w:w="496" w:type="pct"/>
            <w:vAlign w:val="center"/>
          </w:tcPr>
          <w:p w14:paraId="1B7BB60A">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7FF98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1EB12FA7">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644856C4">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生态</w:t>
            </w:r>
          </w:p>
        </w:tc>
        <w:tc>
          <w:tcPr>
            <w:tcW w:w="2563" w:type="pct"/>
            <w:vAlign w:val="center"/>
          </w:tcPr>
          <w:p w14:paraId="7F102D03">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3.项目施工应结合项目区域地形地貌，防止大面积开挖项目施工应做好水土保持和生态恢复工作。按照边建设边恢复的原则，光伏组建安装结束后，及时进行生态修复。养殖、绿化须因地制宜，防止外来物种入侵。电站服务期满后，你公司应做好设备拆除、场地的生态恢复工作。</w:t>
            </w:r>
          </w:p>
        </w:tc>
        <w:tc>
          <w:tcPr>
            <w:tcW w:w="1341" w:type="pct"/>
            <w:vAlign w:val="center"/>
          </w:tcPr>
          <w:p w14:paraId="093424D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对太阳能电池板、场内道路、逆变器等场所周围空地进行人工绿化。保护当地的野生动物，禁止人为捕杀；禁止引入外来有害生物。</w:t>
            </w:r>
          </w:p>
        </w:tc>
        <w:tc>
          <w:tcPr>
            <w:tcW w:w="496" w:type="pct"/>
            <w:vAlign w:val="center"/>
          </w:tcPr>
          <w:p w14:paraId="3598FE50">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r w14:paraId="39F6B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5" w:type="pct"/>
            <w:vMerge w:val="continue"/>
            <w:vAlign w:val="center"/>
          </w:tcPr>
          <w:p w14:paraId="7DFFD05B">
            <w:pPr>
              <w:pStyle w:val="24"/>
              <w:keepNext w:val="0"/>
              <w:keepLines w:val="0"/>
              <w:pageBreakBefore w:val="0"/>
              <w:widowControl w:val="0"/>
              <w:kinsoku/>
              <w:wordWrap/>
              <w:overflowPunct/>
              <w:topLinePunct w:val="0"/>
              <w:autoSpaceDE w:val="0"/>
              <w:autoSpaceDN w:val="0"/>
              <w:bidi w:val="0"/>
              <w:spacing w:line="240" w:lineRule="auto"/>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p>
        </w:tc>
        <w:tc>
          <w:tcPr>
            <w:tcW w:w="373" w:type="pct"/>
            <w:vAlign w:val="center"/>
          </w:tcPr>
          <w:p w14:paraId="5C06591B">
            <w:pPr>
              <w:pStyle w:val="24"/>
              <w:keepNext w:val="0"/>
              <w:keepLines w:val="0"/>
              <w:pageBreakBefore w:val="0"/>
              <w:widowControl w:val="0"/>
              <w:kinsoku/>
              <w:wordWrap/>
              <w:overflowPunct/>
              <w:topLinePunct w:val="0"/>
              <w:autoSpaceDE w:val="0"/>
              <w:autoSpaceDN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固废</w:t>
            </w:r>
          </w:p>
        </w:tc>
        <w:tc>
          <w:tcPr>
            <w:tcW w:w="2563" w:type="pct"/>
            <w:vAlign w:val="center"/>
          </w:tcPr>
          <w:p w14:paraId="65C13E76">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440" w:firstLineChars="20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zh-CN" w:eastAsia="zh-CN"/>
                <w14:textFill>
                  <w14:solidFill>
                    <w14:schemeClr w14:val="tx1"/>
                  </w14:solidFill>
                </w14:textFill>
              </w:rPr>
              <w:t>4.规范建设危险废物暂存场所，有效收集废电池、废油等危险废物，并及时委托有资质单位处理处置。为防止事故状态下变压器油外泄，变压器下须设置事故收集油池。废光伏组件应收集暂存，由厂家回收利用，不得随意堆放丢弃。生活垃圾收集后定点存放，及时交由环卫部门清运。</w:t>
            </w:r>
          </w:p>
        </w:tc>
        <w:tc>
          <w:tcPr>
            <w:tcW w:w="1341" w:type="pct"/>
            <w:vAlign w:val="center"/>
          </w:tcPr>
          <w:p w14:paraId="72DA3029">
            <w:pPr>
              <w:pStyle w:val="25"/>
              <w:keepNext w:val="0"/>
              <w:keepLines w:val="0"/>
              <w:pageBreakBefore w:val="0"/>
              <w:widowControl w:val="0"/>
              <w:kinsoku/>
              <w:wordWrap/>
              <w:overflowPunct/>
              <w:topLinePunct w:val="0"/>
              <w:autoSpaceDE w:val="0"/>
              <w:autoSpaceDN w:val="0"/>
              <w:bidi w:val="0"/>
              <w:adjustRightInd w:val="0"/>
              <w:snapToGrid w:val="0"/>
              <w:spacing w:line="240" w:lineRule="auto"/>
              <w:ind w:left="0" w:leftChars="0"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sz w:val="22"/>
                <w:szCs w:val="22"/>
              </w:rPr>
              <w:t>废旧的光伏组件、废电池直接由设备生产厂家回收处置；废油收集后及时交有资质单位处理；生活垃圾分类收集后交环卫部门统一清运处理。</w:t>
            </w:r>
          </w:p>
        </w:tc>
        <w:tc>
          <w:tcPr>
            <w:tcW w:w="496" w:type="pct"/>
            <w:vAlign w:val="center"/>
          </w:tcPr>
          <w:p w14:paraId="7B0F1D2F">
            <w:pPr>
              <w:pStyle w:val="25"/>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2"/>
                <w:szCs w:val="22"/>
                <w:lang w:val="zh-CN"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已落实</w:t>
            </w:r>
          </w:p>
        </w:tc>
      </w:tr>
    </w:tbl>
    <w:p w14:paraId="2B043571">
      <w:pPr>
        <w:spacing w:after="0" w:line="410" w:lineRule="atLeast"/>
        <w:rPr>
          <w:rFonts w:hint="default" w:ascii="Times New Roman" w:hAnsi="Times New Roman" w:eastAsia="宋体" w:cs="Times New Roman"/>
          <w:color w:val="000000" w:themeColor="text1"/>
          <w:sz w:val="21"/>
          <w14:textFill>
            <w14:solidFill>
              <w14:schemeClr w14:val="tx1"/>
            </w14:solidFill>
          </w14:textFill>
        </w:rPr>
        <w:sectPr>
          <w:footerReference r:id="rId8" w:type="default"/>
          <w:pgSz w:w="11910" w:h="16840"/>
          <w:pgMar w:top="1457" w:right="1525" w:bottom="1457" w:left="1525" w:header="0" w:footer="1027" w:gutter="0"/>
          <w:pgBorders>
            <w:top w:val="none" w:sz="0" w:space="0"/>
            <w:left w:val="none" w:sz="0" w:space="0"/>
            <w:bottom w:val="none" w:sz="0" w:space="0"/>
            <w:right w:val="none" w:sz="0" w:space="0"/>
          </w:pgBorders>
          <w:pgNumType w:fmt="decimal"/>
          <w:cols w:space="720" w:num="1"/>
        </w:sectPr>
      </w:pPr>
    </w:p>
    <w:p w14:paraId="36C595EF">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表7</w:t>
      </w:r>
      <w:r>
        <w:rPr>
          <w:rFonts w:hint="default" w:ascii="Times New Roman" w:hAnsi="Times New Roman" w:eastAsia="宋体" w:cs="Times New Roman"/>
          <w:color w:val="000000" w:themeColor="text1"/>
          <w:lang w:val="en-US" w:eastAsia="zh-CN"/>
          <w14:textFill>
            <w14:solidFill>
              <w14:schemeClr w14:val="tx1"/>
            </w14:solidFill>
          </w14:textFill>
        </w:rPr>
        <w:t xml:space="preserve">  环境质量及污染源</w:t>
      </w:r>
      <w:r>
        <w:rPr>
          <w:rFonts w:hint="default" w:ascii="Times New Roman" w:hAnsi="Times New Roman" w:eastAsia="宋体" w:cs="Times New Roman"/>
          <w:color w:val="000000" w:themeColor="text1"/>
          <w14:textFill>
            <w14:solidFill>
              <w14:schemeClr w14:val="tx1"/>
            </w14:solidFill>
          </w14:textFill>
        </w:rPr>
        <w:t>监测</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6"/>
      </w:tblGrid>
      <w:tr w14:paraId="4426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66" w:type="dxa"/>
          </w:tcPr>
          <w:p w14:paraId="063335F0">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监测因子及监测频次</w:t>
            </w:r>
          </w:p>
          <w:p w14:paraId="4D24DF68">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监测因子：等效连续A声级dB（A）</w:t>
            </w:r>
          </w:p>
          <w:p w14:paraId="40ADB0F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监测频次：昼、夜各一次</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2天</w:t>
            </w:r>
          </w:p>
        </w:tc>
      </w:tr>
      <w:tr w14:paraId="69371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6" w:type="dxa"/>
          </w:tcPr>
          <w:p w14:paraId="31930520">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监测布点</w:t>
            </w:r>
          </w:p>
          <w:p w14:paraId="05B81A5C">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监测布点：</w:t>
            </w:r>
            <w:r>
              <w:rPr>
                <w:rFonts w:hint="default" w:ascii="Times New Roman" w:hAnsi="Times New Roman" w:eastAsia="宋体" w:cs="Times New Roman"/>
                <w:color w:val="000000" w:themeColor="text1"/>
                <w:lang w:val="en-US" w:eastAsia="zh-CN"/>
                <w14:textFill>
                  <w14:solidFill>
                    <w14:schemeClr w14:val="tx1"/>
                  </w14:solidFill>
                </w14:textFill>
              </w:rPr>
              <w:t>厂界</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敏感点</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具体见图</w:t>
            </w:r>
            <w:r>
              <w:rPr>
                <w:rFonts w:hint="default" w:ascii="Times New Roman" w:hAnsi="Times New Roman" w:eastAsia="宋体" w:cs="Times New Roman"/>
                <w:color w:val="000000" w:themeColor="text1"/>
                <w:lang w:val="en-US" w:eastAsia="zh-CN"/>
                <w14:textFill>
                  <w14:solidFill>
                    <w14:schemeClr w14:val="tx1"/>
                  </w14:solidFill>
                </w14:textFill>
              </w:rPr>
              <w:t>7-1</w:t>
            </w:r>
            <w:r>
              <w:rPr>
                <w:rFonts w:hint="default" w:ascii="Times New Roman" w:hAnsi="Times New Roman" w:eastAsia="宋体" w:cs="Times New Roman"/>
                <w:color w:val="000000" w:themeColor="text1"/>
                <w14:textFill>
                  <w14:solidFill>
                    <w14:schemeClr w14:val="tx1"/>
                  </w14:solidFill>
                </w14:textFill>
              </w:rPr>
              <w:t>。</w:t>
            </w:r>
          </w:p>
          <w:p w14:paraId="68DC7714">
            <w:pPr>
              <w:pStyle w:val="22"/>
              <w:bidi w:val="0"/>
              <w:ind w:left="0" w:leftChars="0" w:firstLine="0" w:firstLineChars="0"/>
              <w:jc w:val="cente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snapToGrid/>
                <w:color w:val="000000" w:themeColor="text1"/>
                <w:sz w:val="24"/>
                <w:szCs w:val="21"/>
                <w:lang w:val="en-US" w:eastAsia="zh-CN" w:bidi="zh-CN"/>
                <w14:textFill>
                  <w14:solidFill>
                    <w14:schemeClr w14:val="tx1"/>
                  </w14:solidFill>
                </w14:textFill>
              </w:rPr>
              <w:t>表7-1  监测信息一览表</w:t>
            </w:r>
          </w:p>
          <w:tbl>
            <w:tblPr>
              <w:tblStyle w:val="17"/>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2513"/>
              <w:gridCol w:w="2185"/>
              <w:gridCol w:w="2185"/>
            </w:tblGrid>
            <w:tr w14:paraId="5574A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17A4732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lang w:val="en-US" w:eastAsia="zh-CN"/>
                    </w:rPr>
                  </w:pPr>
                  <w:r>
                    <w:rPr>
                      <w:rFonts w:hint="default" w:ascii="Times New Roman" w:hAnsi="Times New Roman" w:eastAsia="宋体" w:cs="Times New Roman"/>
                      <w:b/>
                      <w:bCs/>
                      <w:kern w:val="0"/>
                      <w:sz w:val="22"/>
                      <w:szCs w:val="22"/>
                      <w:lang w:val="en-US" w:eastAsia="zh-CN"/>
                    </w:rPr>
                    <w:t>位置</w:t>
                  </w:r>
                </w:p>
              </w:tc>
              <w:tc>
                <w:tcPr>
                  <w:tcW w:w="1438" w:type="pct"/>
                  <w:tcBorders>
                    <w:tl2br w:val="nil"/>
                    <w:tr2bl w:val="nil"/>
                  </w:tcBorders>
                  <w:shd w:val="clear" w:color="auto" w:fill="auto"/>
                  <w:vAlign w:val="center"/>
                </w:tcPr>
                <w:p w14:paraId="37E3FEC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lang w:val="en-US" w:eastAsia="zh-CN" w:bidi="ar-SA"/>
                    </w:rPr>
                  </w:pPr>
                  <w:r>
                    <w:rPr>
                      <w:rFonts w:hint="default" w:ascii="Times New Roman" w:hAnsi="Times New Roman" w:eastAsia="宋体" w:cs="Times New Roman"/>
                      <w:b/>
                      <w:bCs/>
                      <w:kern w:val="0"/>
                      <w:sz w:val="22"/>
                      <w:szCs w:val="22"/>
                    </w:rPr>
                    <w:t>监测点位</w:t>
                  </w:r>
                </w:p>
              </w:tc>
              <w:tc>
                <w:tcPr>
                  <w:tcW w:w="1250" w:type="pct"/>
                  <w:tcBorders>
                    <w:tl2br w:val="nil"/>
                    <w:tr2bl w:val="nil"/>
                  </w:tcBorders>
                  <w:vAlign w:val="center"/>
                </w:tcPr>
                <w:p w14:paraId="3F20E1B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rPr>
                  </w:pPr>
                  <w:r>
                    <w:rPr>
                      <w:rFonts w:hint="default" w:ascii="Times New Roman" w:hAnsi="Times New Roman" w:eastAsia="宋体" w:cs="Times New Roman"/>
                      <w:b/>
                      <w:bCs/>
                      <w:kern w:val="0"/>
                      <w:sz w:val="22"/>
                      <w:szCs w:val="22"/>
                    </w:rPr>
                    <w:t>监测项目</w:t>
                  </w:r>
                </w:p>
              </w:tc>
              <w:tc>
                <w:tcPr>
                  <w:tcW w:w="1250" w:type="pct"/>
                  <w:tcBorders>
                    <w:tl2br w:val="nil"/>
                    <w:tr2bl w:val="nil"/>
                  </w:tcBorders>
                  <w:vAlign w:val="center"/>
                </w:tcPr>
                <w:p w14:paraId="0257330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kern w:val="0"/>
                      <w:sz w:val="22"/>
                      <w:szCs w:val="22"/>
                    </w:rPr>
                  </w:pPr>
                  <w:r>
                    <w:rPr>
                      <w:rFonts w:hint="default" w:ascii="Times New Roman" w:hAnsi="Times New Roman" w:eastAsia="宋体" w:cs="Times New Roman"/>
                      <w:b/>
                      <w:bCs/>
                      <w:kern w:val="0"/>
                      <w:sz w:val="22"/>
                      <w:szCs w:val="22"/>
                    </w:rPr>
                    <w:t>监测频次</w:t>
                  </w:r>
                </w:p>
              </w:tc>
            </w:tr>
            <w:tr w14:paraId="44A14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1704A55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北侧光伏区</w:t>
                  </w:r>
                </w:p>
              </w:tc>
              <w:tc>
                <w:tcPr>
                  <w:tcW w:w="1438" w:type="pct"/>
                  <w:tcBorders>
                    <w:tl2br w:val="nil"/>
                    <w:tr2bl w:val="nil"/>
                  </w:tcBorders>
                  <w:shd w:val="clear" w:color="auto" w:fill="auto"/>
                  <w:vAlign w:val="center"/>
                </w:tcPr>
                <w:p w14:paraId="74D4910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vAlign w:val="center"/>
                </w:tcPr>
                <w:p w14:paraId="0168272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11BC63B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r w14:paraId="4847E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0F36D08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南侧光伏区</w:t>
                  </w:r>
                </w:p>
              </w:tc>
              <w:tc>
                <w:tcPr>
                  <w:tcW w:w="1438" w:type="pct"/>
                  <w:tcBorders>
                    <w:tl2br w:val="nil"/>
                    <w:tr2bl w:val="nil"/>
                  </w:tcBorders>
                  <w:vAlign w:val="center"/>
                </w:tcPr>
                <w:p w14:paraId="022F320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vAlign w:val="center"/>
                </w:tcPr>
                <w:p w14:paraId="672806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61ED7C4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r w14:paraId="0709F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69D5FBF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tc>
              <w:tc>
                <w:tcPr>
                  <w:tcW w:w="1438" w:type="pct"/>
                  <w:tcBorders>
                    <w:tl2br w:val="nil"/>
                    <w:tr2bl w:val="nil"/>
                  </w:tcBorders>
                  <w:vAlign w:val="center"/>
                </w:tcPr>
                <w:p w14:paraId="3643BB6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东、南、西、北厂界外1m处各布设1个噪声</w:t>
                  </w:r>
                  <w:r>
                    <w:rPr>
                      <w:rFonts w:hint="default" w:ascii="Times New Roman" w:hAnsi="Times New Roman" w:eastAsia="宋体" w:cs="Times New Roman"/>
                      <w:kern w:val="0"/>
                      <w:sz w:val="22"/>
                      <w:szCs w:val="22"/>
                      <w:lang w:eastAsia="zh-CN"/>
                    </w:rPr>
                    <w:t>检测点</w:t>
                  </w:r>
                  <w:r>
                    <w:rPr>
                      <w:rFonts w:hint="default" w:ascii="Times New Roman" w:hAnsi="Times New Roman" w:eastAsia="宋体" w:cs="Times New Roman"/>
                      <w:kern w:val="0"/>
                      <w:sz w:val="22"/>
                      <w:szCs w:val="22"/>
                    </w:rPr>
                    <w:t>，共4个监测点</w:t>
                  </w:r>
                </w:p>
              </w:tc>
              <w:tc>
                <w:tcPr>
                  <w:tcW w:w="1250" w:type="pct"/>
                  <w:tcBorders>
                    <w:tl2br w:val="nil"/>
                    <w:tr2bl w:val="nil"/>
                  </w:tcBorders>
                  <w:shd w:val="clear" w:color="auto" w:fill="auto"/>
                  <w:vAlign w:val="center"/>
                </w:tcPr>
                <w:p w14:paraId="045F7BB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shd w:val="clear" w:color="auto" w:fill="auto"/>
                  <w:vAlign w:val="center"/>
                </w:tcPr>
                <w:p w14:paraId="16E8DCB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rPr>
                    <w:t>昼、夜各2次/天，连续监测2天</w:t>
                  </w:r>
                </w:p>
              </w:tc>
            </w:tr>
            <w:tr w14:paraId="0E135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61" w:type="pct"/>
                  <w:tcBorders>
                    <w:tl2br w:val="nil"/>
                    <w:tr2bl w:val="nil"/>
                  </w:tcBorders>
                  <w:vAlign w:val="center"/>
                </w:tcPr>
                <w:p w14:paraId="7B16F84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敏感点</w:t>
                  </w:r>
                </w:p>
              </w:tc>
              <w:tc>
                <w:tcPr>
                  <w:tcW w:w="1438" w:type="pct"/>
                  <w:tcBorders>
                    <w:tl2br w:val="nil"/>
                    <w:tr2bl w:val="nil"/>
                  </w:tcBorders>
                  <w:vAlign w:val="center"/>
                </w:tcPr>
                <w:p w14:paraId="3711703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刘集镇，</w:t>
                  </w:r>
                  <w:r>
                    <w:rPr>
                      <w:rFonts w:hint="default" w:ascii="Times New Roman" w:hAnsi="Times New Roman" w:eastAsia="宋体" w:cs="Times New Roman"/>
                      <w:kern w:val="0"/>
                      <w:sz w:val="22"/>
                      <w:szCs w:val="22"/>
                    </w:rPr>
                    <w:t>共</w:t>
                  </w:r>
                  <w:r>
                    <w:rPr>
                      <w:rFonts w:hint="default" w:ascii="Times New Roman" w:hAnsi="Times New Roman" w:eastAsia="宋体" w:cs="Times New Roman"/>
                      <w:kern w:val="0"/>
                      <w:sz w:val="22"/>
                      <w:szCs w:val="22"/>
                      <w:lang w:val="en-US" w:eastAsia="zh-CN"/>
                    </w:rPr>
                    <w:t>1</w:t>
                  </w:r>
                  <w:r>
                    <w:rPr>
                      <w:rFonts w:hint="default" w:ascii="Times New Roman" w:hAnsi="Times New Roman" w:eastAsia="宋体" w:cs="Times New Roman"/>
                      <w:kern w:val="0"/>
                      <w:sz w:val="22"/>
                      <w:szCs w:val="22"/>
                    </w:rPr>
                    <w:t>个监测点</w:t>
                  </w:r>
                </w:p>
              </w:tc>
              <w:tc>
                <w:tcPr>
                  <w:tcW w:w="1250" w:type="pct"/>
                  <w:tcBorders>
                    <w:tl2br w:val="nil"/>
                    <w:tr2bl w:val="nil"/>
                  </w:tcBorders>
                  <w:vAlign w:val="center"/>
                </w:tcPr>
                <w:p w14:paraId="2CE33DD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昼、夜等效A声级（Leq）</w:t>
                  </w:r>
                </w:p>
              </w:tc>
              <w:tc>
                <w:tcPr>
                  <w:tcW w:w="1250" w:type="pct"/>
                  <w:tcBorders>
                    <w:tl2br w:val="nil"/>
                    <w:tr2bl w:val="nil"/>
                  </w:tcBorders>
                  <w:vAlign w:val="center"/>
                </w:tcPr>
                <w:p w14:paraId="436E7D6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kern w:val="0"/>
                      <w:sz w:val="22"/>
                      <w:szCs w:val="22"/>
                    </w:rPr>
                  </w:pPr>
                  <w:r>
                    <w:rPr>
                      <w:rFonts w:hint="default" w:ascii="Times New Roman" w:hAnsi="Times New Roman" w:eastAsia="宋体" w:cs="Times New Roman"/>
                      <w:kern w:val="0"/>
                      <w:sz w:val="22"/>
                      <w:szCs w:val="22"/>
                    </w:rPr>
                    <w:t>昼、夜各2次/天，连续监测2天</w:t>
                  </w:r>
                </w:p>
              </w:tc>
            </w:tr>
          </w:tbl>
          <w:p w14:paraId="11D3588F">
            <w:pPr>
              <w:pStyle w:val="22"/>
              <w:bidi w:val="0"/>
              <w:ind w:left="0" w:leftChars="0" w:firstLine="0" w:firstLineChars="0"/>
              <w:rPr>
                <w:rFonts w:hint="default" w:ascii="Times New Roman" w:hAnsi="Times New Roman" w:eastAsia="宋体" w:cs="Times New Roman"/>
                <w:color w:val="000000" w:themeColor="text1"/>
                <w:lang w:val="en-US" w:eastAsia="zh-CN"/>
                <w14:textFill>
                  <w14:solidFill>
                    <w14:schemeClr w14:val="tx1"/>
                  </w14:solidFill>
                </w14:textFill>
              </w:rPr>
            </w:pPr>
          </w:p>
        </w:tc>
      </w:tr>
      <w:tr w14:paraId="4369B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66" w:type="dxa"/>
          </w:tcPr>
          <w:p w14:paraId="71C1DC08">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监测单位、监测时间、监测环境条件</w:t>
            </w:r>
          </w:p>
          <w:p w14:paraId="573964C6">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监测单位：</w:t>
            </w:r>
            <w:r>
              <w:rPr>
                <w:rFonts w:hint="default" w:ascii="Times New Roman" w:hAnsi="Times New Roman" w:eastAsia="宋体" w:cs="Times New Roman"/>
                <w:color w:val="000000" w:themeColor="text1"/>
                <w:lang w:val="en-US" w:eastAsia="zh-CN"/>
                <w14:textFill>
                  <w14:solidFill>
                    <w14:schemeClr w14:val="tx1"/>
                  </w14:solidFill>
                </w14:textFill>
              </w:rPr>
              <w:t>安徽鑫程检测科技有限公司</w:t>
            </w:r>
          </w:p>
          <w:p w14:paraId="588A477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监测时间：202</w:t>
            </w:r>
            <w:r>
              <w:rPr>
                <w:rFonts w:hint="default" w:ascii="Times New Roman" w:hAnsi="Times New Roman" w:eastAsia="宋体"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年</w:t>
            </w:r>
            <w:r>
              <w:rPr>
                <w:rFonts w:hint="default" w:ascii="Times New Roman" w:hAnsi="Times New Roman" w:eastAsia="宋体"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月</w:t>
            </w:r>
            <w:r>
              <w:rPr>
                <w:rFonts w:hint="default" w:ascii="Times New Roman" w:hAnsi="Times New Roman" w:eastAsia="宋体" w:cs="Times New Roman"/>
                <w:color w:val="000000" w:themeColor="text1"/>
                <w:lang w:val="en-US" w:eastAsia="zh-CN"/>
                <w14:textFill>
                  <w14:solidFill>
                    <w14:schemeClr w14:val="tx1"/>
                  </w14:solidFill>
                </w14:textFill>
              </w:rPr>
              <w:t>26</w:t>
            </w:r>
            <w:r>
              <w:rPr>
                <w:rFonts w:hint="default" w:ascii="Times New Roman" w:hAnsi="Times New Roman" w:eastAsia="宋体" w:cs="Times New Roman"/>
                <w:color w:val="000000" w:themeColor="text1"/>
                <w14:textFill>
                  <w14:solidFill>
                    <w14:schemeClr w14:val="tx1"/>
                  </w14:solidFill>
                </w14:textFill>
              </w:rPr>
              <w:t>日</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3</w:t>
            </w:r>
            <w:r>
              <w:rPr>
                <w:rFonts w:hint="default" w:ascii="Times New Roman" w:hAnsi="Times New Roman" w:eastAsia="宋体" w:cs="Times New Roman"/>
                <w:color w:val="000000" w:themeColor="text1"/>
                <w14:textFill>
                  <w14:solidFill>
                    <w14:schemeClr w14:val="tx1"/>
                  </w14:solidFill>
                </w14:textFill>
              </w:rPr>
              <w:t>月</w:t>
            </w:r>
            <w:r>
              <w:rPr>
                <w:rFonts w:hint="default" w:ascii="Times New Roman" w:hAnsi="Times New Roman" w:eastAsia="宋体" w:cs="Times New Roman"/>
                <w:color w:val="000000" w:themeColor="text1"/>
                <w:lang w:val="en-US" w:eastAsia="zh-CN"/>
                <w14:textFill>
                  <w14:solidFill>
                    <w14:schemeClr w14:val="tx1"/>
                  </w14:solidFill>
                </w14:textFill>
              </w:rPr>
              <w:t>27</w:t>
            </w:r>
            <w:r>
              <w:rPr>
                <w:rFonts w:hint="default" w:ascii="Times New Roman" w:hAnsi="Times New Roman" w:eastAsia="宋体" w:cs="Times New Roman"/>
                <w:color w:val="000000" w:themeColor="text1"/>
                <w14:textFill>
                  <w14:solidFill>
                    <w14:schemeClr w14:val="tx1"/>
                  </w14:solidFill>
                </w14:textFill>
              </w:rPr>
              <w:t>日</w:t>
            </w:r>
          </w:p>
          <w:p w14:paraId="76B5EE07">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监测环境条件：</w:t>
            </w:r>
          </w:p>
          <w:p w14:paraId="77DB81F8">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202</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-03-26昼间天气晴，风速1.1m/s；夜间天气阴，风速2.3m/s；</w:t>
            </w:r>
          </w:p>
          <w:p w14:paraId="6BF585B0">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202</w:t>
            </w:r>
            <w:r>
              <w:rPr>
                <w:rFonts w:hint="eastAsia" w:cs="Times New Roman"/>
                <w:color w:val="000000" w:themeColor="text1"/>
                <w:lang w:val="en-US" w:eastAsia="zh-CN"/>
                <w14:textFill>
                  <w14:solidFill>
                    <w14:schemeClr w14:val="tx1"/>
                  </w14:solidFill>
                </w14:textFill>
              </w:rPr>
              <w:t>5</w:t>
            </w:r>
            <w:r>
              <w:rPr>
                <w:rFonts w:hint="default" w:ascii="Times New Roman" w:hAnsi="Times New Roman" w:eastAsia="宋体" w:cs="Times New Roman"/>
                <w:color w:val="000000" w:themeColor="text1"/>
                <w14:textFill>
                  <w14:solidFill>
                    <w14:schemeClr w14:val="tx1"/>
                  </w14:solidFill>
                </w14:textFill>
              </w:rPr>
              <w:t>-03-27昼间天气晴，风速1.2m/s；夜间天气阴，风速2.2m/s。</w:t>
            </w:r>
          </w:p>
        </w:tc>
      </w:tr>
      <w:tr w14:paraId="6143C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8966" w:type="dxa"/>
          </w:tcPr>
          <w:p w14:paraId="41B7969B">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监测仪器及工况</w:t>
            </w:r>
          </w:p>
          <w:p w14:paraId="48FF936A">
            <w:pPr>
              <w:pStyle w:val="22"/>
              <w:bidi w:val="0"/>
              <w:rPr>
                <w:rFonts w:hint="default" w:ascii="Times New Roman" w:hAnsi="Times New Roman" w:eastAsia="宋体" w:cs="Times New Roman"/>
                <w:color w:val="000000" w:themeColor="text1"/>
                <w:sz w:val="24"/>
                <w:shd w:val="clear" w:color="auto" w:fill="auto"/>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环境噪声：多功能声级计器AWA5688多功能声级计/</w:t>
            </w:r>
            <w:r>
              <w:rPr>
                <w:rFonts w:hint="default" w:ascii="Times New Roman" w:hAnsi="Times New Roman" w:eastAsia="宋体" w:cs="Times New Roman"/>
                <w:color w:val="000000" w:themeColor="text1"/>
                <w14:textFill>
                  <w14:solidFill>
                    <w14:schemeClr w14:val="tx1"/>
                  </w14:solidFill>
                </w14:textFill>
              </w:rPr>
              <w:t>声校准器</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sz w:val="24"/>
                <w:shd w:val="clear" w:color="auto" w:fill="auto"/>
                <w:lang w:val="en-US" w:eastAsia="zh-CN"/>
                <w14:textFill>
                  <w14:solidFill>
                    <w14:schemeClr w14:val="tx1"/>
                  </w14:solidFill>
                </w14:textFill>
              </w:rPr>
              <w:t>具体见下表。</w:t>
            </w:r>
          </w:p>
          <w:p w14:paraId="377EF1B8">
            <w:pPr>
              <w:pStyle w:val="27"/>
              <w:bidi w:val="0"/>
              <w:rPr>
                <w:rFonts w:hint="default" w:ascii="Times New Roman" w:hAnsi="Times New Roman" w:eastAsia="宋体" w:cs="Times New Roman"/>
                <w:b/>
                <w:bCs/>
                <w:color w:val="000000" w:themeColor="text1"/>
                <w:sz w:val="24"/>
                <w:szCs w:val="21"/>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4"/>
                <w:szCs w:val="21"/>
                <w:lang w:val="en-US" w:eastAsia="zh-CN" w:bidi="zh-CN"/>
                <w14:textFill>
                  <w14:solidFill>
                    <w14:schemeClr w14:val="tx1"/>
                  </w14:solidFill>
                </w14:textFill>
              </w:rPr>
              <w:t>表7-2  声环境现状检测仪器信息一览表</w:t>
            </w:r>
          </w:p>
          <w:tbl>
            <w:tblPr>
              <w:tblStyle w:val="16"/>
              <w:tblW w:w="88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8"/>
              <w:gridCol w:w="2991"/>
              <w:gridCol w:w="1859"/>
              <w:gridCol w:w="1811"/>
            </w:tblGrid>
            <w:tr w14:paraId="7646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3" w:type="pct"/>
                  <w:noWrap w:val="0"/>
                  <w:vAlign w:val="center"/>
                </w:tcPr>
                <w:p w14:paraId="0FFB7F8A">
                  <w:pPr>
                    <w:pStyle w:val="24"/>
                    <w:bidi w:val="0"/>
                    <w:rPr>
                      <w:rFonts w:hint="default" w:ascii="Times New Roman" w:hAnsi="Times New Roman" w:eastAsia="宋体" w:cs="Times New Roman"/>
                      <w:color w:val="000000" w:themeColor="text1"/>
                      <w:sz w:val="22"/>
                      <w:szCs w:val="22"/>
                      <w:lang w:val="en-US"/>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检测仪器</w:t>
                  </w:r>
                  <w:r>
                    <w:rPr>
                      <w:rFonts w:hint="default" w:ascii="Times New Roman" w:hAnsi="Times New Roman" w:eastAsia="宋体" w:cs="Times New Roman"/>
                      <w:color w:val="000000" w:themeColor="text1"/>
                      <w:sz w:val="22"/>
                      <w:szCs w:val="22"/>
                      <w14:textFill>
                        <w14:solidFill>
                          <w14:schemeClr w14:val="tx1"/>
                        </w14:solidFill>
                      </w14:textFill>
                    </w:rPr>
                    <w:t>名称</w:t>
                  </w:r>
                </w:p>
              </w:tc>
              <w:tc>
                <w:tcPr>
                  <w:tcW w:w="1695" w:type="pct"/>
                  <w:noWrap w:val="0"/>
                  <w:vAlign w:val="center"/>
                </w:tcPr>
                <w:p w14:paraId="5CD79767">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设备主要参数</w:t>
                  </w:r>
                </w:p>
              </w:tc>
              <w:tc>
                <w:tcPr>
                  <w:tcW w:w="1053" w:type="pct"/>
                  <w:noWrap w:val="0"/>
                  <w:vAlign w:val="center"/>
                </w:tcPr>
                <w:p w14:paraId="0D603071">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校准/检定单位</w:t>
                  </w:r>
                </w:p>
              </w:tc>
              <w:tc>
                <w:tcPr>
                  <w:tcW w:w="1026" w:type="pct"/>
                  <w:noWrap w:val="0"/>
                  <w:vAlign w:val="center"/>
                </w:tcPr>
                <w:p w14:paraId="384EA2DE">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证书编号</w:t>
                  </w:r>
                </w:p>
              </w:tc>
            </w:tr>
            <w:tr w14:paraId="008A6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3" w:type="pct"/>
                  <w:noWrap w:val="0"/>
                  <w:vAlign w:val="center"/>
                </w:tcPr>
                <w:p w14:paraId="56613527">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多功能声级计/AWA5688、声校准器/AWA6022A型、便携式风向风速仪PLC-16025</w:t>
                  </w:r>
                </w:p>
              </w:tc>
              <w:tc>
                <w:tcPr>
                  <w:tcW w:w="1695" w:type="pct"/>
                  <w:noWrap w:val="0"/>
                  <w:vAlign w:val="center"/>
                </w:tcPr>
                <w:p w14:paraId="7D8C8E9D">
                  <w:pPr>
                    <w:pStyle w:val="24"/>
                    <w:bidi w:val="0"/>
                    <w:rPr>
                      <w:rFonts w:hint="default" w:ascii="Times New Roman" w:hAnsi="Times New Roman" w:eastAsia="宋体" w:cs="Times New Roman"/>
                      <w:color w:val="000000" w:themeColor="text1"/>
                      <w:sz w:val="22"/>
                      <w:szCs w:val="22"/>
                      <w:lang w:val="en-US"/>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量程范围：5dB(A)~130dB(A)</w:t>
                  </w:r>
                </w:p>
                <w:p w14:paraId="6FDD0281">
                  <w:pPr>
                    <w:pStyle w:val="24"/>
                    <w:bidi w:val="0"/>
                    <w:rPr>
                      <w:rFonts w:hint="default" w:ascii="Times New Roman" w:hAnsi="Times New Roman" w:eastAsia="宋体" w:cs="Times New Roman"/>
                      <w:color w:val="000000" w:themeColor="text1"/>
                      <w:sz w:val="22"/>
                      <w:szCs w:val="22"/>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频率</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范围</w:t>
                  </w:r>
                  <w:r>
                    <w:rPr>
                      <w:rFonts w:hint="default" w:ascii="Times New Roman" w:hAnsi="Times New Roman" w:eastAsia="宋体" w:cs="Times New Roman"/>
                      <w:color w:val="000000" w:themeColor="text1"/>
                      <w:sz w:val="22"/>
                      <w:szCs w:val="22"/>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0</w:t>
                  </w:r>
                  <w:r>
                    <w:rPr>
                      <w:rFonts w:hint="default" w:ascii="Times New Roman" w:hAnsi="Times New Roman" w:eastAsia="宋体" w:cs="Times New Roman"/>
                      <w:color w:val="000000" w:themeColor="text1"/>
                      <w:sz w:val="22"/>
                      <w:szCs w:val="22"/>
                      <w14:textFill>
                        <w14:solidFill>
                          <w14:schemeClr w14:val="tx1"/>
                        </w14:solidFill>
                      </w14:textFill>
                    </w:rPr>
                    <w:t>Hz~</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51.2k</w:t>
                  </w:r>
                  <w:r>
                    <w:rPr>
                      <w:rFonts w:hint="default" w:ascii="Times New Roman" w:hAnsi="Times New Roman" w:eastAsia="宋体" w:cs="Times New Roman"/>
                      <w:color w:val="000000" w:themeColor="text1"/>
                      <w:sz w:val="22"/>
                      <w:szCs w:val="22"/>
                      <w14:textFill>
                        <w14:solidFill>
                          <w14:schemeClr w14:val="tx1"/>
                        </w14:solidFill>
                      </w14:textFill>
                    </w:rPr>
                    <w:t>Hz</w:t>
                  </w:r>
                </w:p>
                <w:p w14:paraId="3981F5F2">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量程范围：94dB(A)</w:t>
                  </w:r>
                </w:p>
                <w:p w14:paraId="7BB75F71">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14:textFill>
                        <w14:solidFill>
                          <w14:schemeClr w14:val="tx1"/>
                        </w14:solidFill>
                      </w14:textFill>
                    </w:rPr>
                    <w:t>频率</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范围</w:t>
                  </w:r>
                  <w:r>
                    <w:rPr>
                      <w:rFonts w:hint="default" w:ascii="Times New Roman" w:hAnsi="Times New Roman" w:eastAsia="宋体" w:cs="Times New Roman"/>
                      <w:color w:val="000000" w:themeColor="text1"/>
                      <w:sz w:val="22"/>
                      <w:szCs w:val="22"/>
                      <w14:textFill>
                        <w14:solidFill>
                          <w14:schemeClr w14:val="tx1"/>
                        </w14:solidFill>
                      </w14:textFill>
                    </w:rPr>
                    <w:t>：</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1k</w:t>
                  </w:r>
                  <w:r>
                    <w:rPr>
                      <w:rFonts w:hint="default" w:ascii="Times New Roman" w:hAnsi="Times New Roman" w:eastAsia="宋体" w:cs="Times New Roman"/>
                      <w:color w:val="000000" w:themeColor="text1"/>
                      <w:sz w:val="22"/>
                      <w:szCs w:val="22"/>
                      <w14:textFill>
                        <w14:solidFill>
                          <w14:schemeClr w14:val="tx1"/>
                        </w14:solidFill>
                      </w14:textFill>
                    </w:rPr>
                    <w:t>Hz</w:t>
                  </w:r>
                </w:p>
              </w:tc>
              <w:tc>
                <w:tcPr>
                  <w:tcW w:w="1053" w:type="pct"/>
                  <w:noWrap w:val="0"/>
                  <w:vAlign w:val="center"/>
                </w:tcPr>
                <w:p w14:paraId="4D7E5753">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安徽省科学计量研究院</w:t>
                  </w:r>
                </w:p>
              </w:tc>
              <w:tc>
                <w:tcPr>
                  <w:tcW w:w="1026" w:type="pct"/>
                  <w:noWrap w:val="0"/>
                  <w:vAlign w:val="center"/>
                </w:tcPr>
                <w:p w14:paraId="259EC9B6">
                  <w:pPr>
                    <w:pStyle w:val="24"/>
                    <w:bidi w:val="0"/>
                    <w:rPr>
                      <w:rFonts w:hint="default" w:ascii="Times New Roman" w:hAnsi="Times New Roman" w:eastAsia="宋体" w:cs="Times New Roman"/>
                      <w:color w:val="000000" w:themeColor="text1"/>
                      <w:sz w:val="22"/>
                      <w:szCs w:val="22"/>
                      <w:lang w:val="en-US" w:eastAsia="zh-CN"/>
                      <w14:textFill>
                        <w14:solidFill>
                          <w14:schemeClr w14:val="tx1"/>
                        </w14:solidFill>
                      </w14:textFill>
                    </w:rPr>
                  </w:pPr>
                  <w:r>
                    <w:rPr>
                      <w:rFonts w:hint="default" w:ascii="Times New Roman" w:hAnsi="Times New Roman" w:eastAsia="宋体" w:cs="Times New Roman"/>
                      <w:color w:val="000000" w:themeColor="text1"/>
                      <w:sz w:val="22"/>
                      <w:szCs w:val="22"/>
                      <w:lang w:val="en-US" w:eastAsia="zh-CN"/>
                      <w14:textFill>
                        <w14:solidFill>
                          <w14:schemeClr w14:val="tx1"/>
                        </w14:solidFill>
                      </w14:textFill>
                    </w:rPr>
                    <w:t>有效期2024年9月10日至</w:t>
                  </w:r>
                  <w:r>
                    <w:rPr>
                      <w:rFonts w:hint="default" w:ascii="Times New Roman" w:hAnsi="Times New Roman" w:eastAsia="宋体" w:cs="Times New Roman"/>
                      <w:color w:val="000000" w:themeColor="text1"/>
                      <w:sz w:val="22"/>
                      <w:szCs w:val="22"/>
                      <w14:textFill>
                        <w14:solidFill>
                          <w14:schemeClr w14:val="tx1"/>
                        </w14:solidFill>
                      </w14:textFill>
                    </w:rPr>
                    <w:t>20</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25</w:t>
                  </w:r>
                  <w:r>
                    <w:rPr>
                      <w:rFonts w:hint="default" w:ascii="Times New Roman" w:hAnsi="Times New Roman" w:eastAsia="宋体" w:cs="Times New Roman"/>
                      <w:color w:val="000000" w:themeColor="text1"/>
                      <w:sz w:val="22"/>
                      <w:szCs w:val="22"/>
                      <w14:textFill>
                        <w14:solidFill>
                          <w14:schemeClr w14:val="tx1"/>
                        </w14:solidFill>
                      </w14:textFill>
                    </w:rPr>
                    <w:t>年</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9</w:t>
                  </w:r>
                  <w:r>
                    <w:rPr>
                      <w:rFonts w:hint="default" w:ascii="Times New Roman" w:hAnsi="Times New Roman" w:eastAsia="宋体" w:cs="Times New Roman"/>
                      <w:color w:val="000000" w:themeColor="text1"/>
                      <w:sz w:val="22"/>
                      <w:szCs w:val="22"/>
                      <w14:textFill>
                        <w14:solidFill>
                          <w14:schemeClr w14:val="tx1"/>
                        </w14:solidFill>
                      </w14:textFill>
                    </w:rPr>
                    <w:t>月</w:t>
                  </w:r>
                  <w:r>
                    <w:rPr>
                      <w:rFonts w:hint="default" w:ascii="Times New Roman" w:hAnsi="Times New Roman" w:eastAsia="宋体" w:cs="Times New Roman"/>
                      <w:color w:val="000000" w:themeColor="text1"/>
                      <w:sz w:val="22"/>
                      <w:szCs w:val="22"/>
                      <w:lang w:val="en-US" w:eastAsia="zh-CN"/>
                      <w14:textFill>
                        <w14:solidFill>
                          <w14:schemeClr w14:val="tx1"/>
                        </w14:solidFill>
                      </w14:textFill>
                    </w:rPr>
                    <w:t>9日</w:t>
                  </w:r>
                </w:p>
              </w:tc>
            </w:tr>
          </w:tbl>
          <w:p w14:paraId="2522E3F5">
            <w:pPr>
              <w:pStyle w:val="22"/>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运行工况</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本次监测期间运行正常，工况满足验收监测要求。</w:t>
            </w:r>
          </w:p>
        </w:tc>
      </w:tr>
      <w:tr w14:paraId="3F1F5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1" w:hRule="atLeast"/>
        </w:trPr>
        <w:tc>
          <w:tcPr>
            <w:tcW w:w="8966" w:type="dxa"/>
          </w:tcPr>
          <w:p w14:paraId="5C145BD5">
            <w:pPr>
              <w:pStyle w:val="22"/>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监测结果分析</w:t>
            </w:r>
          </w:p>
          <w:p w14:paraId="3E6ADA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4"/>
                <w:lang w:val="en-US"/>
                <w14:textFill>
                  <w14:solidFill>
                    <w14:schemeClr w14:val="tx1"/>
                  </w14:solidFill>
                </w14:textFill>
              </w:rPr>
            </w:pPr>
            <w:r>
              <w:rPr>
                <w:rFonts w:hint="default" w:ascii="Times New Roman" w:hAnsi="Times New Roman" w:eastAsia="宋体" w:cs="Times New Roman"/>
                <w:b/>
                <w:bCs/>
                <w:color w:val="000000" w:themeColor="text1"/>
                <w:sz w:val="24"/>
                <w:lang w:val="en-US"/>
                <w14:textFill>
                  <w14:solidFill>
                    <w14:schemeClr w14:val="tx1"/>
                  </w14:solidFill>
                </w14:textFill>
              </w:rPr>
              <w:t>表</w:t>
            </w:r>
            <w:r>
              <w:rPr>
                <w:rFonts w:hint="default" w:ascii="Times New Roman" w:hAnsi="Times New Roman" w:eastAsia="宋体" w:cs="Times New Roman"/>
                <w:b/>
                <w:bCs/>
                <w:color w:val="000000" w:themeColor="text1"/>
                <w:sz w:val="24"/>
                <w:lang w:val="en-US" w:eastAsia="zh-CN"/>
                <w14:textFill>
                  <w14:solidFill>
                    <w14:schemeClr w14:val="tx1"/>
                  </w14:solidFill>
                </w14:textFill>
              </w:rPr>
              <w:t>7-3  本工程噪声检测</w:t>
            </w:r>
            <w:r>
              <w:rPr>
                <w:rFonts w:hint="default" w:ascii="Times New Roman" w:hAnsi="Times New Roman" w:eastAsia="宋体" w:cs="Times New Roman"/>
                <w:b/>
                <w:bCs/>
                <w:color w:val="000000" w:themeColor="text1"/>
                <w:sz w:val="24"/>
                <w:lang w:val="en-US"/>
                <w14:textFill>
                  <w14:solidFill>
                    <w14:schemeClr w14:val="tx1"/>
                  </w14:solidFill>
                </w14:textFill>
              </w:rPr>
              <w:t>结果</w:t>
            </w:r>
          </w:p>
          <w:tbl>
            <w:tblPr>
              <w:tblStyle w:val="16"/>
              <w:tblW w:w="87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1430"/>
              <w:gridCol w:w="1301"/>
              <w:gridCol w:w="1359"/>
              <w:gridCol w:w="1360"/>
              <w:gridCol w:w="1359"/>
              <w:gridCol w:w="1360"/>
            </w:tblGrid>
            <w:tr w14:paraId="7A26C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dxa"/>
                  <w:vMerge w:val="restart"/>
                  <w:tcBorders>
                    <w:tl2br w:val="nil"/>
                    <w:tr2bl w:val="nil"/>
                  </w:tcBorders>
                  <w:noWrap w:val="0"/>
                  <w:vAlign w:val="center"/>
                </w:tcPr>
                <w:p w14:paraId="3495844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eastAsia="zh-CN"/>
                    </w:rPr>
                  </w:pPr>
                  <w:r>
                    <w:rPr>
                      <w:rFonts w:hint="default" w:ascii="Times New Roman" w:hAnsi="Times New Roman" w:eastAsia="宋体" w:cs="Times New Roman"/>
                      <w:color w:val="000000"/>
                      <w:sz w:val="22"/>
                      <w:szCs w:val="22"/>
                    </w:rPr>
                    <w:t>测点号</w:t>
                  </w:r>
                </w:p>
              </w:tc>
              <w:tc>
                <w:tcPr>
                  <w:tcW w:w="1430" w:type="dxa"/>
                  <w:vMerge w:val="restart"/>
                  <w:tcBorders>
                    <w:tl2br w:val="nil"/>
                    <w:tr2bl w:val="nil"/>
                  </w:tcBorders>
                  <w:noWrap w:val="0"/>
                  <w:vAlign w:val="center"/>
                </w:tcPr>
                <w:p w14:paraId="19FA6F1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测点</w:t>
                  </w:r>
                </w:p>
                <w:p w14:paraId="786B10A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val="en-US" w:eastAsia="zh-CN"/>
                    </w:rPr>
                  </w:pPr>
                  <w:r>
                    <w:rPr>
                      <w:rFonts w:hint="default" w:ascii="Times New Roman" w:hAnsi="Times New Roman" w:eastAsia="宋体" w:cs="Times New Roman"/>
                      <w:sz w:val="22"/>
                      <w:szCs w:val="22"/>
                      <w:lang w:val="en-US" w:eastAsia="zh-CN"/>
                    </w:rPr>
                    <w:t>位置</w:t>
                  </w:r>
                </w:p>
              </w:tc>
              <w:tc>
                <w:tcPr>
                  <w:tcW w:w="1301" w:type="dxa"/>
                  <w:vMerge w:val="restart"/>
                  <w:tcBorders>
                    <w:tl2br w:val="nil"/>
                    <w:tr2bl w:val="nil"/>
                  </w:tcBorders>
                  <w:noWrap w:val="0"/>
                  <w:vAlign w:val="center"/>
                </w:tcPr>
                <w:p w14:paraId="7A81A721">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sz w:val="22"/>
                      <w:szCs w:val="22"/>
                      <w:lang w:eastAsia="zh-CN"/>
                    </w:rPr>
                  </w:pPr>
                  <w:r>
                    <w:rPr>
                      <w:rFonts w:hint="default" w:ascii="Times New Roman" w:hAnsi="Times New Roman" w:eastAsia="宋体" w:cs="Times New Roman"/>
                      <w:color w:val="000000"/>
                      <w:sz w:val="22"/>
                      <w:szCs w:val="22"/>
                    </w:rPr>
                    <w:t>主要噪声源</w:t>
                  </w:r>
                </w:p>
              </w:tc>
              <w:tc>
                <w:tcPr>
                  <w:tcW w:w="2719" w:type="dxa"/>
                  <w:gridSpan w:val="2"/>
                  <w:tcBorders>
                    <w:tl2br w:val="nil"/>
                    <w:tr2bl w:val="nil"/>
                  </w:tcBorders>
                  <w:noWrap w:val="0"/>
                  <w:vAlign w:val="center"/>
                </w:tcPr>
                <w:p w14:paraId="3FFFEDC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昼间</w:t>
                  </w:r>
                  <w:r>
                    <w:rPr>
                      <w:rFonts w:hint="default" w:ascii="Times New Roman" w:hAnsi="Times New Roman" w:eastAsia="宋体" w:cs="Times New Roman"/>
                      <w:color w:val="000000"/>
                      <w:sz w:val="22"/>
                      <w:szCs w:val="22"/>
                    </w:rPr>
                    <w:t>检测结果</w:t>
                  </w:r>
                  <w:r>
                    <w:rPr>
                      <w:rFonts w:hint="default" w:ascii="Times New Roman" w:hAnsi="Times New Roman" w:eastAsia="宋体" w:cs="Times New Roman"/>
                      <w:sz w:val="22"/>
                      <w:szCs w:val="22"/>
                    </w:rPr>
                    <w:t xml:space="preserve"> Leq</w:t>
                  </w:r>
                  <w:r>
                    <w:rPr>
                      <w:rFonts w:hint="default" w:ascii="Times New Roman" w:hAnsi="Times New Roman" w:eastAsia="宋体" w:cs="Times New Roman"/>
                      <w:color w:val="000000"/>
                      <w:spacing w:val="-12"/>
                      <w:kern w:val="0"/>
                      <w:sz w:val="22"/>
                      <w:szCs w:val="22"/>
                      <w:lang w:val="en-US" w:eastAsia="zh-CN"/>
                    </w:rPr>
                    <w:t>[</w:t>
                  </w:r>
                  <w:r>
                    <w:rPr>
                      <w:rFonts w:hint="default" w:ascii="Times New Roman" w:hAnsi="Times New Roman" w:eastAsia="宋体" w:cs="Times New Roman"/>
                      <w:color w:val="000000"/>
                      <w:spacing w:val="-12"/>
                      <w:kern w:val="0"/>
                      <w:sz w:val="22"/>
                      <w:szCs w:val="22"/>
                    </w:rPr>
                    <w:t>dB(A)</w:t>
                  </w:r>
                  <w:r>
                    <w:rPr>
                      <w:rFonts w:hint="default" w:ascii="Times New Roman" w:hAnsi="Times New Roman" w:eastAsia="宋体" w:cs="Times New Roman"/>
                      <w:color w:val="000000"/>
                      <w:spacing w:val="-12"/>
                      <w:kern w:val="0"/>
                      <w:sz w:val="22"/>
                      <w:szCs w:val="22"/>
                      <w:lang w:val="en-US" w:eastAsia="zh-CN"/>
                    </w:rPr>
                    <w:t>]</w:t>
                  </w:r>
                </w:p>
              </w:tc>
              <w:tc>
                <w:tcPr>
                  <w:tcW w:w="2719" w:type="dxa"/>
                  <w:gridSpan w:val="2"/>
                  <w:tcBorders>
                    <w:tl2br w:val="nil"/>
                    <w:tr2bl w:val="nil"/>
                  </w:tcBorders>
                  <w:noWrap w:val="0"/>
                  <w:vAlign w:val="center"/>
                </w:tcPr>
                <w:p w14:paraId="1D3FE73C">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夜间</w:t>
                  </w:r>
                  <w:r>
                    <w:rPr>
                      <w:rFonts w:hint="default" w:ascii="Times New Roman" w:hAnsi="Times New Roman" w:eastAsia="宋体" w:cs="Times New Roman"/>
                      <w:color w:val="000000"/>
                      <w:sz w:val="22"/>
                      <w:szCs w:val="22"/>
                    </w:rPr>
                    <w:t>检测结果</w:t>
                  </w:r>
                  <w:r>
                    <w:rPr>
                      <w:rFonts w:hint="default" w:ascii="Times New Roman" w:hAnsi="Times New Roman" w:eastAsia="宋体" w:cs="Times New Roman"/>
                      <w:sz w:val="22"/>
                      <w:szCs w:val="22"/>
                    </w:rPr>
                    <w:t xml:space="preserve"> Leq</w:t>
                  </w:r>
                  <w:r>
                    <w:rPr>
                      <w:rFonts w:hint="default" w:ascii="Times New Roman" w:hAnsi="Times New Roman" w:eastAsia="宋体" w:cs="Times New Roman"/>
                      <w:color w:val="000000"/>
                      <w:spacing w:val="-12"/>
                      <w:kern w:val="0"/>
                      <w:sz w:val="22"/>
                      <w:szCs w:val="22"/>
                      <w:lang w:val="en-US" w:eastAsia="zh-CN"/>
                    </w:rPr>
                    <w:t>[</w:t>
                  </w:r>
                  <w:r>
                    <w:rPr>
                      <w:rFonts w:hint="default" w:ascii="Times New Roman" w:hAnsi="Times New Roman" w:eastAsia="宋体" w:cs="Times New Roman"/>
                      <w:color w:val="000000"/>
                      <w:spacing w:val="-12"/>
                      <w:kern w:val="0"/>
                      <w:sz w:val="22"/>
                      <w:szCs w:val="22"/>
                    </w:rPr>
                    <w:t>dB(A)</w:t>
                  </w:r>
                  <w:r>
                    <w:rPr>
                      <w:rFonts w:hint="default" w:ascii="Times New Roman" w:hAnsi="Times New Roman" w:eastAsia="宋体" w:cs="Times New Roman"/>
                      <w:color w:val="000000"/>
                      <w:spacing w:val="-12"/>
                      <w:kern w:val="0"/>
                      <w:sz w:val="22"/>
                      <w:szCs w:val="22"/>
                      <w:lang w:val="en-US" w:eastAsia="zh-CN"/>
                    </w:rPr>
                    <w:t>]</w:t>
                  </w:r>
                </w:p>
              </w:tc>
            </w:tr>
            <w:tr w14:paraId="5AED7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9" w:type="dxa"/>
                  <w:vMerge w:val="continue"/>
                  <w:tcBorders>
                    <w:tl2br w:val="nil"/>
                    <w:tr2bl w:val="nil"/>
                  </w:tcBorders>
                  <w:noWrap w:val="0"/>
                  <w:vAlign w:val="center"/>
                </w:tcPr>
                <w:p w14:paraId="54A53424">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430" w:type="dxa"/>
                  <w:vMerge w:val="continue"/>
                  <w:tcBorders>
                    <w:tl2br w:val="nil"/>
                    <w:tr2bl w:val="nil"/>
                  </w:tcBorders>
                  <w:noWrap w:val="0"/>
                  <w:vAlign w:val="center"/>
                </w:tcPr>
                <w:p w14:paraId="25C6AD9D">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01" w:type="dxa"/>
                  <w:vMerge w:val="continue"/>
                  <w:tcBorders>
                    <w:tl2br w:val="nil"/>
                    <w:tr2bl w:val="nil"/>
                  </w:tcBorders>
                  <w:noWrap w:val="0"/>
                  <w:vAlign w:val="center"/>
                </w:tcPr>
                <w:p w14:paraId="6E6901B5">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rPr>
                  </w:pPr>
                </w:p>
              </w:tc>
              <w:tc>
                <w:tcPr>
                  <w:tcW w:w="1359" w:type="dxa"/>
                  <w:tcBorders>
                    <w:tl2br w:val="nil"/>
                    <w:tr2bl w:val="nil"/>
                  </w:tcBorders>
                  <w:noWrap w:val="0"/>
                  <w:vAlign w:val="center"/>
                </w:tcPr>
                <w:p w14:paraId="19714438">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2025-03-26</w:t>
                  </w:r>
                </w:p>
              </w:tc>
              <w:tc>
                <w:tcPr>
                  <w:tcW w:w="1360" w:type="dxa"/>
                  <w:tcBorders>
                    <w:tl2br w:val="nil"/>
                    <w:tr2bl w:val="nil"/>
                  </w:tcBorders>
                  <w:noWrap w:val="0"/>
                  <w:vAlign w:val="center"/>
                </w:tcPr>
                <w:p w14:paraId="340DB4F3">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2025-03-27</w:t>
                  </w:r>
                </w:p>
              </w:tc>
              <w:tc>
                <w:tcPr>
                  <w:tcW w:w="1359" w:type="dxa"/>
                  <w:tcBorders>
                    <w:tl2br w:val="nil"/>
                    <w:tr2bl w:val="nil"/>
                  </w:tcBorders>
                  <w:noWrap w:val="0"/>
                  <w:vAlign w:val="center"/>
                </w:tcPr>
                <w:p w14:paraId="21BB399B">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2025-03-26</w:t>
                  </w:r>
                </w:p>
              </w:tc>
              <w:tc>
                <w:tcPr>
                  <w:tcW w:w="1360" w:type="dxa"/>
                  <w:tcBorders>
                    <w:tl2br w:val="nil"/>
                    <w:tr2bl w:val="nil"/>
                  </w:tcBorders>
                  <w:noWrap w:val="0"/>
                  <w:vAlign w:val="center"/>
                </w:tcPr>
                <w:p w14:paraId="463A0C59">
                  <w:pPr>
                    <w:keepNext w:val="0"/>
                    <w:keepLines w:val="0"/>
                    <w:pageBreakBefore w:val="0"/>
                    <w:widowControl w:val="0"/>
                    <w:kinsoku/>
                    <w:wordWrap/>
                    <w:overflowPunct/>
                    <w:topLinePunct w:val="0"/>
                    <w:autoSpaceDE w:val="0"/>
                    <w:autoSpaceDN w:val="0"/>
                    <w:bidi w:val="0"/>
                    <w:snapToGrid/>
                    <w:spacing w:before="0" w:after="0" w:line="240" w:lineRule="auto"/>
                    <w:ind w:firstLine="0" w:firstLineChars="0"/>
                    <w:jc w:val="center"/>
                    <w:textAlignment w:val="auto"/>
                    <w:rPr>
                      <w:rFonts w:hint="default" w:ascii="Times New Roman" w:hAnsi="Times New Roman" w:eastAsia="宋体" w:cs="Times New Roman"/>
                      <w:color w:val="000000"/>
                      <w:sz w:val="22"/>
                      <w:szCs w:val="22"/>
                      <w:lang w:val="en-US" w:eastAsia="zh-CN"/>
                    </w:rPr>
                  </w:pPr>
                  <w:r>
                    <w:rPr>
                      <w:rFonts w:hint="default" w:ascii="Times New Roman" w:hAnsi="Times New Roman" w:eastAsia="宋体" w:cs="Times New Roman"/>
                      <w:color w:val="000000"/>
                      <w:sz w:val="22"/>
                      <w:szCs w:val="22"/>
                      <w:lang w:val="en-US" w:eastAsia="zh-CN"/>
                    </w:rPr>
                    <w:t>2025-03-27</w:t>
                  </w:r>
                </w:p>
              </w:tc>
            </w:tr>
            <w:tr w14:paraId="0475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06E2C77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w:t>
                  </w:r>
                </w:p>
              </w:tc>
              <w:tc>
                <w:tcPr>
                  <w:tcW w:w="1430" w:type="dxa"/>
                  <w:tcBorders>
                    <w:tl2br w:val="nil"/>
                    <w:tr2bl w:val="nil"/>
                  </w:tcBorders>
                  <w:noWrap w:val="0"/>
                  <w:vAlign w:val="center"/>
                </w:tcPr>
                <w:p w14:paraId="459C891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东侧</w:t>
                  </w:r>
                </w:p>
              </w:tc>
              <w:tc>
                <w:tcPr>
                  <w:tcW w:w="1301" w:type="dxa"/>
                  <w:tcBorders>
                    <w:tl2br w:val="nil"/>
                    <w:tr2bl w:val="nil"/>
                  </w:tcBorders>
                  <w:noWrap w:val="0"/>
                  <w:vAlign w:val="center"/>
                </w:tcPr>
                <w:p w14:paraId="72B6C7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7596812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56</w:t>
                  </w:r>
                </w:p>
              </w:tc>
              <w:tc>
                <w:tcPr>
                  <w:tcW w:w="1360" w:type="dxa"/>
                  <w:tcBorders>
                    <w:tl2br w:val="nil"/>
                    <w:tr2bl w:val="nil"/>
                  </w:tcBorders>
                  <w:noWrap w:val="0"/>
                  <w:vAlign w:val="center"/>
                </w:tcPr>
                <w:p w14:paraId="79752FA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56</w:t>
                  </w:r>
                </w:p>
              </w:tc>
              <w:tc>
                <w:tcPr>
                  <w:tcW w:w="1359" w:type="dxa"/>
                  <w:tcBorders>
                    <w:tl2br w:val="nil"/>
                    <w:tr2bl w:val="nil"/>
                  </w:tcBorders>
                  <w:noWrap w:val="0"/>
                  <w:vAlign w:val="center"/>
                </w:tcPr>
                <w:p w14:paraId="419BA18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7CEB733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r>
            <w:tr w14:paraId="16E91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5C8FE70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N2</w:t>
                  </w:r>
                </w:p>
              </w:tc>
              <w:tc>
                <w:tcPr>
                  <w:tcW w:w="1430" w:type="dxa"/>
                  <w:tcBorders>
                    <w:tl2br w:val="nil"/>
                    <w:tr2bl w:val="nil"/>
                  </w:tcBorders>
                  <w:noWrap w:val="0"/>
                  <w:vAlign w:val="center"/>
                </w:tcPr>
                <w:p w14:paraId="010D7B0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南侧</w:t>
                  </w:r>
                </w:p>
              </w:tc>
              <w:tc>
                <w:tcPr>
                  <w:tcW w:w="1301" w:type="dxa"/>
                  <w:tcBorders>
                    <w:tl2br w:val="nil"/>
                    <w:tr2bl w:val="nil"/>
                  </w:tcBorders>
                  <w:noWrap w:val="0"/>
                  <w:vAlign w:val="center"/>
                </w:tcPr>
                <w:p w14:paraId="12C8272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4CBB9FDE">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72E0A2E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47</w:t>
                  </w:r>
                </w:p>
              </w:tc>
              <w:tc>
                <w:tcPr>
                  <w:tcW w:w="1359" w:type="dxa"/>
                  <w:tcBorders>
                    <w:tl2br w:val="nil"/>
                    <w:tr2bl w:val="nil"/>
                  </w:tcBorders>
                  <w:noWrap w:val="0"/>
                  <w:vAlign w:val="center"/>
                </w:tcPr>
                <w:p w14:paraId="7A371F3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44</w:t>
                  </w:r>
                </w:p>
              </w:tc>
              <w:tc>
                <w:tcPr>
                  <w:tcW w:w="1360" w:type="dxa"/>
                  <w:tcBorders>
                    <w:tl2br w:val="nil"/>
                    <w:tr2bl w:val="nil"/>
                  </w:tcBorders>
                  <w:noWrap w:val="0"/>
                  <w:vAlign w:val="center"/>
                </w:tcPr>
                <w:p w14:paraId="46CAEA6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r>
            <w:tr w14:paraId="1822D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26F9DD2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N3</w:t>
                  </w:r>
                </w:p>
              </w:tc>
              <w:tc>
                <w:tcPr>
                  <w:tcW w:w="1430" w:type="dxa"/>
                  <w:tcBorders>
                    <w:tl2br w:val="nil"/>
                    <w:tr2bl w:val="nil"/>
                  </w:tcBorders>
                  <w:noWrap w:val="0"/>
                  <w:vAlign w:val="center"/>
                </w:tcPr>
                <w:p w14:paraId="21F51E5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西侧</w:t>
                  </w:r>
                </w:p>
              </w:tc>
              <w:tc>
                <w:tcPr>
                  <w:tcW w:w="1301" w:type="dxa"/>
                  <w:tcBorders>
                    <w:tl2br w:val="nil"/>
                    <w:tr2bl w:val="nil"/>
                  </w:tcBorders>
                  <w:noWrap w:val="0"/>
                  <w:vAlign w:val="center"/>
                </w:tcPr>
                <w:p w14:paraId="6B46BBE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06B81F5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39</w:t>
                  </w:r>
                </w:p>
              </w:tc>
              <w:tc>
                <w:tcPr>
                  <w:tcW w:w="1360" w:type="dxa"/>
                  <w:tcBorders>
                    <w:tl2br w:val="nil"/>
                    <w:tr2bl w:val="nil"/>
                  </w:tcBorders>
                  <w:noWrap w:val="0"/>
                  <w:vAlign w:val="center"/>
                </w:tcPr>
                <w:p w14:paraId="0410355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52</w:t>
                  </w:r>
                </w:p>
              </w:tc>
              <w:tc>
                <w:tcPr>
                  <w:tcW w:w="1359" w:type="dxa"/>
                  <w:tcBorders>
                    <w:tl2br w:val="nil"/>
                    <w:tr2bl w:val="nil"/>
                  </w:tcBorders>
                  <w:noWrap w:val="0"/>
                  <w:vAlign w:val="center"/>
                </w:tcPr>
                <w:p w14:paraId="026249E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c>
                <w:tcPr>
                  <w:tcW w:w="1360" w:type="dxa"/>
                  <w:tcBorders>
                    <w:tl2br w:val="nil"/>
                    <w:tr2bl w:val="nil"/>
                  </w:tcBorders>
                  <w:noWrap w:val="0"/>
                  <w:vAlign w:val="center"/>
                </w:tcPr>
                <w:p w14:paraId="5DDB2FF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45</w:t>
                  </w:r>
                </w:p>
              </w:tc>
            </w:tr>
            <w:tr w14:paraId="4169C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1A89D3A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N4</w:t>
                  </w:r>
                </w:p>
              </w:tc>
              <w:tc>
                <w:tcPr>
                  <w:tcW w:w="1430" w:type="dxa"/>
                  <w:tcBorders>
                    <w:tl2br w:val="nil"/>
                    <w:tr2bl w:val="nil"/>
                  </w:tcBorders>
                  <w:noWrap w:val="0"/>
                  <w:vAlign w:val="center"/>
                </w:tcPr>
                <w:p w14:paraId="0450555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val="en-US" w:eastAsia="zh-CN"/>
                    </w:rPr>
                    <w:t>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北侧</w:t>
                  </w:r>
                </w:p>
              </w:tc>
              <w:tc>
                <w:tcPr>
                  <w:tcW w:w="1301" w:type="dxa"/>
                  <w:tcBorders>
                    <w:tl2br w:val="nil"/>
                    <w:tr2bl w:val="nil"/>
                  </w:tcBorders>
                  <w:noWrap w:val="0"/>
                  <w:vAlign w:val="center"/>
                </w:tcPr>
                <w:p w14:paraId="036D468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ED0A1E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782E663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57</w:t>
                  </w:r>
                </w:p>
              </w:tc>
              <w:tc>
                <w:tcPr>
                  <w:tcW w:w="1359" w:type="dxa"/>
                  <w:tcBorders>
                    <w:tl2br w:val="nil"/>
                    <w:tr2bl w:val="nil"/>
                  </w:tcBorders>
                  <w:noWrap w:val="0"/>
                  <w:vAlign w:val="center"/>
                </w:tcPr>
                <w:p w14:paraId="23A21B5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4AB050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47</w:t>
                  </w:r>
                </w:p>
              </w:tc>
            </w:tr>
            <w:tr w14:paraId="20100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0A53D2E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N5</w:t>
                  </w:r>
                </w:p>
              </w:tc>
              <w:tc>
                <w:tcPr>
                  <w:tcW w:w="1430" w:type="dxa"/>
                  <w:tcBorders>
                    <w:tl2br w:val="nil"/>
                    <w:tr2bl w:val="nil"/>
                  </w:tcBorders>
                  <w:noWrap w:val="0"/>
                  <w:vAlign w:val="center"/>
                </w:tcPr>
                <w:p w14:paraId="39919F9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南侧光伏区</w:t>
                  </w:r>
                </w:p>
                <w:p w14:paraId="0AF243C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东侧</w:t>
                  </w:r>
                </w:p>
              </w:tc>
              <w:tc>
                <w:tcPr>
                  <w:tcW w:w="1301" w:type="dxa"/>
                  <w:tcBorders>
                    <w:tl2br w:val="nil"/>
                    <w:tr2bl w:val="nil"/>
                  </w:tcBorders>
                  <w:noWrap w:val="0"/>
                  <w:vAlign w:val="center"/>
                </w:tcPr>
                <w:p w14:paraId="36F73F9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2577D91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49</w:t>
                  </w:r>
                </w:p>
              </w:tc>
              <w:tc>
                <w:tcPr>
                  <w:tcW w:w="1360" w:type="dxa"/>
                  <w:tcBorders>
                    <w:tl2br w:val="nil"/>
                    <w:tr2bl w:val="nil"/>
                  </w:tcBorders>
                  <w:noWrap w:val="0"/>
                  <w:vAlign w:val="center"/>
                </w:tcPr>
                <w:p w14:paraId="34EADAC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54</w:t>
                  </w:r>
                </w:p>
              </w:tc>
              <w:tc>
                <w:tcPr>
                  <w:tcW w:w="1359" w:type="dxa"/>
                  <w:tcBorders>
                    <w:tl2br w:val="nil"/>
                    <w:tr2bl w:val="nil"/>
                  </w:tcBorders>
                  <w:noWrap w:val="0"/>
                  <w:vAlign w:val="center"/>
                </w:tcPr>
                <w:p w14:paraId="5F32687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c>
                <w:tcPr>
                  <w:tcW w:w="1360" w:type="dxa"/>
                  <w:tcBorders>
                    <w:tl2br w:val="nil"/>
                    <w:tr2bl w:val="nil"/>
                  </w:tcBorders>
                  <w:noWrap w:val="0"/>
                  <w:vAlign w:val="center"/>
                </w:tcPr>
                <w:p w14:paraId="3016007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46</w:t>
                  </w:r>
                </w:p>
              </w:tc>
            </w:tr>
            <w:tr w14:paraId="288E4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1D22DB0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N6</w:t>
                  </w:r>
                </w:p>
              </w:tc>
              <w:tc>
                <w:tcPr>
                  <w:tcW w:w="1430" w:type="dxa"/>
                  <w:tcBorders>
                    <w:tl2br w:val="nil"/>
                    <w:tr2bl w:val="nil"/>
                  </w:tcBorders>
                  <w:noWrap w:val="0"/>
                  <w:vAlign w:val="center"/>
                </w:tcPr>
                <w:p w14:paraId="0C7F8B0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南侧</w:t>
                  </w:r>
                </w:p>
              </w:tc>
              <w:tc>
                <w:tcPr>
                  <w:tcW w:w="1301" w:type="dxa"/>
                  <w:tcBorders>
                    <w:tl2br w:val="nil"/>
                    <w:tr2bl w:val="nil"/>
                  </w:tcBorders>
                  <w:noWrap w:val="0"/>
                  <w:vAlign w:val="center"/>
                </w:tcPr>
                <w:p w14:paraId="75D2DF0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AA60D4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40</w:t>
                  </w:r>
                </w:p>
              </w:tc>
              <w:tc>
                <w:tcPr>
                  <w:tcW w:w="1360" w:type="dxa"/>
                  <w:tcBorders>
                    <w:tl2br w:val="nil"/>
                    <w:tr2bl w:val="nil"/>
                  </w:tcBorders>
                  <w:noWrap w:val="0"/>
                  <w:vAlign w:val="center"/>
                </w:tcPr>
                <w:p w14:paraId="6ECF1BE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59" w:type="dxa"/>
                  <w:tcBorders>
                    <w:tl2br w:val="nil"/>
                    <w:tr2bl w:val="nil"/>
                  </w:tcBorders>
                  <w:noWrap w:val="0"/>
                  <w:vAlign w:val="center"/>
                </w:tcPr>
                <w:p w14:paraId="7322F26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38</w:t>
                  </w:r>
                </w:p>
              </w:tc>
              <w:tc>
                <w:tcPr>
                  <w:tcW w:w="1360" w:type="dxa"/>
                  <w:tcBorders>
                    <w:tl2br w:val="nil"/>
                    <w:tr2bl w:val="nil"/>
                  </w:tcBorders>
                  <w:noWrap w:val="0"/>
                  <w:vAlign w:val="center"/>
                </w:tcPr>
                <w:p w14:paraId="22AA14A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45</w:t>
                  </w:r>
                </w:p>
              </w:tc>
            </w:tr>
            <w:tr w14:paraId="4390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3B1B8E6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N7</w:t>
                  </w:r>
                </w:p>
              </w:tc>
              <w:tc>
                <w:tcPr>
                  <w:tcW w:w="1430" w:type="dxa"/>
                  <w:tcBorders>
                    <w:tl2br w:val="nil"/>
                    <w:tr2bl w:val="nil"/>
                  </w:tcBorders>
                  <w:noWrap w:val="0"/>
                  <w:vAlign w:val="center"/>
                </w:tcPr>
                <w:p w14:paraId="444DDDA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西侧</w:t>
                  </w:r>
                </w:p>
              </w:tc>
              <w:tc>
                <w:tcPr>
                  <w:tcW w:w="1301" w:type="dxa"/>
                  <w:tcBorders>
                    <w:tl2br w:val="nil"/>
                    <w:tr2bl w:val="nil"/>
                  </w:tcBorders>
                  <w:noWrap w:val="0"/>
                  <w:vAlign w:val="center"/>
                </w:tcPr>
                <w:p w14:paraId="462B3B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72C43BB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54</w:t>
                  </w:r>
                </w:p>
              </w:tc>
              <w:tc>
                <w:tcPr>
                  <w:tcW w:w="1360" w:type="dxa"/>
                  <w:tcBorders>
                    <w:tl2br w:val="nil"/>
                    <w:tr2bl w:val="nil"/>
                  </w:tcBorders>
                  <w:noWrap w:val="0"/>
                  <w:vAlign w:val="center"/>
                </w:tcPr>
                <w:p w14:paraId="45C4B21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52</w:t>
                  </w:r>
                </w:p>
              </w:tc>
              <w:tc>
                <w:tcPr>
                  <w:tcW w:w="1359" w:type="dxa"/>
                  <w:tcBorders>
                    <w:tl2br w:val="nil"/>
                    <w:tr2bl w:val="nil"/>
                  </w:tcBorders>
                  <w:noWrap w:val="0"/>
                  <w:vAlign w:val="center"/>
                </w:tcPr>
                <w:p w14:paraId="277C488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60" w:type="dxa"/>
                  <w:tcBorders>
                    <w:tl2br w:val="nil"/>
                    <w:tr2bl w:val="nil"/>
                  </w:tcBorders>
                  <w:noWrap w:val="0"/>
                  <w:vAlign w:val="center"/>
                </w:tcPr>
                <w:p w14:paraId="2A25840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38</w:t>
                  </w:r>
                </w:p>
              </w:tc>
            </w:tr>
            <w:tr w14:paraId="35EC8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noWrap w:val="0"/>
                  <w:vAlign w:val="center"/>
                </w:tcPr>
                <w:p w14:paraId="4A2ED59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N8</w:t>
                  </w:r>
                </w:p>
              </w:tc>
              <w:tc>
                <w:tcPr>
                  <w:tcW w:w="1430" w:type="dxa"/>
                  <w:tcBorders>
                    <w:tl2br w:val="nil"/>
                    <w:tr2bl w:val="nil"/>
                  </w:tcBorders>
                  <w:noWrap w:val="0"/>
                  <w:vAlign w:val="center"/>
                </w:tcPr>
                <w:p w14:paraId="50BF8FF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bidi="ar-SA"/>
                    </w:rPr>
                  </w:pPr>
                  <w:r>
                    <w:rPr>
                      <w:rFonts w:hint="default" w:ascii="Times New Roman" w:hAnsi="Times New Roman" w:eastAsia="宋体" w:cs="Times New Roman"/>
                      <w:kern w:val="0"/>
                      <w:sz w:val="22"/>
                      <w:szCs w:val="22"/>
                      <w:lang w:val="en-US" w:eastAsia="zh-CN"/>
                    </w:rPr>
                    <w:t>南侧光伏区</w:t>
                  </w:r>
                  <w:r>
                    <w:rPr>
                      <w:rFonts w:hint="default" w:ascii="Times New Roman" w:hAnsi="Times New Roman" w:eastAsia="宋体" w:cs="Times New Roman"/>
                      <w:kern w:val="0"/>
                      <w:sz w:val="22"/>
                      <w:szCs w:val="22"/>
                      <w:lang w:eastAsia="zh-CN"/>
                    </w:rPr>
                    <w:t>厂界</w:t>
                  </w:r>
                  <w:r>
                    <w:rPr>
                      <w:rFonts w:hint="default" w:ascii="Times New Roman" w:hAnsi="Times New Roman" w:eastAsia="宋体" w:cs="Times New Roman"/>
                      <w:kern w:val="0"/>
                      <w:sz w:val="22"/>
                      <w:szCs w:val="22"/>
                      <w:lang w:val="en-US" w:eastAsia="zh-CN"/>
                    </w:rPr>
                    <w:t>北侧</w:t>
                  </w:r>
                </w:p>
              </w:tc>
              <w:tc>
                <w:tcPr>
                  <w:tcW w:w="1301" w:type="dxa"/>
                  <w:tcBorders>
                    <w:tl2br w:val="nil"/>
                    <w:tr2bl w:val="nil"/>
                  </w:tcBorders>
                  <w:noWrap w:val="0"/>
                  <w:vAlign w:val="center"/>
                </w:tcPr>
                <w:p w14:paraId="0416772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eastAsia="zh-CN"/>
                    </w:rPr>
                  </w:pPr>
                  <w:r>
                    <w:rPr>
                      <w:rFonts w:hint="default" w:ascii="Times New Roman" w:hAnsi="Times New Roman" w:eastAsia="宋体" w:cs="Times New Roman"/>
                      <w:kern w:val="0"/>
                      <w:sz w:val="22"/>
                      <w:szCs w:val="22"/>
                      <w:lang w:eastAsia="zh-CN"/>
                    </w:rPr>
                    <w:t>厂界环境噪声</w:t>
                  </w:r>
                </w:p>
              </w:tc>
              <w:tc>
                <w:tcPr>
                  <w:tcW w:w="1359" w:type="dxa"/>
                  <w:tcBorders>
                    <w:tl2br w:val="nil"/>
                    <w:tr2bl w:val="nil"/>
                  </w:tcBorders>
                  <w:noWrap w:val="0"/>
                  <w:vAlign w:val="center"/>
                </w:tcPr>
                <w:p w14:paraId="3DD996F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3EE9242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48</w:t>
                  </w:r>
                </w:p>
              </w:tc>
              <w:tc>
                <w:tcPr>
                  <w:tcW w:w="1359" w:type="dxa"/>
                  <w:tcBorders>
                    <w:tl2br w:val="nil"/>
                    <w:tr2bl w:val="nil"/>
                  </w:tcBorders>
                  <w:noWrap w:val="0"/>
                  <w:vAlign w:val="center"/>
                </w:tcPr>
                <w:p w14:paraId="1A6AA04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42</w:t>
                  </w:r>
                </w:p>
              </w:tc>
              <w:tc>
                <w:tcPr>
                  <w:tcW w:w="1360" w:type="dxa"/>
                  <w:tcBorders>
                    <w:tl2br w:val="nil"/>
                    <w:tr2bl w:val="nil"/>
                  </w:tcBorders>
                  <w:noWrap w:val="0"/>
                  <w:vAlign w:val="center"/>
                </w:tcPr>
                <w:p w14:paraId="336C81D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color w:val="000000"/>
                      <w:kern w:val="0"/>
                      <w:sz w:val="22"/>
                      <w:szCs w:val="22"/>
                      <w:lang w:val="en-US" w:eastAsia="zh-CN"/>
                    </w:rPr>
                  </w:pPr>
                  <w:r>
                    <w:rPr>
                      <w:rFonts w:hint="default" w:ascii="Times New Roman" w:hAnsi="Times New Roman" w:eastAsia="宋体" w:cs="Times New Roman"/>
                      <w:color w:val="000000"/>
                      <w:kern w:val="0"/>
                      <w:sz w:val="22"/>
                      <w:szCs w:val="22"/>
                      <w:lang w:val="en-US" w:eastAsia="zh-CN"/>
                    </w:rPr>
                    <w:t>39</w:t>
                  </w:r>
                </w:p>
              </w:tc>
            </w:tr>
            <w:tr w14:paraId="11AFF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1423291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N9</w:t>
                  </w:r>
                </w:p>
              </w:tc>
              <w:tc>
                <w:tcPr>
                  <w:tcW w:w="1430" w:type="dxa"/>
                  <w:tcBorders>
                    <w:tl2br w:val="nil"/>
                    <w:tr2bl w:val="nil"/>
                  </w:tcBorders>
                  <w:shd w:val="clear" w:color="auto" w:fill="auto"/>
                  <w:noWrap w:val="0"/>
                  <w:vAlign w:val="center"/>
                </w:tcPr>
                <w:p w14:paraId="256FE7A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08BB504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厂界东侧</w:t>
                  </w:r>
                </w:p>
              </w:tc>
              <w:tc>
                <w:tcPr>
                  <w:tcW w:w="1301" w:type="dxa"/>
                  <w:tcBorders>
                    <w:tl2br w:val="nil"/>
                    <w:tr2bl w:val="nil"/>
                  </w:tcBorders>
                  <w:shd w:val="clear" w:color="auto" w:fill="auto"/>
                  <w:noWrap w:val="0"/>
                  <w:vAlign w:val="center"/>
                </w:tcPr>
                <w:p w14:paraId="49460F8A">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7F0BBE7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66A8CAE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c>
                <w:tcPr>
                  <w:tcW w:w="1359" w:type="dxa"/>
                  <w:tcBorders>
                    <w:tl2br w:val="nil"/>
                    <w:tr2bl w:val="nil"/>
                  </w:tcBorders>
                  <w:shd w:val="clear" w:color="auto" w:fill="auto"/>
                  <w:noWrap w:val="0"/>
                  <w:vAlign w:val="center"/>
                </w:tcPr>
                <w:p w14:paraId="4562471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40</w:t>
                  </w:r>
                </w:p>
              </w:tc>
              <w:tc>
                <w:tcPr>
                  <w:tcW w:w="1360" w:type="dxa"/>
                  <w:tcBorders>
                    <w:tl2br w:val="nil"/>
                    <w:tr2bl w:val="nil"/>
                  </w:tcBorders>
                  <w:shd w:val="clear" w:color="auto" w:fill="auto"/>
                  <w:noWrap w:val="0"/>
                  <w:vAlign w:val="center"/>
                </w:tcPr>
                <w:p w14:paraId="0A78392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40</w:t>
                  </w:r>
                </w:p>
              </w:tc>
            </w:tr>
            <w:tr w14:paraId="15A8A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FFD278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N10</w:t>
                  </w:r>
                </w:p>
              </w:tc>
              <w:tc>
                <w:tcPr>
                  <w:tcW w:w="1430" w:type="dxa"/>
                  <w:tcBorders>
                    <w:tl2br w:val="nil"/>
                    <w:tr2bl w:val="nil"/>
                  </w:tcBorders>
                  <w:shd w:val="clear" w:color="auto" w:fill="auto"/>
                  <w:noWrap w:val="0"/>
                  <w:vAlign w:val="center"/>
                </w:tcPr>
                <w:p w14:paraId="341492A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7FC83B77">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厂界南侧</w:t>
                  </w:r>
                </w:p>
              </w:tc>
              <w:tc>
                <w:tcPr>
                  <w:tcW w:w="1301" w:type="dxa"/>
                  <w:tcBorders>
                    <w:tl2br w:val="nil"/>
                    <w:tr2bl w:val="nil"/>
                  </w:tcBorders>
                  <w:shd w:val="clear" w:color="auto" w:fill="auto"/>
                  <w:noWrap w:val="0"/>
                  <w:vAlign w:val="center"/>
                </w:tcPr>
                <w:p w14:paraId="134A839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0187D81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45</w:t>
                  </w:r>
                </w:p>
              </w:tc>
              <w:tc>
                <w:tcPr>
                  <w:tcW w:w="1360" w:type="dxa"/>
                  <w:tcBorders>
                    <w:tl2br w:val="nil"/>
                    <w:tr2bl w:val="nil"/>
                  </w:tcBorders>
                  <w:shd w:val="clear" w:color="auto" w:fill="auto"/>
                  <w:noWrap w:val="0"/>
                  <w:vAlign w:val="center"/>
                </w:tcPr>
                <w:p w14:paraId="27AD707C">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c>
                <w:tcPr>
                  <w:tcW w:w="1359" w:type="dxa"/>
                  <w:tcBorders>
                    <w:tl2br w:val="nil"/>
                    <w:tr2bl w:val="nil"/>
                  </w:tcBorders>
                  <w:shd w:val="clear" w:color="auto" w:fill="auto"/>
                  <w:noWrap w:val="0"/>
                  <w:vAlign w:val="center"/>
                </w:tcPr>
                <w:p w14:paraId="3CACFF5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3CCAF349">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44</w:t>
                  </w:r>
                </w:p>
              </w:tc>
            </w:tr>
            <w:tr w14:paraId="6FBA4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E9398A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N11</w:t>
                  </w:r>
                </w:p>
              </w:tc>
              <w:tc>
                <w:tcPr>
                  <w:tcW w:w="1430" w:type="dxa"/>
                  <w:tcBorders>
                    <w:tl2br w:val="nil"/>
                    <w:tr2bl w:val="nil"/>
                  </w:tcBorders>
                  <w:shd w:val="clear" w:color="auto" w:fill="auto"/>
                  <w:noWrap w:val="0"/>
                  <w:vAlign w:val="center"/>
                </w:tcPr>
                <w:p w14:paraId="43D4120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25654B80">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厂界西侧</w:t>
                  </w:r>
                </w:p>
              </w:tc>
              <w:tc>
                <w:tcPr>
                  <w:tcW w:w="1301" w:type="dxa"/>
                  <w:tcBorders>
                    <w:tl2br w:val="nil"/>
                    <w:tr2bl w:val="nil"/>
                  </w:tcBorders>
                  <w:shd w:val="clear" w:color="auto" w:fill="auto"/>
                  <w:noWrap w:val="0"/>
                  <w:vAlign w:val="center"/>
                </w:tcPr>
                <w:p w14:paraId="74D98CB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6D24C7C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768E47C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55</w:t>
                  </w:r>
                </w:p>
              </w:tc>
              <w:tc>
                <w:tcPr>
                  <w:tcW w:w="1359" w:type="dxa"/>
                  <w:tcBorders>
                    <w:tl2br w:val="nil"/>
                    <w:tr2bl w:val="nil"/>
                  </w:tcBorders>
                  <w:shd w:val="clear" w:color="auto" w:fill="auto"/>
                  <w:noWrap w:val="0"/>
                  <w:vAlign w:val="center"/>
                </w:tcPr>
                <w:p w14:paraId="638B97A1">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7A22CBB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w:t>
                  </w:r>
                </w:p>
              </w:tc>
            </w:tr>
            <w:tr w14:paraId="25D15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77460F82">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N12</w:t>
                  </w:r>
                </w:p>
              </w:tc>
              <w:tc>
                <w:tcPr>
                  <w:tcW w:w="1430" w:type="dxa"/>
                  <w:tcBorders>
                    <w:tl2br w:val="nil"/>
                    <w:tr2bl w:val="nil"/>
                  </w:tcBorders>
                  <w:shd w:val="clear" w:color="auto" w:fill="auto"/>
                  <w:noWrap w:val="0"/>
                  <w:vAlign w:val="center"/>
                </w:tcPr>
                <w:p w14:paraId="7B2F49C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升压站</w:t>
                  </w:r>
                </w:p>
                <w:p w14:paraId="0429E77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厂界北侧</w:t>
                  </w:r>
                </w:p>
              </w:tc>
              <w:tc>
                <w:tcPr>
                  <w:tcW w:w="1301" w:type="dxa"/>
                  <w:tcBorders>
                    <w:tl2br w:val="nil"/>
                    <w:tr2bl w:val="nil"/>
                  </w:tcBorders>
                  <w:shd w:val="clear" w:color="auto" w:fill="auto"/>
                  <w:noWrap w:val="0"/>
                  <w:vAlign w:val="center"/>
                </w:tcPr>
                <w:p w14:paraId="55693B4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厂界环境噪声</w:t>
                  </w:r>
                </w:p>
              </w:tc>
              <w:tc>
                <w:tcPr>
                  <w:tcW w:w="1359" w:type="dxa"/>
                  <w:tcBorders>
                    <w:tl2br w:val="nil"/>
                    <w:tr2bl w:val="nil"/>
                  </w:tcBorders>
                  <w:shd w:val="clear" w:color="auto" w:fill="auto"/>
                  <w:noWrap w:val="0"/>
                  <w:vAlign w:val="center"/>
                </w:tcPr>
                <w:p w14:paraId="063DBA3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c>
                <w:tcPr>
                  <w:tcW w:w="1360" w:type="dxa"/>
                  <w:tcBorders>
                    <w:tl2br w:val="nil"/>
                    <w:tr2bl w:val="nil"/>
                  </w:tcBorders>
                  <w:shd w:val="clear" w:color="auto" w:fill="auto"/>
                  <w:noWrap w:val="0"/>
                  <w:vAlign w:val="center"/>
                </w:tcPr>
                <w:p w14:paraId="2FDBB89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43</w:t>
                  </w:r>
                </w:p>
              </w:tc>
              <w:tc>
                <w:tcPr>
                  <w:tcW w:w="1359" w:type="dxa"/>
                  <w:tcBorders>
                    <w:tl2br w:val="nil"/>
                    <w:tr2bl w:val="nil"/>
                  </w:tcBorders>
                  <w:shd w:val="clear" w:color="auto" w:fill="auto"/>
                  <w:noWrap w:val="0"/>
                  <w:vAlign w:val="center"/>
                </w:tcPr>
                <w:p w14:paraId="34392F2D">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42</w:t>
                  </w:r>
                </w:p>
              </w:tc>
              <w:tc>
                <w:tcPr>
                  <w:tcW w:w="1360" w:type="dxa"/>
                  <w:tcBorders>
                    <w:tl2br w:val="nil"/>
                    <w:tr2bl w:val="nil"/>
                  </w:tcBorders>
                  <w:shd w:val="clear" w:color="auto" w:fill="auto"/>
                  <w:noWrap w:val="0"/>
                  <w:vAlign w:val="center"/>
                </w:tcPr>
                <w:p w14:paraId="41387206">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41</w:t>
                  </w:r>
                </w:p>
              </w:tc>
            </w:tr>
            <w:tr w14:paraId="12583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29" w:type="dxa"/>
                  <w:tcBorders>
                    <w:tl2br w:val="nil"/>
                    <w:tr2bl w:val="nil"/>
                  </w:tcBorders>
                  <w:shd w:val="clear" w:color="auto" w:fill="auto"/>
                  <w:noWrap w:val="0"/>
                  <w:vAlign w:val="center"/>
                </w:tcPr>
                <w:p w14:paraId="67FB44B4">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N13</w:t>
                  </w:r>
                </w:p>
              </w:tc>
              <w:tc>
                <w:tcPr>
                  <w:tcW w:w="1430" w:type="dxa"/>
                  <w:tcBorders>
                    <w:tl2br w:val="nil"/>
                    <w:tr2bl w:val="nil"/>
                  </w:tcBorders>
                  <w:shd w:val="clear" w:color="auto" w:fill="auto"/>
                  <w:noWrap w:val="0"/>
                  <w:vAlign w:val="center"/>
                </w:tcPr>
                <w:p w14:paraId="399B961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敏感点</w:t>
                  </w:r>
                </w:p>
                <w:p w14:paraId="45727D8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刘集镇</w:t>
                  </w:r>
                </w:p>
              </w:tc>
              <w:tc>
                <w:tcPr>
                  <w:tcW w:w="1301" w:type="dxa"/>
                  <w:tcBorders>
                    <w:tl2br w:val="nil"/>
                    <w:tr2bl w:val="nil"/>
                  </w:tcBorders>
                  <w:shd w:val="clear" w:color="auto" w:fill="auto"/>
                  <w:noWrap w:val="0"/>
                  <w:vAlign w:val="center"/>
                </w:tcPr>
                <w:p w14:paraId="4683C648">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zh-CN" w:eastAsia="zh-CN"/>
                    </w:rPr>
                  </w:pPr>
                  <w:r>
                    <w:rPr>
                      <w:rFonts w:hint="default" w:ascii="Times New Roman" w:hAnsi="Times New Roman" w:eastAsia="宋体" w:cs="Times New Roman"/>
                      <w:kern w:val="0"/>
                      <w:sz w:val="22"/>
                      <w:szCs w:val="22"/>
                      <w:lang w:val="en-US" w:eastAsia="zh-CN"/>
                    </w:rPr>
                    <w:t>环境噪声</w:t>
                  </w:r>
                </w:p>
              </w:tc>
              <w:tc>
                <w:tcPr>
                  <w:tcW w:w="1359" w:type="dxa"/>
                  <w:tcBorders>
                    <w:tl2br w:val="nil"/>
                    <w:tr2bl w:val="nil"/>
                  </w:tcBorders>
                  <w:shd w:val="clear" w:color="auto" w:fill="auto"/>
                  <w:noWrap w:val="0"/>
                  <w:vAlign w:val="center"/>
                </w:tcPr>
                <w:p w14:paraId="446D1C4B">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56.8</w:t>
                  </w:r>
                </w:p>
              </w:tc>
              <w:tc>
                <w:tcPr>
                  <w:tcW w:w="1360" w:type="dxa"/>
                  <w:tcBorders>
                    <w:tl2br w:val="nil"/>
                    <w:tr2bl w:val="nil"/>
                  </w:tcBorders>
                  <w:shd w:val="clear" w:color="auto" w:fill="auto"/>
                  <w:noWrap w:val="0"/>
                  <w:vAlign w:val="center"/>
                </w:tcPr>
                <w:p w14:paraId="269B989F">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58.9</w:t>
                  </w:r>
                </w:p>
              </w:tc>
              <w:tc>
                <w:tcPr>
                  <w:tcW w:w="1359" w:type="dxa"/>
                  <w:tcBorders>
                    <w:tl2br w:val="nil"/>
                    <w:tr2bl w:val="nil"/>
                  </w:tcBorders>
                  <w:shd w:val="clear" w:color="auto" w:fill="auto"/>
                  <w:noWrap w:val="0"/>
                  <w:vAlign w:val="center"/>
                </w:tcPr>
                <w:p w14:paraId="3856A075">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46.6</w:t>
                  </w:r>
                </w:p>
              </w:tc>
              <w:tc>
                <w:tcPr>
                  <w:tcW w:w="1360" w:type="dxa"/>
                  <w:tcBorders>
                    <w:tl2br w:val="nil"/>
                    <w:tr2bl w:val="nil"/>
                  </w:tcBorders>
                  <w:shd w:val="clear" w:color="auto" w:fill="auto"/>
                  <w:noWrap w:val="0"/>
                  <w:vAlign w:val="center"/>
                </w:tcPr>
                <w:p w14:paraId="7067F533">
                  <w:pPr>
                    <w:keepNext w:val="0"/>
                    <w:keepLines w:val="0"/>
                    <w:pageBreakBefore w:val="0"/>
                    <w:widowControl w:val="0"/>
                    <w:kinsoku/>
                    <w:wordWrap/>
                    <w:overflowPunct/>
                    <w:topLinePunct w:val="0"/>
                    <w:autoSpaceDE w:val="0"/>
                    <w:autoSpaceDN w:val="0"/>
                    <w:bidi w:val="0"/>
                    <w:adjustRightInd w:val="0"/>
                    <w:snapToGrid/>
                    <w:spacing w:before="0" w:after="0" w:line="240" w:lineRule="auto"/>
                    <w:ind w:firstLine="0" w:firstLineChars="0"/>
                    <w:jc w:val="center"/>
                    <w:textAlignment w:val="auto"/>
                    <w:rPr>
                      <w:rFonts w:hint="default" w:ascii="Times New Roman" w:hAnsi="Times New Roman" w:eastAsia="宋体" w:cs="Times New Roman"/>
                      <w:kern w:val="0"/>
                      <w:sz w:val="22"/>
                      <w:szCs w:val="22"/>
                      <w:lang w:val="en-US" w:eastAsia="zh-CN"/>
                    </w:rPr>
                  </w:pPr>
                  <w:r>
                    <w:rPr>
                      <w:rFonts w:hint="default" w:ascii="Times New Roman" w:hAnsi="Times New Roman" w:eastAsia="宋体" w:cs="Times New Roman"/>
                      <w:kern w:val="0"/>
                      <w:sz w:val="22"/>
                      <w:szCs w:val="22"/>
                      <w:lang w:val="en-US" w:eastAsia="zh-CN"/>
                    </w:rPr>
                    <w:t>47.3</w:t>
                  </w:r>
                </w:p>
              </w:tc>
            </w:tr>
          </w:tbl>
          <w:p w14:paraId="04C039F2">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由监测结果可知：N1-N12对标《工业企业厂界环境噪声排放标准》GB12348-2008 表1中2类，N13对标《声环境质量标准》GB3096-2008表1中2类，数据均符合标准要求。</w:t>
            </w:r>
          </w:p>
          <w:p w14:paraId="788DF25C">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15DD018">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5CC64659">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3201449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2C35C49F">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p>
          <w:p w14:paraId="10292923">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 xml:space="preserve"> </w:t>
            </w:r>
          </w:p>
          <w:p w14:paraId="3AAB39B1">
            <w:pPr>
              <w:pStyle w:val="22"/>
              <w:bidi w:val="0"/>
              <w:ind w:left="0" w:leftChars="0" w:firstLine="0" w:firstLineChars="0"/>
              <w:rPr>
                <w:rFonts w:hint="default" w:ascii="Times New Roman" w:hAnsi="Times New Roman" w:eastAsia="宋体" w:cs="Times New Roman"/>
                <w:color w:val="000000" w:themeColor="text1"/>
                <w:lang w:val="en-US"/>
                <w14:textFill>
                  <w14:solidFill>
                    <w14:schemeClr w14:val="tx1"/>
                  </w14:solidFill>
                </w14:textFill>
              </w:rPr>
            </w:pPr>
          </w:p>
        </w:tc>
      </w:tr>
    </w:tbl>
    <w:p w14:paraId="594E4E1D">
      <w:pPr>
        <w:spacing w:after="0"/>
        <w:jc w:val="center"/>
        <w:rPr>
          <w:rFonts w:hint="default" w:ascii="Times New Roman" w:hAnsi="Times New Roman" w:eastAsia="宋体" w:cs="Times New Roman"/>
          <w:color w:val="000000" w:themeColor="text1"/>
          <w:sz w:val="21"/>
          <w14:textFill>
            <w14:solidFill>
              <w14:schemeClr w14:val="tx1"/>
            </w14:solidFill>
          </w14:textFill>
        </w:rPr>
        <w:sectPr>
          <w:footerReference r:id="rId9" w:type="default"/>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1E30315D">
      <w:pPr>
        <w:keepNext w:val="0"/>
        <w:keepLines w:val="0"/>
        <w:pageBreakBefore w:val="0"/>
        <w:widowControl w:val="0"/>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监测点位</w:t>
      </w:r>
      <w:r>
        <w:rPr>
          <w:rFonts w:hint="default" w:ascii="Times New Roman" w:hAnsi="Times New Roman" w:eastAsia="宋体" w:cs="Times New Roman"/>
          <w:color w:val="000000" w:themeColor="text1"/>
          <w:lang w:val="en-US" w:eastAsia="zh-CN"/>
          <w14:textFill>
            <w14:solidFill>
              <w14:schemeClr w14:val="tx1"/>
            </w14:solidFill>
          </w14:textFill>
        </w:rPr>
        <w:t>示意</w:t>
      </w:r>
      <w:r>
        <w:rPr>
          <w:rFonts w:hint="default" w:ascii="Times New Roman" w:hAnsi="Times New Roman" w:eastAsia="宋体" w:cs="Times New Roman"/>
          <w:color w:val="000000" w:themeColor="text1"/>
          <w14:textFill>
            <w14:solidFill>
              <w14:schemeClr w14:val="tx1"/>
            </w14:solidFill>
          </w14:textFill>
        </w:rPr>
        <w:t>图：</w:t>
      </w:r>
    </w:p>
    <w:p w14:paraId="1AC04B38">
      <w:pPr>
        <w:pStyle w:val="23"/>
        <w:keepNext w:val="0"/>
        <w:keepLines w:val="0"/>
        <w:pageBreakBefore w:val="0"/>
        <w:widowControl/>
        <w:kinsoku/>
        <w:wordWrap/>
        <w:overflowPunct/>
        <w:topLinePunct w:val="0"/>
        <w:autoSpaceDE w:val="0"/>
        <w:autoSpaceDN w:val="0"/>
        <w:bidi w:val="0"/>
        <w:adjustRightInd/>
        <w:snapToGrid/>
        <w:spacing w:line="240" w:lineRule="auto"/>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rPr>
        <w:drawing>
          <wp:inline distT="0" distB="0" distL="114300" distR="114300">
            <wp:extent cx="6012180" cy="4333240"/>
            <wp:effectExtent l="0" t="0" r="7620"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
                    <a:stretch>
                      <a:fillRect/>
                    </a:stretch>
                  </pic:blipFill>
                  <pic:spPr>
                    <a:xfrm>
                      <a:off x="0" y="0"/>
                      <a:ext cx="6012180" cy="4333240"/>
                    </a:xfrm>
                    <a:prstGeom prst="rect">
                      <a:avLst/>
                    </a:prstGeom>
                    <a:noFill/>
                    <a:ln>
                      <a:noFill/>
                    </a:ln>
                  </pic:spPr>
                </pic:pic>
              </a:graphicData>
            </a:graphic>
          </wp:inline>
        </w:drawing>
      </w:r>
    </w:p>
    <w:p w14:paraId="4CC861E7">
      <w:pPr>
        <w:pStyle w:val="27"/>
        <w:bidi w:val="0"/>
        <w:rPr>
          <w:rFonts w:hint="default" w:ascii="Times New Roman" w:hAnsi="Times New Roman" w:eastAsia="宋体" w:cs="Times New Roman"/>
          <w:b/>
          <w:color w:val="000000" w:themeColor="text1"/>
          <w:lang w:val="en-US"/>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图7-</w:t>
      </w:r>
      <w:r>
        <w:rPr>
          <w:rFonts w:hint="default" w:ascii="Times New Roman" w:hAnsi="Times New Roman" w:eastAsia="宋体" w:cs="Times New Roman"/>
          <w:color w:val="000000" w:themeColor="text1"/>
          <w:lang w:val="en-US" w:eastAsia="zh-CN"/>
          <w14:textFill>
            <w14:solidFill>
              <w14:schemeClr w14:val="tx1"/>
            </w14:solidFill>
          </w14:textFill>
        </w:rPr>
        <w:t>1  本工程监测点位示意图</w:t>
      </w:r>
    </w:p>
    <w:p w14:paraId="17C00947">
      <w:pPr>
        <w:spacing w:after="0"/>
        <w:ind w:left="0" w:leftChars="0" w:firstLine="0" w:firstLineChars="0"/>
        <w:jc w:val="both"/>
        <w:rPr>
          <w:rFonts w:hint="default" w:ascii="Times New Roman" w:hAnsi="Times New Roman" w:eastAsia="宋体" w:cs="Times New Roman"/>
          <w:color w:val="000000" w:themeColor="text1"/>
          <w:sz w:val="21"/>
          <w14:textFill>
            <w14:solidFill>
              <w14:schemeClr w14:val="tx1"/>
            </w14:solidFill>
          </w14:textFill>
        </w:rPr>
        <w:sectPr>
          <w:pgSz w:w="11910" w:h="16840"/>
          <w:pgMar w:top="1525" w:right="1412" w:bottom="1525" w:left="1242" w:header="0" w:footer="947" w:gutter="0"/>
          <w:pgBorders>
            <w:top w:val="none" w:sz="0" w:space="0"/>
            <w:left w:val="none" w:sz="0" w:space="0"/>
            <w:bottom w:val="none" w:sz="0" w:space="0"/>
            <w:right w:val="none" w:sz="0" w:space="0"/>
          </w:pgBorders>
          <w:pgNumType w:fmt="decimal"/>
          <w:cols w:space="720" w:num="1"/>
        </w:sectPr>
      </w:pPr>
    </w:p>
    <w:p w14:paraId="08F1CF91">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表8</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环境影响调查</w:t>
      </w:r>
    </w:p>
    <w:tbl>
      <w:tblPr>
        <w:tblStyle w:val="16"/>
        <w:tblW w:w="492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728"/>
      </w:tblGrid>
      <w:tr w14:paraId="638E47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6" w:hRule="atLeast"/>
          <w:jc w:val="center"/>
        </w:trPr>
        <w:tc>
          <w:tcPr>
            <w:tcW w:w="5000" w:type="pct"/>
          </w:tcPr>
          <w:p w14:paraId="1E059C11">
            <w:pPr>
              <w:keepNext w:val="0"/>
              <w:keepLines w:val="0"/>
              <w:pageBreakBefore w:val="0"/>
              <w:widowControl w:val="0"/>
              <w:kinsoku/>
              <w:wordWrap/>
              <w:overflowPunct/>
              <w:topLinePunct w:val="0"/>
              <w:autoSpaceDE w:val="0"/>
              <w:autoSpaceDN w:val="0"/>
              <w:bidi w:val="0"/>
              <w:adjustRightInd/>
              <w:snapToGrid/>
              <w:spacing w:before="50"/>
              <w:ind w:left="0" w:firstLine="0" w:firstLineChars="0"/>
              <w:textAlignment w:val="auto"/>
              <w:rPr>
                <w:rFonts w:hint="default" w:ascii="Times New Roman" w:hAnsi="Times New Roman" w:eastAsia="宋体" w:cs="Times New Roman"/>
                <w:b/>
                <w:color w:val="000000" w:themeColor="text1"/>
                <w:sz w:val="2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施工期</w:t>
            </w:r>
          </w:p>
        </w:tc>
      </w:tr>
      <w:tr w14:paraId="12772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573" w:hRule="atLeast"/>
          <w:jc w:val="center"/>
        </w:trPr>
        <w:tc>
          <w:tcPr>
            <w:tcW w:w="5000" w:type="pct"/>
          </w:tcPr>
          <w:p w14:paraId="44812848">
            <w:pPr>
              <w:keepNext w:val="0"/>
              <w:keepLines w:val="0"/>
              <w:pageBreakBefore w:val="0"/>
              <w:widowControl w:val="0"/>
              <w:kinsoku/>
              <w:wordWrap/>
              <w:overflowPunct/>
              <w:topLinePunct w:val="0"/>
              <w:autoSpaceDE w:val="0"/>
              <w:autoSpaceDN w:val="0"/>
              <w:bidi w:val="0"/>
              <w:adjustRightInd/>
              <w:snapToGrid/>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生态影响</w:t>
            </w:r>
          </w:p>
          <w:p w14:paraId="276C99D8">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根据项目建设性质和生产运行特点分析，对生态环境的影响主要表现在施工期。施工期基础开挖、表土剥离等扰动，会造成项目原有土壤、植被破坏，增加水土流失，使项目的生态环境受到一定的影响。</w:t>
            </w:r>
          </w:p>
          <w:p w14:paraId="5DEF95F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1、对土地利用的影响</w:t>
            </w:r>
          </w:p>
          <w:p w14:paraId="659E467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工程施工占地改变了原有土地利用的性质和功能。永久占地部分永久性的改变了土地性质，是无法恢复的；临时占地在施工结束后可通过恢复植被和土地复垦等措施使其原来土地的性质和功能得到一定程度的恢复。本工程施工占地占用灌木林地和草地，这将使其原有生态功能丧失，对当地生态环境造成一定不利影响。</w:t>
            </w:r>
          </w:p>
          <w:p w14:paraId="5F9B026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由于施工永久占地面积较小，主要为箱变</w:t>
            </w:r>
            <w:r>
              <w:rPr>
                <w:rFonts w:hint="eastAsia" w:ascii="Times New Roman" w:hAnsi="Times New Roman" w:eastAsia="宋体" w:cs="Times New Roman"/>
                <w:color w:val="000000" w:themeColor="text1"/>
                <w:lang w:val="en-US" w:eastAsia="zh-CN"/>
                <w14:textFill>
                  <w14:solidFill>
                    <w14:schemeClr w14:val="tx1"/>
                  </w14:solidFill>
                </w14:textFill>
              </w:rPr>
              <w:t>及升压站占地。</w:t>
            </w:r>
            <w:r>
              <w:rPr>
                <w:rFonts w:hint="default" w:ascii="Times New Roman" w:hAnsi="Times New Roman" w:eastAsia="宋体" w:cs="Times New Roman"/>
                <w:color w:val="000000" w:themeColor="text1"/>
                <w14:textFill>
                  <w14:solidFill>
                    <w14:schemeClr w14:val="tx1"/>
                  </w14:solidFill>
                </w14:textFill>
              </w:rPr>
              <w:t>为减少项目建设占地对土地利用的不利影响，建设单位在征地过程中应办理相关土地和林地</w:t>
            </w:r>
            <w:r>
              <w:rPr>
                <w:rFonts w:hint="default" w:ascii="Times New Roman" w:hAnsi="Times New Roman" w:eastAsia="宋体" w:cs="Times New Roman"/>
                <w:color w:val="000000" w:themeColor="text1"/>
                <w:lang w:eastAsia="zh-CN"/>
                <w14:textFill>
                  <w14:solidFill>
                    <w14:schemeClr w14:val="tx1"/>
                  </w14:solidFill>
                </w14:textFill>
              </w:rPr>
              <w:t>缴纳</w:t>
            </w:r>
            <w:r>
              <w:rPr>
                <w:rFonts w:hint="default" w:ascii="Times New Roman" w:hAnsi="Times New Roman" w:eastAsia="宋体" w:cs="Times New Roman"/>
                <w:color w:val="000000" w:themeColor="text1"/>
                <w14:textFill>
                  <w14:solidFill>
                    <w14:schemeClr w14:val="tx1"/>
                  </w14:solidFill>
                </w14:textFill>
              </w:rPr>
              <w:t>政府规定的林地补偿费。施工结束后应尽快采取措施恢复工程施工期间临时占用的灌木林地、其他林地和交通运输用地，将对土地利用的不利影响降到最低限度。</w:t>
            </w:r>
          </w:p>
          <w:p w14:paraId="6AC69FA0">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65C16F4B">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2、对植被和植物的影响</w:t>
            </w:r>
          </w:p>
          <w:p w14:paraId="55A64EF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光伏支架施工采取独立桩基础，光伏区主要开挖地表部分为桩基和电缆，其他部分基本保留不变，不新增升压站用地，破坏植被面积有限。场外施工道路主要为改扩建道路，在已有的农村道路基础上加固成石渣路面，对道路外部植被基本不破坏。</w:t>
            </w:r>
          </w:p>
          <w:p w14:paraId="137E9CC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项目建设过程中架起的光伏板可能会对光伏板下方区域的植被遮挡，遮挡面积较大，受太阳能光伏组件遮挡，影响喜阳的禾本科植物采光，因此喜阳的植物将受到较大的不利影响。</w:t>
            </w:r>
          </w:p>
          <w:p w14:paraId="1EF81AE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根据生态调查，项目区占地范围内自然条件较差，植物资源较少，生产力较低，植物覆盖率均较低，无国家和地方重点保护野生植物分布。根据项目设计，光伏板高度按要求布，设高度不低于2.5m，桩基列间距不小于4.8m，行间距不小于6.0m。在采取上述工程措施后，对光伏板下部制备生长影响很小。且耐阴植物受影响不明显，喜阴植物由于适宜生境增加，个体数量将有一定程度的增多。项目占用的主要植被为灌木林地，植物种类为栎树、华西小石积、云南松等，自然植被类型均为区域广布或常见类型。破坏的植物没有保护植物，项目施工不会造成某种植物种类在评价区灭绝，施工对区域植被和植物影响较小。</w:t>
            </w:r>
          </w:p>
          <w:p w14:paraId="15A1442E">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720A75A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3、对动物的影响</w:t>
            </w:r>
          </w:p>
          <w:p w14:paraId="43832B6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实施对陆生野生脊椎动物的影响在以下三方面：①施工对动物生境的干扰和破坏，如施工砍伐树木对动物栖息地的破坏等；②施工人员的人为干扰；③施工噪声对动物生境的破坏以及对动物的惊吓、驱赶等。影响的结果将使得大部分动物</w:t>
            </w:r>
            <w:r>
              <w:rPr>
                <w:rFonts w:hint="default" w:ascii="Times New Roman" w:hAnsi="Times New Roman" w:eastAsia="宋体" w:cs="Times New Roman"/>
                <w:color w:val="000000" w:themeColor="text1"/>
                <w:lang w:eastAsia="zh-CN"/>
                <w14:textFill>
                  <w14:solidFill>
                    <w14:schemeClr w14:val="tx1"/>
                  </w14:solidFill>
                </w14:textFill>
              </w:rPr>
              <w:t>迁移他处</w:t>
            </w:r>
            <w:r>
              <w:rPr>
                <w:rFonts w:hint="default" w:ascii="Times New Roman" w:hAnsi="Times New Roman" w:eastAsia="宋体" w:cs="Times New Roman"/>
                <w:color w:val="000000" w:themeColor="text1"/>
                <w14:textFill>
                  <w14:solidFill>
                    <w14:schemeClr w14:val="tx1"/>
                  </w14:solidFill>
                </w14:textFill>
              </w:rPr>
              <w:t>，远离施工影响范围。鸟类动物迁徙能力强，活动区域大，其性甚机警，在环境受到干扰时，会迅速迁移至其他相同或相似生境中，会通过迁移来避免工程建设对其的影响，因此，只要加强施工管理，项目建设对鸟类的影响不大。</w:t>
            </w:r>
          </w:p>
          <w:p w14:paraId="56E8A0C5">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项目区分布的动物绝大多数为小型、常见的啮齿类小型动物，主要以鼠类居多，且多数对人类干扰有一定适应。项目的实施对野生动物的直接影响相对较小，通过加强对施工人员的环保教育，保护好野生动物，总体上项目实施对当地的动物影响不大。</w:t>
            </w:r>
          </w:p>
          <w:p w14:paraId="2B59EF4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p>
          <w:p w14:paraId="0B7E672F">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w:t>
            </w:r>
            <w:r>
              <w:rPr>
                <w:rFonts w:hint="default" w:ascii="Times New Roman" w:hAnsi="Times New Roman" w:eastAsia="宋体" w:cs="Times New Roman"/>
                <w:color w:val="000000" w:themeColor="text1"/>
                <w14:textFill>
                  <w14:solidFill>
                    <w14:schemeClr w14:val="tx1"/>
                  </w14:solidFill>
                </w14:textFill>
              </w:rPr>
              <w:t>、水土流失的影响</w:t>
            </w:r>
          </w:p>
          <w:p w14:paraId="703292D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太阳电池方阵占地面积大，电池阵列的安装主要依地势进行，不进行场地的平整，因此光伏方阵区对地表扰动不大。项目场地平整及土方挖填主要集中在项目升压站、逆变器及箱变的建设区域，以及道路的改扩建、埋地集电线路沟、支架基础等，此部分施工时的土地扰动面积较大。由于整个施工面很大，虽然局部开挖量小，但整体开挖量相对较大，在开挖和回填等活动的过程中不可避免地对原地貌、植被与地表组成物造成</w:t>
            </w:r>
            <w:r>
              <w:rPr>
                <w:rFonts w:hint="eastAsia" w:cs="Times New Roman"/>
                <w:color w:val="000000" w:themeColor="text1"/>
                <w:lang w:eastAsia="zh-CN"/>
                <w14:textFill>
                  <w14:solidFill>
                    <w14:schemeClr w14:val="tx1"/>
                  </w14:solidFill>
                </w14:textFill>
              </w:rPr>
              <w:t>破坏</w:t>
            </w:r>
            <w:r>
              <w:rPr>
                <w:rFonts w:hint="default" w:ascii="Times New Roman" w:hAnsi="Times New Roman" w:eastAsia="宋体" w:cs="Times New Roman"/>
                <w:color w:val="000000" w:themeColor="text1"/>
                <w14:textFill>
                  <w14:solidFill>
                    <w14:schemeClr w14:val="tx1"/>
                  </w14:solidFill>
                </w14:textFill>
              </w:rPr>
              <w:t>。场地边坡施工道路、集电线路和支架基础施工时，若不加以防护、容易产生水土流失。回填土方时，因堆积相对松散，可能发生局部沉陷、滑坡，容易导致重力侵蚀。</w:t>
            </w:r>
          </w:p>
          <w:p w14:paraId="2CF7515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在项目施工中应高度重视水土保持工作，严格按照水土保持有关要求进行设计施工。经采取水保方案提出的工程、植物、临时措施后，项目建设产生的水土流失在可控范围内，对区域影响不大。</w:t>
            </w:r>
          </w:p>
        </w:tc>
      </w:tr>
      <w:tr w14:paraId="72951D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88" w:hRule="atLeast"/>
          <w:jc w:val="center"/>
        </w:trPr>
        <w:tc>
          <w:tcPr>
            <w:tcW w:w="5000" w:type="pct"/>
          </w:tcPr>
          <w:p w14:paraId="66444386">
            <w:pPr>
              <w:keepNext w:val="0"/>
              <w:keepLines w:val="0"/>
              <w:pageBreakBefore w:val="0"/>
              <w:widowControl w:val="0"/>
              <w:kinsoku/>
              <w:wordWrap/>
              <w:overflowPunct/>
              <w:topLinePunct w:val="0"/>
              <w:autoSpaceDE w:val="0"/>
              <w:autoSpaceDN w:val="0"/>
              <w:bidi w:val="0"/>
              <w:adjustRightInd/>
              <w:snapToGrid/>
              <w:ind w:left="0" w:leftChars="0" w:right="0" w:rightChars="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污染影响</w:t>
            </w:r>
          </w:p>
          <w:p w14:paraId="2F73DDDD">
            <w:pPr>
              <w:keepNext w:val="0"/>
              <w:keepLines w:val="0"/>
              <w:widowControl/>
              <w:suppressLineNumbers w:val="0"/>
              <w:jc w:val="left"/>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施工工程量不大，作业点较为分散，采取洒水降尘措施减小施工扬尘对环境的影响；废水产生量较少，经沉沙池处理后回用于施工过程和场地洒水抑尘，不外排，对环境的影响较小；施工期采用低噪机械，合理安排施工场地布置，文明施工，加强施工管理，合理安排施工进度，将主要噪声源尽量远离场界，因此，施工噪声不会对周围声环境产生大的影响；施工固废均得到妥善处置，处置率100%，对周围环境影响较小。</w:t>
            </w:r>
          </w:p>
        </w:tc>
      </w:tr>
      <w:tr w14:paraId="40193F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87" w:hRule="atLeast"/>
          <w:jc w:val="center"/>
        </w:trPr>
        <w:tc>
          <w:tcPr>
            <w:tcW w:w="5000" w:type="pct"/>
          </w:tcPr>
          <w:p w14:paraId="7352DEF0">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社会影响</w:t>
            </w:r>
          </w:p>
          <w:p w14:paraId="65F14091">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建设需要的部分水泥、建材、钢材等都将就近在当地或临近地区采购，这样在一定程度上将拉动内需，刺激当地水泥、建材、钢材、沥青生产企业的生产力，带动区域工业的发展，促进牟定县社会经济的发展。</w:t>
            </w:r>
          </w:p>
        </w:tc>
      </w:tr>
      <w:tr w14:paraId="33FAD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6" w:hRule="atLeast"/>
          <w:jc w:val="center"/>
        </w:trPr>
        <w:tc>
          <w:tcPr>
            <w:tcW w:w="5000" w:type="pct"/>
          </w:tcPr>
          <w:p w14:paraId="4EDAE790">
            <w:pPr>
              <w:pStyle w:val="22"/>
              <w:bidi w:val="0"/>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运营期</w:t>
            </w:r>
          </w:p>
        </w:tc>
      </w:tr>
      <w:tr w14:paraId="022289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71" w:hRule="atLeast"/>
          <w:jc w:val="center"/>
        </w:trPr>
        <w:tc>
          <w:tcPr>
            <w:tcW w:w="5000" w:type="pct"/>
          </w:tcPr>
          <w:p w14:paraId="6E8A140D">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生态影响</w:t>
            </w:r>
          </w:p>
          <w:p w14:paraId="7E0C1EA2">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kern w:val="0"/>
                <w:sz w:val="24"/>
                <w:szCs w:val="24"/>
                <w:lang w:val="en-US" w:eastAsia="zh-CN" w:bidi="ar"/>
              </w:rPr>
              <w:t>项目建成后会架起大量的太阳能光伏组件，太阳能光伏组件遮挡形成的遮阴作用会对区域内的植物造成一定的影响，主要表现在以下几个方面：①对植物光合作用的影响-植物的生存和生长离不开光合作用，对阳生植物而言，这种影响表现得更为突出，会使植物的生长处在一个不良的环境条件之中；②对植物水分利用效率的影响——由于缺乏必要的光照，植物的生长异常缓慢甚至停滞，这样一来，大大减少了植物对水的利用效率；③由于受遮盖后小环境的影响，阳生植物的生境质量大大降低，但同时又为阴生植物提供了大量适宜的生境。总的说来，受太阳能光伏组件遮挡，喜阳植物（如禾本科植物等）个体将生长不良，无法繁殖甚至死亡；而对耐阴植物来说，影响不是很大，不会导致其个体的死亡；对喜阴植物（如一些蕨类植物）来说，由于适宜生境的增加，在一定程度上，其个体数量将会增加，这将在一定程度上改变项目区内原有物种的种群数量及其分布格局。但受影响的植物都为常见种，无珍稀濒危物种，受影响植物在周边区域广泛分布，项目建设不会造成物种的濒危，更不会造成任何物种的消失，影响较小。</w:t>
            </w:r>
          </w:p>
        </w:tc>
      </w:tr>
      <w:tr w14:paraId="40F740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21" w:hRule="atLeast"/>
          <w:jc w:val="center"/>
        </w:trPr>
        <w:tc>
          <w:tcPr>
            <w:tcW w:w="5000" w:type="pct"/>
          </w:tcPr>
          <w:p w14:paraId="22BA703E">
            <w:pPr>
              <w:pStyle w:val="22"/>
              <w:bidi w:val="0"/>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社会影响</w:t>
            </w:r>
          </w:p>
          <w:p w14:paraId="6B544065">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1、经济效益</w:t>
            </w:r>
          </w:p>
          <w:p w14:paraId="5E61C254">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color w:val="000000"/>
                <w:kern w:val="0"/>
                <w:sz w:val="24"/>
                <w:szCs w:val="24"/>
                <w:lang w:val="en-US" w:eastAsia="zh-CN" w:bidi="ar"/>
              </w:rPr>
              <w:t xml:space="preserve">项目建成运行后，对社会环境主要表现为有利影响。项目的建成能实现社会、经济、环境效益的统一，对促进产业结构调整和推动地方经济社会的发展将起到积极的作用，对当地人民群众脱贫致富和增加地方财政收入具有一定的积极作用。 </w:t>
            </w:r>
          </w:p>
          <w:p w14:paraId="723043DF">
            <w:pPr>
              <w:keepNext w:val="0"/>
              <w:keepLines w:val="0"/>
              <w:widowControl/>
              <w:suppressLineNumbers w:val="0"/>
              <w:jc w:val="left"/>
              <w:rPr>
                <w:rFonts w:hint="default" w:ascii="Times New Roman" w:hAnsi="Times New Roman" w:eastAsia="宋体" w:cs="Times New Roman"/>
                <w:b/>
                <w:bCs/>
                <w:color w:val="000000"/>
                <w:kern w:val="0"/>
                <w:sz w:val="24"/>
                <w:szCs w:val="24"/>
                <w:lang w:val="en-US" w:eastAsia="zh-CN" w:bidi="ar"/>
              </w:rPr>
            </w:pPr>
          </w:p>
          <w:p w14:paraId="51CF33DF">
            <w:pPr>
              <w:keepNext w:val="0"/>
              <w:keepLines w:val="0"/>
              <w:widowControl/>
              <w:suppressLineNumbers w:val="0"/>
              <w:jc w:val="left"/>
              <w:rPr>
                <w:rFonts w:hint="default" w:ascii="Times New Roman" w:hAnsi="Times New Roman" w:eastAsia="宋体" w:cs="Times New Roman"/>
              </w:rPr>
            </w:pPr>
            <w:r>
              <w:rPr>
                <w:rFonts w:hint="default" w:ascii="Times New Roman" w:hAnsi="Times New Roman" w:eastAsia="宋体" w:cs="Times New Roman"/>
                <w:b/>
                <w:bCs/>
                <w:color w:val="000000"/>
                <w:kern w:val="0"/>
                <w:sz w:val="24"/>
                <w:szCs w:val="24"/>
                <w:lang w:val="en-US" w:eastAsia="zh-CN" w:bidi="ar"/>
              </w:rPr>
              <w:t>2、节能减排</w:t>
            </w:r>
          </w:p>
          <w:p w14:paraId="570AE598">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并网光伏电站工程的建设替代燃煤电厂的建设，可达到充分利用可再生能源、节约不可再生化石资源的目的，将大大减少对环境的污染，同时还可节约大量淡水资源，对改善大气环境有积极作用。可见并网光伏电站工程建设对于当地的环境保护、减少大气污染具有积极的作用，并有明显的节能、环境和社会效益。</w:t>
            </w:r>
          </w:p>
          <w:p w14:paraId="1D7B80B7">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7EF34308">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174C2150">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6D2DE19F">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DF2BED1">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96DF5E5">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77FC34C6">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58F67643">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1010827">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7EAE48D">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39B3BE96">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1CE4F669">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p>
          <w:p w14:paraId="2FD3E29B">
            <w:pPr>
              <w:keepNext w:val="0"/>
              <w:keepLines w:val="0"/>
              <w:widowControl/>
              <w:suppressLineNumbers w:val="0"/>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kern w:val="0"/>
                <w:sz w:val="24"/>
                <w:szCs w:val="24"/>
                <w:lang w:val="en-US" w:eastAsia="zh-CN" w:bidi="ar"/>
              </w:rPr>
              <w:t xml:space="preserve"> </w:t>
            </w:r>
          </w:p>
        </w:tc>
      </w:tr>
    </w:tbl>
    <w:p w14:paraId="02DF6526">
      <w:pPr>
        <w:bidi w:val="0"/>
        <w:rPr>
          <w:rFonts w:hint="default" w:ascii="Times New Roman" w:hAnsi="Times New Roman" w:eastAsia="宋体" w:cs="Times New Roman"/>
          <w:color w:val="000000" w:themeColor="text1"/>
          <w14:textFill>
            <w14:solidFill>
              <w14:schemeClr w14:val="tx1"/>
            </w14:solidFill>
          </w14:textFill>
        </w:rPr>
        <w:sectPr>
          <w:footerReference r:id="rId10" w:type="default"/>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33F6EDE9">
      <w:pPr>
        <w:pStyle w:val="3"/>
        <w:bidi w:val="0"/>
        <w:ind w:firstLine="4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表9</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环境管理及监测计划</w:t>
      </w:r>
    </w:p>
    <w:tbl>
      <w:tblPr>
        <w:tblStyle w:val="1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70"/>
      </w:tblGrid>
      <w:tr w14:paraId="32672C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85" w:hRule="atLeast"/>
        </w:trPr>
        <w:tc>
          <w:tcPr>
            <w:tcW w:w="5000" w:type="pct"/>
          </w:tcPr>
          <w:p w14:paraId="0951DCB5">
            <w:pPr>
              <w:keepNext w:val="0"/>
              <w:keepLines w:val="0"/>
              <w:pageBreakBefore w:val="0"/>
              <w:widowControl w:val="0"/>
              <w:kinsoku/>
              <w:wordWrap/>
              <w:overflowPunct/>
              <w:topLinePunct w:val="0"/>
              <w:autoSpaceDE w:val="0"/>
              <w:autoSpaceDN w:val="0"/>
              <w:bidi w:val="0"/>
              <w:adjustRightInd/>
              <w:snapToGrid/>
              <w:ind w:firstLine="0" w:firstLineChars="0"/>
              <w:jc w:val="both"/>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环境管理机构设置</w:t>
            </w:r>
          </w:p>
          <w:p w14:paraId="55457376">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1、施工期</w:t>
            </w:r>
          </w:p>
          <w:p w14:paraId="4DE5E64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施工期环境保护管理由施工单位负责，施工单位对施工期间环境保护工作负具体管理责任。</w:t>
            </w: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负责施工期环境保护的监督，确保施工单位将有关环境保护、文明施工等内容落到实处。施工期施工单位环境管理纳入主体工程监理之中，施工期落实了环保工程施工质量监理制度。</w:t>
            </w:r>
          </w:p>
          <w:p w14:paraId="4140A684">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p>
          <w:p w14:paraId="04E190A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2、</w:t>
            </w:r>
            <w:r>
              <w:rPr>
                <w:rFonts w:hint="default" w:ascii="Times New Roman" w:hAnsi="Times New Roman" w:eastAsia="宋体" w:cs="Times New Roman"/>
                <w:b/>
                <w:bCs/>
                <w:color w:val="000000" w:themeColor="text1"/>
                <w:lang w:val="en-US" w:eastAsia="zh-CN"/>
                <w14:textFill>
                  <w14:solidFill>
                    <w14:schemeClr w14:val="tx1"/>
                  </w14:solidFill>
                </w14:textFill>
              </w:rPr>
              <w:t>环境保护设施调试</w:t>
            </w:r>
            <w:r>
              <w:rPr>
                <w:rFonts w:hint="default" w:ascii="Times New Roman" w:hAnsi="Times New Roman" w:eastAsia="宋体" w:cs="Times New Roman"/>
                <w:b/>
                <w:bCs/>
                <w:color w:val="000000" w:themeColor="text1"/>
                <w14:textFill>
                  <w14:solidFill>
                    <w14:schemeClr w14:val="tx1"/>
                  </w14:solidFill>
                </w14:textFill>
              </w:rPr>
              <w:t>期</w:t>
            </w:r>
          </w:p>
          <w:p w14:paraId="1C21F7A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对运行期环境保护进行监督管理，</w:t>
            </w:r>
            <w:r>
              <w:rPr>
                <w:rFonts w:hint="default" w:ascii="Times New Roman" w:hAnsi="Times New Roman" w:eastAsia="宋体" w:cs="Times New Roman"/>
                <w:color w:val="000000" w:themeColor="text1"/>
                <w:lang w:val="en-US" w:eastAsia="zh-CN"/>
                <w14:textFill>
                  <w14:solidFill>
                    <w14:schemeClr w14:val="tx1"/>
                  </w14:solidFill>
                </w14:textFill>
              </w:rPr>
              <w:t>单位</w:t>
            </w:r>
            <w:r>
              <w:rPr>
                <w:rFonts w:hint="default" w:ascii="Times New Roman" w:hAnsi="Times New Roman" w:eastAsia="宋体" w:cs="Times New Roman"/>
                <w:color w:val="000000" w:themeColor="text1"/>
                <w14:textFill>
                  <w14:solidFill>
                    <w14:schemeClr w14:val="tx1"/>
                  </w14:solidFill>
                </w14:textFill>
              </w:rPr>
              <w:t>设有专职人员负责本工程运行后的环境管理工作，及时掌握工程附近的电磁环境状况，及时发现问题，解决问题，从管理上保证环境保护措施的有效实施。</w:t>
            </w:r>
          </w:p>
        </w:tc>
      </w:tr>
      <w:tr w14:paraId="6BCE2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50" w:hRule="atLeast"/>
        </w:trPr>
        <w:tc>
          <w:tcPr>
            <w:tcW w:w="5000" w:type="pct"/>
          </w:tcPr>
          <w:p w14:paraId="32EFA2EA">
            <w:pPr>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环境监测计划落实情况及环境保护档案管理情况</w:t>
            </w:r>
          </w:p>
          <w:p w14:paraId="683B2058">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1、监测计划</w:t>
            </w:r>
          </w:p>
          <w:p w14:paraId="2D5CF8EC">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竣工环境保护验收阶段</w:t>
            </w:r>
            <w:r>
              <w:rPr>
                <w:rFonts w:hint="default" w:ascii="Times New Roman" w:hAnsi="Times New Roman" w:eastAsia="宋体" w:cs="Times New Roman"/>
                <w:color w:val="000000" w:themeColor="text1"/>
                <w:lang w:eastAsia="zh-CN"/>
                <w14:textFill>
                  <w14:solidFill>
                    <w14:schemeClr w14:val="tx1"/>
                  </w14:solidFill>
                </w14:textFill>
              </w:rPr>
              <w:t>安徽鑫程检测科技有限公司</w:t>
            </w:r>
            <w:r>
              <w:rPr>
                <w:rFonts w:hint="default" w:ascii="Times New Roman" w:hAnsi="Times New Roman" w:eastAsia="宋体" w:cs="Times New Roman"/>
                <w:color w:val="000000" w:themeColor="text1"/>
                <w14:textFill>
                  <w14:solidFill>
                    <w14:schemeClr w14:val="tx1"/>
                  </w14:solidFill>
                </w14:textFill>
              </w:rPr>
              <w:t>对本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进行监测。运营期间的监测计划按照环境影响报告表提出的监测项目、监测频次进行监测。由于本项目还处于试运行中，监测计划后期将按照环境影响评价提出的要求执行，确保环境监测计划落到实处。</w:t>
            </w:r>
          </w:p>
          <w:p w14:paraId="316AC8AA">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p>
          <w:p w14:paraId="04C9D4F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2、环境保护档案管理</w:t>
            </w:r>
          </w:p>
          <w:p w14:paraId="66642E4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建有档案室，并配备档案管理人员，由档案室负责统一管理本单位的全部档案。档案室在管理中贯彻执行国家环境保护的方针、政策和法规，建立与健全各项环保规章制度；负责积累、整理、归档与本工程环境保护有关的原始记录、环境保护工作情况总结等。环境保护档案，分别以纸质及电子版本进行存档，可以保证环境保护档案的完整、准确、系统、安全和有效利用。</w:t>
            </w:r>
          </w:p>
          <w:p w14:paraId="454AF053">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据</w:t>
            </w:r>
            <w:r>
              <w:rPr>
                <w:rFonts w:hint="default" w:ascii="Times New Roman" w:hAnsi="Times New Roman" w:eastAsia="宋体" w:cs="Times New Roman"/>
                <w:color w:val="000000" w:themeColor="text1"/>
                <w:lang w:val="en-US" w:eastAsia="zh-CN"/>
                <w14:textFill>
                  <w14:solidFill>
                    <w14:schemeClr w14:val="tx1"/>
                  </w14:solidFill>
                </w14:textFill>
              </w:rPr>
              <w:t>现场</w:t>
            </w:r>
            <w:r>
              <w:rPr>
                <w:rFonts w:hint="default" w:ascii="Times New Roman" w:hAnsi="Times New Roman" w:eastAsia="宋体" w:cs="Times New Roman"/>
                <w:color w:val="000000" w:themeColor="text1"/>
                <w14:textFill>
                  <w14:solidFill>
                    <w14:schemeClr w14:val="tx1"/>
                  </w14:solidFill>
                </w14:textFill>
              </w:rPr>
              <w:t>查，本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归档的环保档案如下：</w:t>
            </w:r>
          </w:p>
          <w:p w14:paraId="5B432747">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（1）工程可行性研究报告、批复；</w:t>
            </w:r>
          </w:p>
          <w:p w14:paraId="16454BCD">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（2）工程环境影响评价文件、批复；</w:t>
            </w:r>
          </w:p>
          <w:p w14:paraId="4BB3644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（3）工程初步设计报告、批复；</w:t>
            </w:r>
          </w:p>
          <w:p w14:paraId="427598B1">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（4）工程施工蓝图；</w:t>
            </w:r>
          </w:p>
          <w:p w14:paraId="64B85469">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（5）建设项目开工、竣工报告。</w:t>
            </w:r>
          </w:p>
          <w:p w14:paraId="2CA517B2">
            <w:pPr>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由此可见，本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的环境保护档案管理是比较完善的。</w:t>
            </w:r>
          </w:p>
        </w:tc>
      </w:tr>
      <w:tr w14:paraId="0FEA3F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13" w:hRule="atLeast"/>
        </w:trPr>
        <w:tc>
          <w:tcPr>
            <w:tcW w:w="5000" w:type="pct"/>
          </w:tcPr>
          <w:p w14:paraId="5433E0CB">
            <w:pPr>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环境管理状况分析</w:t>
            </w:r>
          </w:p>
          <w:p w14:paraId="07E18A4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在</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的立项、可研、实施、验收阶段都制定了相应的管理制度。经</w:t>
            </w:r>
            <w:r>
              <w:rPr>
                <w:rFonts w:hint="default" w:ascii="Times New Roman" w:hAnsi="Times New Roman" w:eastAsia="宋体" w:cs="Times New Roman"/>
                <w:color w:val="000000" w:themeColor="text1"/>
                <w:lang w:val="en-US" w:eastAsia="zh-CN"/>
                <w14:textFill>
                  <w14:solidFill>
                    <w14:schemeClr w14:val="tx1"/>
                  </w14:solidFill>
                </w14:textFill>
              </w:rPr>
              <w:t>现场</w:t>
            </w:r>
            <w:r>
              <w:rPr>
                <w:rFonts w:hint="default" w:ascii="Times New Roman" w:hAnsi="Times New Roman" w:eastAsia="宋体" w:cs="Times New Roman"/>
                <w:color w:val="000000" w:themeColor="text1"/>
                <w14:textFill>
                  <w14:solidFill>
                    <w14:schemeClr w14:val="tx1"/>
                  </w14:solidFill>
                </w14:textFill>
              </w:rPr>
              <w:t>调查，施工期及运营期环境管理状况较好，认真落实、实施了环境影响报告表及其批复提出的环保措施，</w:t>
            </w:r>
            <w:r>
              <w:rPr>
                <w:rFonts w:hint="default" w:ascii="Times New Roman" w:hAnsi="Times New Roman" w:eastAsia="宋体" w:cs="Times New Roman"/>
                <w:color w:val="000000" w:themeColor="text1"/>
                <w:lang w:val="en-US" w:eastAsia="zh-CN"/>
                <w14:textFill>
                  <w14:solidFill>
                    <w14:schemeClr w14:val="tx1"/>
                  </w14:solidFill>
                </w14:textFill>
              </w:rPr>
              <w:t>妥善处理了群众投诉。</w:t>
            </w:r>
          </w:p>
          <w:p w14:paraId="4164282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建设单位环境管理组织机构健全。施工期，建设单位委托监理单位安排了专职环境保护管理人员，负责监督和检查施工期环境保护措施的落实情况。运行期，</w:t>
            </w:r>
            <w:r>
              <w:rPr>
                <w:rFonts w:hint="default" w:ascii="Times New Roman" w:hAnsi="Times New Roman" w:eastAsia="宋体" w:cs="Times New Roman"/>
                <w:color w:val="000000" w:themeColor="text1"/>
                <w:lang w:eastAsia="zh-CN"/>
                <w14:textFill>
                  <w14:solidFill>
                    <w14:schemeClr w14:val="tx1"/>
                  </w14:solidFill>
                </w14:textFill>
              </w:rPr>
              <w:t>霍邱韩瑞新能源发电有限公司</w:t>
            </w:r>
            <w:r>
              <w:rPr>
                <w:rFonts w:hint="default" w:ascii="Times New Roman" w:hAnsi="Times New Roman" w:eastAsia="宋体" w:cs="Times New Roman"/>
                <w:color w:val="000000" w:themeColor="text1"/>
                <w14:textFill>
                  <w14:solidFill>
                    <w14:schemeClr w14:val="tx1"/>
                  </w14:solidFill>
                </w14:textFill>
              </w:rPr>
              <w:t>工程部负责项目的环境管理工作</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14:textFill>
                  <w14:solidFill>
                    <w14:schemeClr w14:val="tx1"/>
                  </w14:solidFill>
                </w14:textFill>
              </w:rPr>
              <w:t>建设单位设置了兼职环保人员协助进行管理</w:t>
            </w:r>
            <w:r>
              <w:rPr>
                <w:rFonts w:hint="default" w:ascii="Times New Roman" w:hAnsi="Times New Roman" w:eastAsia="宋体" w:cs="Times New Roman"/>
                <w:color w:val="000000" w:themeColor="text1"/>
                <w:lang w:eastAsia="zh-CN"/>
                <w14:textFill>
                  <w14:solidFill>
                    <w14:schemeClr w14:val="tx1"/>
                  </w14:solidFill>
                </w14:textFill>
              </w:rPr>
              <w:t>。</w:t>
            </w:r>
          </w:p>
          <w:p w14:paraId="5EA58C15">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施工过程中，建设单位执行了环境影响报告表及有关部门的批复意见，基本落实了环评中的环境保护措施。</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环境管理制度完善，各相关机构和环保人员责任分工明确，在工程建设期间基本贯彻了环境保护“三同时”制度</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可</w:t>
            </w:r>
            <w:r>
              <w:rPr>
                <w:rFonts w:hint="default" w:ascii="Times New Roman" w:hAnsi="Times New Roman" w:eastAsia="宋体" w:cs="Times New Roman"/>
                <w:color w:val="000000" w:themeColor="text1"/>
                <w14:textFill>
                  <w14:solidFill>
                    <w14:schemeClr w14:val="tx1"/>
                  </w14:solidFill>
                </w14:textFill>
              </w:rPr>
              <w:t>满足施工期和运行期的环保管理要求。</w:t>
            </w:r>
          </w:p>
          <w:p w14:paraId="140C44E9">
            <w:pPr>
              <w:pStyle w:val="22"/>
              <w:bidi w:val="0"/>
              <w:rPr>
                <w:rFonts w:hint="default" w:ascii="Times New Roman" w:hAnsi="Times New Roman" w:eastAsia="宋体" w:cs="Times New Roman"/>
                <w:color w:val="000000" w:themeColor="text1"/>
                <w14:textFill>
                  <w14:solidFill>
                    <w14:schemeClr w14:val="tx1"/>
                  </w14:solidFill>
                </w14:textFill>
              </w:rPr>
            </w:pPr>
          </w:p>
          <w:p w14:paraId="6F402451">
            <w:pPr>
              <w:pStyle w:val="22"/>
              <w:bidi w:val="0"/>
              <w:rPr>
                <w:rFonts w:hint="default" w:ascii="Times New Roman" w:hAnsi="Times New Roman" w:eastAsia="宋体" w:cs="Times New Roman"/>
                <w:color w:val="000000" w:themeColor="text1"/>
                <w14:textFill>
                  <w14:solidFill>
                    <w14:schemeClr w14:val="tx1"/>
                  </w14:solidFill>
                </w14:textFill>
              </w:rPr>
            </w:pPr>
          </w:p>
          <w:p w14:paraId="04938BC2">
            <w:pPr>
              <w:pStyle w:val="22"/>
              <w:bidi w:val="0"/>
              <w:rPr>
                <w:rFonts w:hint="default" w:ascii="Times New Roman" w:hAnsi="Times New Roman" w:eastAsia="宋体" w:cs="Times New Roman"/>
                <w:color w:val="000000" w:themeColor="text1"/>
                <w14:textFill>
                  <w14:solidFill>
                    <w14:schemeClr w14:val="tx1"/>
                  </w14:solidFill>
                </w14:textFill>
              </w:rPr>
            </w:pPr>
          </w:p>
          <w:p w14:paraId="100D14E4">
            <w:pPr>
              <w:pStyle w:val="22"/>
              <w:bidi w:val="0"/>
              <w:rPr>
                <w:rFonts w:hint="default" w:ascii="Times New Roman" w:hAnsi="Times New Roman" w:eastAsia="宋体" w:cs="Times New Roman"/>
                <w:color w:val="000000" w:themeColor="text1"/>
                <w14:textFill>
                  <w14:solidFill>
                    <w14:schemeClr w14:val="tx1"/>
                  </w14:solidFill>
                </w14:textFill>
              </w:rPr>
            </w:pPr>
          </w:p>
          <w:p w14:paraId="5824FA64">
            <w:pPr>
              <w:pStyle w:val="22"/>
              <w:bidi w:val="0"/>
              <w:rPr>
                <w:rFonts w:hint="default" w:ascii="Times New Roman" w:hAnsi="Times New Roman" w:eastAsia="宋体" w:cs="Times New Roman"/>
                <w:color w:val="000000" w:themeColor="text1"/>
                <w14:textFill>
                  <w14:solidFill>
                    <w14:schemeClr w14:val="tx1"/>
                  </w14:solidFill>
                </w14:textFill>
              </w:rPr>
            </w:pPr>
          </w:p>
          <w:p w14:paraId="6E465E97">
            <w:pPr>
              <w:pStyle w:val="22"/>
              <w:bidi w:val="0"/>
              <w:rPr>
                <w:rFonts w:hint="default" w:ascii="Times New Roman" w:hAnsi="Times New Roman" w:eastAsia="宋体" w:cs="Times New Roman"/>
                <w:color w:val="000000" w:themeColor="text1"/>
                <w14:textFill>
                  <w14:solidFill>
                    <w14:schemeClr w14:val="tx1"/>
                  </w14:solidFill>
                </w14:textFill>
              </w:rPr>
            </w:pPr>
          </w:p>
          <w:p w14:paraId="16D91DFF">
            <w:pPr>
              <w:pStyle w:val="22"/>
              <w:bidi w:val="0"/>
              <w:rPr>
                <w:rFonts w:hint="default" w:ascii="Times New Roman" w:hAnsi="Times New Roman" w:eastAsia="宋体" w:cs="Times New Roman"/>
                <w:color w:val="000000" w:themeColor="text1"/>
                <w14:textFill>
                  <w14:solidFill>
                    <w14:schemeClr w14:val="tx1"/>
                  </w14:solidFill>
                </w14:textFill>
              </w:rPr>
            </w:pPr>
          </w:p>
          <w:p w14:paraId="3057EB17">
            <w:pPr>
              <w:pStyle w:val="22"/>
              <w:bidi w:val="0"/>
              <w:rPr>
                <w:rFonts w:hint="default" w:ascii="Times New Roman" w:hAnsi="Times New Roman" w:eastAsia="宋体" w:cs="Times New Roman"/>
                <w:color w:val="000000" w:themeColor="text1"/>
                <w14:textFill>
                  <w14:solidFill>
                    <w14:schemeClr w14:val="tx1"/>
                  </w14:solidFill>
                </w14:textFill>
              </w:rPr>
            </w:pPr>
          </w:p>
          <w:p w14:paraId="35E0EFDF">
            <w:pPr>
              <w:pStyle w:val="22"/>
              <w:bidi w:val="0"/>
              <w:rPr>
                <w:rFonts w:hint="default" w:ascii="Times New Roman" w:hAnsi="Times New Roman" w:eastAsia="宋体" w:cs="Times New Roman"/>
                <w:color w:val="000000" w:themeColor="text1"/>
                <w14:textFill>
                  <w14:solidFill>
                    <w14:schemeClr w14:val="tx1"/>
                  </w14:solidFill>
                </w14:textFill>
              </w:rPr>
            </w:pPr>
          </w:p>
          <w:p w14:paraId="3B7D0E65">
            <w:pPr>
              <w:pStyle w:val="22"/>
              <w:bidi w:val="0"/>
              <w:rPr>
                <w:rFonts w:hint="default" w:ascii="Times New Roman" w:hAnsi="Times New Roman" w:eastAsia="宋体" w:cs="Times New Roman"/>
                <w:color w:val="000000" w:themeColor="text1"/>
                <w14:textFill>
                  <w14:solidFill>
                    <w14:schemeClr w14:val="tx1"/>
                  </w14:solidFill>
                </w14:textFill>
              </w:rPr>
            </w:pPr>
          </w:p>
          <w:p w14:paraId="19486246">
            <w:pPr>
              <w:pStyle w:val="22"/>
              <w:bidi w:val="0"/>
              <w:rPr>
                <w:rFonts w:hint="default" w:ascii="Times New Roman" w:hAnsi="Times New Roman" w:eastAsia="宋体" w:cs="Times New Roman"/>
                <w:color w:val="000000" w:themeColor="text1"/>
                <w14:textFill>
                  <w14:solidFill>
                    <w14:schemeClr w14:val="tx1"/>
                  </w14:solidFill>
                </w14:textFill>
              </w:rPr>
            </w:pPr>
          </w:p>
          <w:p w14:paraId="613BEC81">
            <w:pPr>
              <w:pStyle w:val="22"/>
              <w:bidi w:val="0"/>
              <w:rPr>
                <w:rFonts w:hint="default" w:ascii="Times New Roman" w:hAnsi="Times New Roman" w:eastAsia="宋体" w:cs="Times New Roman"/>
                <w:color w:val="000000" w:themeColor="text1"/>
                <w14:textFill>
                  <w14:solidFill>
                    <w14:schemeClr w14:val="tx1"/>
                  </w14:solidFill>
                </w14:textFill>
              </w:rPr>
            </w:pPr>
          </w:p>
          <w:p w14:paraId="0DD2EED7">
            <w:pPr>
              <w:pStyle w:val="22"/>
              <w:bidi w:val="0"/>
              <w:rPr>
                <w:rFonts w:hint="default" w:ascii="Times New Roman" w:hAnsi="Times New Roman" w:eastAsia="宋体" w:cs="Times New Roman"/>
                <w:color w:val="000000" w:themeColor="text1"/>
                <w14:textFill>
                  <w14:solidFill>
                    <w14:schemeClr w14:val="tx1"/>
                  </w14:solidFill>
                </w14:textFill>
              </w:rPr>
            </w:pPr>
          </w:p>
        </w:tc>
      </w:tr>
    </w:tbl>
    <w:p w14:paraId="13DCE71B">
      <w:pPr>
        <w:bidi w:val="0"/>
        <w:rPr>
          <w:rFonts w:hint="default" w:ascii="Times New Roman" w:hAnsi="Times New Roman" w:eastAsia="宋体" w:cs="Times New Roman"/>
          <w:color w:val="000000" w:themeColor="text1"/>
          <w14:textFill>
            <w14:solidFill>
              <w14:schemeClr w14:val="tx1"/>
            </w14:solidFill>
          </w14:textFill>
        </w:rPr>
        <w:sectPr>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4C9BB08A">
      <w:pPr>
        <w:pStyle w:val="3"/>
        <w:bidi w:val="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表10</w:t>
      </w:r>
      <w:r>
        <w:rPr>
          <w:rFonts w:hint="default" w:ascii="Times New Roman" w:hAnsi="Times New Roman" w:eastAsia="宋体" w:cs="Times New Roman"/>
          <w:color w:val="000000" w:themeColor="text1"/>
          <w:lang w:val="en-US" w:eastAsia="zh-CN"/>
          <w14:textFill>
            <w14:solidFill>
              <w14:schemeClr w14:val="tx1"/>
            </w14:solidFill>
          </w14:textFill>
        </w:rPr>
        <w:t xml:space="preserve">  </w:t>
      </w:r>
      <w:r>
        <w:rPr>
          <w:rFonts w:hint="default" w:ascii="Times New Roman" w:hAnsi="Times New Roman" w:eastAsia="宋体" w:cs="Times New Roman"/>
          <w:color w:val="000000" w:themeColor="text1"/>
          <w14:textFill>
            <w14:solidFill>
              <w14:schemeClr w14:val="tx1"/>
            </w14:solidFill>
          </w14:textFill>
        </w:rPr>
        <w:t>竣工环境保护验收调查结论与建议</w:t>
      </w:r>
    </w:p>
    <w:tbl>
      <w:tblPr>
        <w:tblStyle w:val="16"/>
        <w:tblW w:w="501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88"/>
      </w:tblGrid>
      <w:tr w14:paraId="1C585A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835" w:hRule="atLeast"/>
        </w:trPr>
        <w:tc>
          <w:tcPr>
            <w:tcW w:w="5000" w:type="pct"/>
          </w:tcPr>
          <w:p w14:paraId="029065BF">
            <w:pPr>
              <w:pStyle w:val="22"/>
              <w:keepNext w:val="0"/>
              <w:keepLines w:val="0"/>
              <w:pageBreakBefore w:val="0"/>
              <w:widowControl w:val="0"/>
              <w:kinsoku/>
              <w:wordWrap/>
              <w:overflowPunct/>
              <w:topLinePunct w:val="0"/>
              <w:autoSpaceDE w:val="0"/>
              <w:autoSpaceDN w:val="0"/>
              <w:bidi w:val="0"/>
              <w:adjustRightInd/>
              <w:snapToGrid/>
              <w:ind w:left="0" w:leftChars="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调查结论</w:t>
            </w:r>
          </w:p>
          <w:p w14:paraId="3A84FED0">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lang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通过对</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环境状况调查，对有关技术文件、报告</w:t>
            </w:r>
            <w:r>
              <w:rPr>
                <w:rFonts w:hint="default" w:ascii="Times New Roman" w:hAnsi="Times New Roman" w:eastAsia="宋体" w:cs="Times New Roman"/>
                <w:color w:val="000000" w:themeColor="text1"/>
                <w:lang w:val="en-US" w:eastAsia="zh-CN"/>
                <w14:textFill>
                  <w14:solidFill>
                    <w14:schemeClr w14:val="tx1"/>
                  </w14:solidFill>
                </w14:textFill>
              </w:rPr>
              <w:t>进行</w:t>
            </w:r>
            <w:r>
              <w:rPr>
                <w:rFonts w:hint="default" w:ascii="Times New Roman" w:hAnsi="Times New Roman" w:eastAsia="宋体" w:cs="Times New Roman"/>
                <w:color w:val="000000" w:themeColor="text1"/>
                <w14:textFill>
                  <w14:solidFill>
                    <w14:schemeClr w14:val="tx1"/>
                  </w14:solidFill>
                </w14:textFill>
              </w:rPr>
              <w:t>分析，对工程环保执行情况、环境保护措施的重点调查与监测，从环境保护角度对工程提出以下调查结论和建议</w:t>
            </w:r>
            <w:r>
              <w:rPr>
                <w:rFonts w:hint="default" w:ascii="Times New Roman" w:hAnsi="Times New Roman" w:eastAsia="宋体" w:cs="Times New Roman"/>
                <w:color w:val="000000" w:themeColor="text1"/>
                <w:lang w:eastAsia="zh-CN"/>
                <w14:textFill>
                  <w14:solidFill>
                    <w14:schemeClr w14:val="tx1"/>
                  </w14:solidFill>
                </w14:textFill>
              </w:rPr>
              <w:t>：</w:t>
            </w:r>
          </w:p>
          <w:p w14:paraId="52D64844">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1、工程基本情况</w:t>
            </w:r>
          </w:p>
          <w:p w14:paraId="6C070D54">
            <w:pPr>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eastAsia="zh-CN"/>
                <w14:textFill>
                  <w14:solidFill>
                    <w14:schemeClr w14:val="tx1"/>
                  </w14:solidFill>
                </w14:textFill>
              </w:rPr>
              <w:t>项目位于六安市霍邱县邵岗乡坎山村X035县道东；占地面积约460亩，利用滩涂地，铺设2</w:t>
            </w:r>
            <w:r>
              <w:rPr>
                <w:rFonts w:hint="eastAsia" w:cs="Times New Roman"/>
                <w:color w:val="000000" w:themeColor="text1"/>
                <w:lang w:val="en-US" w:eastAsia="zh-CN"/>
                <w14:textFill>
                  <w14:solidFill>
                    <w14:schemeClr w14:val="tx1"/>
                  </w14:solidFill>
                </w14:textFill>
              </w:rPr>
              <w:t>7</w:t>
            </w:r>
            <w:r>
              <w:rPr>
                <w:rFonts w:hint="default" w:ascii="Times New Roman" w:hAnsi="Times New Roman" w:eastAsia="宋体" w:cs="Times New Roman"/>
                <w:color w:val="000000" w:themeColor="text1"/>
                <w:lang w:eastAsia="zh-CN"/>
                <w14:textFill>
                  <w14:solidFill>
                    <w14:schemeClr w14:val="tx1"/>
                  </w14:solidFill>
                </w14:textFill>
              </w:rPr>
              <w:t>0wp多晶硅电池组件</w:t>
            </w:r>
            <w:r>
              <w:rPr>
                <w:rFonts w:hint="eastAsia" w:cs="Times New Roman"/>
                <w:color w:val="000000" w:themeColor="text1"/>
                <w:lang w:val="en-US" w:eastAsia="zh-CN"/>
                <w14:textFill>
                  <w14:solidFill>
                    <w14:schemeClr w14:val="tx1"/>
                  </w14:solidFill>
                </w14:textFill>
              </w:rPr>
              <w:t>74074</w:t>
            </w:r>
            <w:r>
              <w:rPr>
                <w:rFonts w:hint="default" w:ascii="Times New Roman" w:hAnsi="Times New Roman" w:eastAsia="宋体" w:cs="Times New Roman"/>
                <w:color w:val="000000" w:themeColor="text1"/>
                <w:lang w:eastAsia="zh-CN"/>
                <w14:textFill>
                  <w14:solidFill>
                    <w14:schemeClr w14:val="tx1"/>
                  </w14:solidFill>
                </w14:textFill>
              </w:rPr>
              <w:t>块，总装机容量</w:t>
            </w:r>
            <w:r>
              <w:rPr>
                <w:rFonts w:hint="eastAsia" w:cs="Times New Roman"/>
                <w:color w:val="000000" w:themeColor="text1"/>
                <w:lang w:val="en-US" w:eastAsia="zh-CN"/>
                <w14:textFill>
                  <w14:solidFill>
                    <w14:schemeClr w14:val="tx1"/>
                  </w14:solidFill>
                </w14:textFill>
              </w:rPr>
              <w:t>20</w:t>
            </w:r>
            <w:r>
              <w:rPr>
                <w:rFonts w:hint="default" w:ascii="Times New Roman" w:hAnsi="Times New Roman" w:eastAsia="宋体" w:cs="Times New Roman"/>
                <w:color w:val="000000" w:themeColor="text1"/>
                <w:lang w:eastAsia="zh-CN"/>
                <w14:textFill>
                  <w14:solidFill>
                    <w14:schemeClr w14:val="tx1"/>
                  </w14:solidFill>
                </w14:textFill>
              </w:rPr>
              <w:t>MW，年均发电量约</w:t>
            </w:r>
            <w:r>
              <w:rPr>
                <w:rFonts w:hint="eastAsia" w:cs="Times New Roman"/>
                <w:color w:val="000000" w:themeColor="text1"/>
                <w:lang w:val="en-US" w:eastAsia="zh-CN"/>
                <w14:textFill>
                  <w14:solidFill>
                    <w14:schemeClr w14:val="tx1"/>
                  </w14:solidFill>
                </w14:textFill>
              </w:rPr>
              <w:t>2046</w:t>
            </w:r>
            <w:r>
              <w:rPr>
                <w:rFonts w:hint="default" w:ascii="Times New Roman" w:hAnsi="Times New Roman" w:eastAsia="宋体" w:cs="Times New Roman"/>
                <w:color w:val="000000" w:themeColor="text1"/>
                <w:lang w:eastAsia="zh-CN"/>
                <w14:textFill>
                  <w14:solidFill>
                    <w14:schemeClr w14:val="tx1"/>
                  </w14:solidFill>
                </w14:textFill>
              </w:rPr>
              <w:t>万kW·h，项目发电全额上网。</w:t>
            </w:r>
            <w:r>
              <w:rPr>
                <w:rFonts w:hint="default" w:ascii="Times New Roman" w:hAnsi="Times New Roman" w:eastAsia="宋体" w:cs="Times New Roman"/>
                <w:color w:val="000000" w:themeColor="text1"/>
                <w14:textFill>
                  <w14:solidFill>
                    <w14:schemeClr w14:val="tx1"/>
                  </w14:solidFill>
                </w14:textFill>
              </w:rPr>
              <w:t>验收期间，工程运行正常。</w:t>
            </w:r>
          </w:p>
          <w:p w14:paraId="024A2A30">
            <w:pPr>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2、环评文件及批复落实情况</w:t>
            </w:r>
          </w:p>
          <w:p w14:paraId="3D9A6B03">
            <w:pP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项目实施过程中严格执行了环境影响评价制度，在项目建设过程中，认真执行了环境保护“三同时”制度；环评报告及环评批复要求基本落实。有些环保措施根据实际情况进行调整，总体满足竣工环境保护验收要求。</w:t>
            </w:r>
          </w:p>
          <w:p w14:paraId="116C5757">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、工程变动情况调查结论</w:t>
            </w:r>
          </w:p>
          <w:p w14:paraId="31051D37">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经对照</w:t>
            </w: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工程实际建设内容不属于重大变动</w:t>
            </w:r>
            <w:r>
              <w:rPr>
                <w:rFonts w:hint="default" w:ascii="Times New Roman" w:hAnsi="Times New Roman" w:eastAsia="宋体" w:cs="Times New Roman"/>
                <w:color w:val="000000" w:themeColor="text1"/>
                <w14:textFill>
                  <w14:solidFill>
                    <w14:schemeClr w14:val="tx1"/>
                  </w14:solidFill>
                </w14:textFill>
              </w:rPr>
              <w:t>。</w:t>
            </w:r>
          </w:p>
          <w:p w14:paraId="062645FA">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3</w:t>
            </w:r>
            <w:r>
              <w:rPr>
                <w:rFonts w:hint="default" w:ascii="Times New Roman" w:hAnsi="Times New Roman" w:eastAsia="宋体" w:cs="Times New Roman"/>
                <w:b/>
                <w:bCs/>
                <w:color w:val="000000" w:themeColor="text1"/>
                <w14:textFill>
                  <w14:solidFill>
                    <w14:schemeClr w14:val="tx1"/>
                  </w14:solidFill>
                </w14:textFill>
              </w:rPr>
              <w:t>、环保措施落实情况调查</w:t>
            </w:r>
          </w:p>
          <w:p w14:paraId="525B4E6F">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w:t>
            </w:r>
            <w:r>
              <w:rPr>
                <w:rFonts w:hint="default" w:ascii="Times New Roman" w:hAnsi="Times New Roman" w:eastAsia="宋体" w:cs="Times New Roman"/>
                <w:color w:val="000000" w:themeColor="text1"/>
                <w14:textFill>
                  <w14:solidFill>
                    <w14:schemeClr w14:val="tx1"/>
                  </w14:solidFill>
                </w14:textFill>
              </w:rPr>
              <w:t>环境影响报告表、批复文件和设计文件中均提出了比较全面的环境保护措施要求，这些措施在工程实际建设过程中得到了较好的落实。</w:t>
            </w:r>
          </w:p>
          <w:p w14:paraId="0713B19D">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t>、生态环境影响调查</w:t>
            </w:r>
          </w:p>
          <w:p w14:paraId="1B0810F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本</w:t>
            </w:r>
            <w:r>
              <w:rPr>
                <w:rFonts w:hint="default" w:ascii="Times New Roman" w:hAnsi="Times New Roman" w:eastAsia="宋体" w:cs="Times New Roman"/>
                <w:color w:val="000000" w:themeColor="text1"/>
                <w:lang w:val="en-US" w:eastAsia="zh-CN"/>
                <w14:textFill>
                  <w14:solidFill>
                    <w14:schemeClr w14:val="tx1"/>
                  </w14:solidFill>
                </w14:textFill>
              </w:rPr>
              <w:t>工程位于</w:t>
            </w:r>
            <w:r>
              <w:rPr>
                <w:rFonts w:hint="default" w:ascii="Times New Roman" w:hAnsi="Times New Roman" w:eastAsia="宋体" w:cs="Times New Roman"/>
                <w:color w:val="000000" w:themeColor="text1"/>
                <w:sz w:val="24"/>
                <w:szCs w:val="24"/>
                <w14:textFill>
                  <w14:solidFill>
                    <w14:schemeClr w14:val="tx1"/>
                  </w14:solidFill>
                </w14:textFill>
              </w:rPr>
              <w:t>安徽省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六安市</w:t>
            </w:r>
            <w:r>
              <w:rPr>
                <w:rFonts w:hint="eastAsia" w:cs="Times New Roman"/>
                <w:color w:val="000000" w:themeColor="text1"/>
                <w:sz w:val="24"/>
                <w:szCs w:val="24"/>
                <w:lang w:val="en-US" w:eastAsia="zh-CN"/>
                <w14:textFill>
                  <w14:solidFill>
                    <w14:schemeClr w14:val="tx1"/>
                  </w14:solidFill>
                </w14:textFill>
              </w:rPr>
              <w:t>霍邱县</w:t>
            </w:r>
            <w:r>
              <w:rPr>
                <w:rFonts w:hint="default" w:ascii="Times New Roman" w:hAnsi="Times New Roman" w:eastAsia="宋体" w:cs="Times New Roman"/>
                <w:color w:val="000000" w:themeColor="text1"/>
                <w14:textFill>
                  <w14:solidFill>
                    <w14:schemeClr w14:val="tx1"/>
                  </w14:solidFill>
                </w14:textFill>
              </w:rPr>
              <w:t>，在施工</w:t>
            </w:r>
            <w:r>
              <w:rPr>
                <w:rFonts w:hint="default" w:ascii="Times New Roman" w:hAnsi="Times New Roman" w:eastAsia="宋体" w:cs="Times New Roman"/>
                <w:color w:val="000000" w:themeColor="text1"/>
                <w:lang w:val="en-US" w:eastAsia="zh-CN"/>
                <w14:textFill>
                  <w14:solidFill>
                    <w14:schemeClr w14:val="tx1"/>
                  </w14:solidFill>
                </w14:textFill>
              </w:rPr>
              <w:t>过程</w:t>
            </w:r>
            <w:r>
              <w:rPr>
                <w:rFonts w:hint="default" w:ascii="Times New Roman" w:hAnsi="Times New Roman" w:eastAsia="宋体" w:cs="Times New Roman"/>
                <w:color w:val="000000" w:themeColor="text1"/>
                <w14:textFill>
                  <w14:solidFill>
                    <w14:schemeClr w14:val="tx1"/>
                  </w14:solidFill>
                </w14:textFill>
              </w:rPr>
              <w:t>会破坏附近的植被，同时产生一定量的水土流失。经现场调查，</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施工造成的植被破坏和引起的水土流失较轻微。建设单位已</w:t>
            </w:r>
            <w:r>
              <w:rPr>
                <w:rFonts w:hint="default" w:ascii="Times New Roman" w:hAnsi="Times New Roman" w:eastAsia="宋体" w:cs="Times New Roman"/>
                <w:color w:val="000000" w:themeColor="text1"/>
                <w:lang w:val="en-US" w:eastAsia="zh-CN"/>
                <w14:textFill>
                  <w14:solidFill>
                    <w14:schemeClr w14:val="tx1"/>
                  </w14:solidFill>
                </w14:textFill>
              </w:rPr>
              <w:t>编制水土保持方案并备案</w:t>
            </w:r>
            <w:r>
              <w:rPr>
                <w:rFonts w:hint="default" w:ascii="Times New Roman" w:hAnsi="Times New Roman" w:eastAsia="宋体" w:cs="Times New Roman"/>
                <w:color w:val="000000" w:themeColor="text1"/>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施工</w:t>
            </w:r>
            <w:r>
              <w:rPr>
                <w:rFonts w:hint="default" w:ascii="Times New Roman" w:hAnsi="Times New Roman" w:eastAsia="宋体" w:cs="Times New Roman"/>
                <w:color w:val="000000" w:themeColor="text1"/>
                <w14:textFill>
                  <w14:solidFill>
                    <w14:schemeClr w14:val="tx1"/>
                  </w14:solidFill>
                </w14:textFill>
              </w:rPr>
              <w:t>完成后施工单位对</w:t>
            </w:r>
            <w:r>
              <w:rPr>
                <w:rFonts w:hint="default" w:ascii="Times New Roman" w:hAnsi="Times New Roman" w:eastAsia="宋体" w:cs="Times New Roman"/>
                <w:color w:val="000000" w:themeColor="text1"/>
                <w:lang w:val="en-US" w:eastAsia="zh-CN"/>
                <w14:textFill>
                  <w14:solidFill>
                    <w14:schemeClr w14:val="tx1"/>
                  </w14:solidFill>
                </w14:textFill>
              </w:rPr>
              <w:t>施工</w:t>
            </w:r>
            <w:r>
              <w:rPr>
                <w:rFonts w:hint="default" w:ascii="Times New Roman" w:hAnsi="Times New Roman" w:eastAsia="宋体" w:cs="Times New Roman"/>
                <w:color w:val="000000" w:themeColor="text1"/>
                <w14:textFill>
                  <w14:solidFill>
                    <w14:schemeClr w14:val="tx1"/>
                  </w14:solidFill>
                </w14:textFill>
              </w:rPr>
              <w:t>场地进行了平整并进行了植被恢复。</w:t>
            </w:r>
            <w:r>
              <w:rPr>
                <w:rFonts w:hint="default" w:ascii="Times New Roman" w:hAnsi="Times New Roman" w:eastAsia="宋体" w:cs="Times New Roman"/>
                <w:color w:val="000000" w:themeColor="text1"/>
                <w:lang w:val="en-US" w:eastAsia="zh-CN"/>
                <w14:textFill>
                  <w14:solidFill>
                    <w14:schemeClr w14:val="tx1"/>
                  </w14:solidFill>
                </w14:textFill>
              </w:rPr>
              <w:t>因此，</w:t>
            </w:r>
            <w:r>
              <w:rPr>
                <w:rFonts w:hint="default" w:ascii="Times New Roman" w:hAnsi="Times New Roman" w:eastAsia="宋体" w:cs="Times New Roman"/>
                <w:color w:val="000000" w:themeColor="text1"/>
                <w14:textFill>
                  <w14:solidFill>
                    <w14:schemeClr w14:val="tx1"/>
                  </w14:solidFill>
                </w14:textFill>
              </w:rPr>
              <w:t>本工程建设对生态环境</w:t>
            </w:r>
            <w:r>
              <w:rPr>
                <w:rFonts w:hint="default" w:ascii="Times New Roman" w:hAnsi="Times New Roman" w:eastAsia="宋体" w:cs="Times New Roman"/>
                <w:color w:val="000000" w:themeColor="text1"/>
                <w:lang w:val="en-US" w:eastAsia="zh-CN"/>
                <w14:textFill>
                  <w14:solidFill>
                    <w14:schemeClr w14:val="tx1"/>
                  </w14:solidFill>
                </w14:textFill>
              </w:rPr>
              <w:t>不会</w:t>
            </w:r>
            <w:r>
              <w:rPr>
                <w:rFonts w:hint="default" w:ascii="Times New Roman" w:hAnsi="Times New Roman" w:eastAsia="宋体" w:cs="Times New Roman"/>
                <w:color w:val="000000" w:themeColor="text1"/>
                <w14:textFill>
                  <w14:solidFill>
                    <w14:schemeClr w14:val="tx1"/>
                  </w14:solidFill>
                </w14:textFill>
              </w:rPr>
              <w:t>产生明显影响。</w:t>
            </w:r>
          </w:p>
          <w:p w14:paraId="20ED6626">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5</w:t>
            </w:r>
            <w:r>
              <w:rPr>
                <w:rFonts w:hint="default" w:ascii="Times New Roman" w:hAnsi="Times New Roman" w:eastAsia="宋体" w:cs="Times New Roman"/>
                <w:b/>
                <w:bCs/>
                <w:color w:val="000000" w:themeColor="text1"/>
                <w14:textFill>
                  <w14:solidFill>
                    <w14:schemeClr w14:val="tx1"/>
                  </w14:solidFill>
                </w14:textFill>
              </w:rPr>
              <w:t>、声环境影响调查</w:t>
            </w:r>
          </w:p>
          <w:p w14:paraId="22A53AAC">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根据</w:t>
            </w:r>
            <w:r>
              <w:rPr>
                <w:rFonts w:hint="default" w:ascii="Times New Roman" w:hAnsi="Times New Roman" w:eastAsia="宋体" w:cs="Times New Roman"/>
                <w:color w:val="000000" w:themeColor="text1"/>
                <w14:textFill>
                  <w14:solidFill>
                    <w14:schemeClr w14:val="tx1"/>
                  </w14:solidFill>
                </w14:textFill>
              </w:rPr>
              <w:t>监测结果，</w:t>
            </w:r>
            <w:r>
              <w:rPr>
                <w:rFonts w:hint="default" w:ascii="Times New Roman" w:hAnsi="Times New Roman" w:eastAsia="宋体" w:cs="Times New Roman"/>
                <w:color w:val="000000" w:themeColor="text1"/>
                <w:lang w:val="en-US" w:eastAsia="zh-CN"/>
                <w14:textFill>
                  <w14:solidFill>
                    <w14:schemeClr w14:val="tx1"/>
                  </w14:solidFill>
                </w14:textFill>
              </w:rPr>
              <w:t>本工程敏感点噪声满足</w:t>
            </w:r>
            <w:r>
              <w:rPr>
                <w:rFonts w:hint="default" w:ascii="Times New Roman" w:hAnsi="Times New Roman" w:eastAsia="宋体" w:cs="Times New Roman"/>
                <w:b w:val="0"/>
                <w:bCs/>
                <w:color w:val="000000" w:themeColor="text1"/>
                <w:szCs w:val="28"/>
                <w14:textFill>
                  <w14:solidFill>
                    <w14:schemeClr w14:val="tx1"/>
                  </w14:solidFill>
                </w14:textFill>
              </w:rPr>
              <w:t>《声环境质量标准》（GB3096-2008）中</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2</w:t>
            </w:r>
            <w:r>
              <w:rPr>
                <w:rFonts w:hint="default" w:ascii="Times New Roman" w:hAnsi="Times New Roman" w:eastAsia="宋体" w:cs="Times New Roman"/>
                <w:b w:val="0"/>
                <w:bCs/>
                <w:color w:val="000000" w:themeColor="text1"/>
                <w:szCs w:val="28"/>
                <w14:textFill>
                  <w14:solidFill>
                    <w14:schemeClr w14:val="tx1"/>
                  </w14:solidFill>
                </w14:textFill>
              </w:rPr>
              <w:t>类标准</w:t>
            </w:r>
            <w:r>
              <w:rPr>
                <w:rFonts w:hint="default" w:ascii="Times New Roman" w:hAnsi="Times New Roman" w:eastAsia="宋体" w:cs="Times New Roman"/>
                <w:b w:val="0"/>
                <w:bCs/>
                <w:color w:val="000000" w:themeColor="text1"/>
                <w:szCs w:val="28"/>
                <w:lang w:val="en-US" w:eastAsia="zh-CN"/>
                <w14:textFill>
                  <w14:solidFill>
                    <w14:schemeClr w14:val="tx1"/>
                  </w14:solidFill>
                </w14:textFill>
              </w:rPr>
              <w:t>要求，厂界噪声满足《工业企业厂界环境噪声排放标准》GB12348-2008表1中2类要求</w:t>
            </w:r>
            <w:r>
              <w:rPr>
                <w:rFonts w:hint="default" w:ascii="Times New Roman" w:hAnsi="Times New Roman" w:eastAsia="宋体" w:cs="Times New Roman"/>
                <w:color w:val="000000" w:themeColor="text1"/>
                <w:lang w:val="en-US" w:eastAsia="zh-CN"/>
                <w14:textFill>
                  <w14:solidFill>
                    <w14:schemeClr w14:val="tx1"/>
                  </w14:solidFill>
                </w14:textFill>
              </w:rPr>
              <w:t>。因此，</w:t>
            </w:r>
            <w:r>
              <w:rPr>
                <w:rFonts w:hint="default" w:ascii="Times New Roman" w:hAnsi="Times New Roman" w:eastAsia="宋体" w:cs="Times New Roman"/>
                <w:color w:val="000000" w:themeColor="text1"/>
                <w14:textFill>
                  <w14:solidFill>
                    <w14:schemeClr w14:val="tx1"/>
                  </w14:solidFill>
                </w14:textFill>
              </w:rPr>
              <w:t>本工程建设对</w:t>
            </w:r>
            <w:r>
              <w:rPr>
                <w:rFonts w:hint="default" w:ascii="Times New Roman" w:hAnsi="Times New Roman" w:eastAsia="宋体" w:cs="Times New Roman"/>
                <w:color w:val="000000" w:themeColor="text1"/>
                <w:lang w:val="en-US" w:eastAsia="zh-CN"/>
                <w14:textFill>
                  <w14:solidFill>
                    <w14:schemeClr w14:val="tx1"/>
                  </w14:solidFill>
                </w14:textFill>
              </w:rPr>
              <w:t>声</w:t>
            </w:r>
            <w:r>
              <w:rPr>
                <w:rFonts w:hint="default" w:ascii="Times New Roman" w:hAnsi="Times New Roman" w:eastAsia="宋体" w:cs="Times New Roman"/>
                <w:color w:val="000000" w:themeColor="text1"/>
                <w14:textFill>
                  <w14:solidFill>
                    <w14:schemeClr w14:val="tx1"/>
                  </w14:solidFill>
                </w14:textFill>
              </w:rPr>
              <w:t>环境</w:t>
            </w:r>
            <w:r>
              <w:rPr>
                <w:rFonts w:hint="default" w:ascii="Times New Roman" w:hAnsi="Times New Roman" w:eastAsia="宋体" w:cs="Times New Roman"/>
                <w:color w:val="000000" w:themeColor="text1"/>
                <w:lang w:val="en-US" w:eastAsia="zh-CN"/>
                <w14:textFill>
                  <w14:solidFill>
                    <w14:schemeClr w14:val="tx1"/>
                  </w14:solidFill>
                </w14:textFill>
              </w:rPr>
              <w:t>不会</w:t>
            </w:r>
            <w:r>
              <w:rPr>
                <w:rFonts w:hint="default" w:ascii="Times New Roman" w:hAnsi="Times New Roman" w:eastAsia="宋体" w:cs="Times New Roman"/>
                <w:color w:val="000000" w:themeColor="text1"/>
                <w14:textFill>
                  <w14:solidFill>
                    <w14:schemeClr w14:val="tx1"/>
                  </w14:solidFill>
                </w14:textFill>
              </w:rPr>
              <w:t>产生明显影响。</w:t>
            </w:r>
          </w:p>
          <w:p w14:paraId="600D3E63">
            <w:pPr>
              <w:pStyle w:val="22"/>
              <w:keepNext w:val="0"/>
              <w:keepLines w:val="0"/>
              <w:pageBreakBefore w:val="0"/>
              <w:widowControl w:val="0"/>
              <w:kinsoku/>
              <w:wordWrap/>
              <w:overflowPunct/>
              <w:topLinePunct w:val="0"/>
              <w:autoSpaceDE w:val="0"/>
              <w:autoSpaceDN w:val="0"/>
              <w:bidi w:val="0"/>
              <w:adjustRightInd/>
              <w:snapToGrid/>
              <w:ind w:left="0" w:leftChars="0" w:right="120" w:rightChars="50" w:firstLine="482" w:firstLineChars="20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lang w:val="en-US" w:eastAsia="zh-CN"/>
                <w14:textFill>
                  <w14:solidFill>
                    <w14:schemeClr w14:val="tx1"/>
                  </w14:solidFill>
                </w14:textFill>
              </w:rPr>
              <w:t>6</w:t>
            </w:r>
            <w:r>
              <w:rPr>
                <w:rFonts w:hint="default" w:ascii="Times New Roman" w:hAnsi="Times New Roman" w:eastAsia="宋体" w:cs="Times New Roman"/>
                <w:b/>
                <w:bCs/>
                <w:color w:val="000000" w:themeColor="text1"/>
                <w14:textFill>
                  <w14:solidFill>
                    <w14:schemeClr w14:val="tx1"/>
                  </w14:solidFill>
                </w14:textFill>
              </w:rPr>
              <w:t>、验收结论</w:t>
            </w:r>
          </w:p>
          <w:p w14:paraId="6A3F72F5">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综上所述，</w:t>
            </w:r>
            <w:r>
              <w:rPr>
                <w:rFonts w:hint="default" w:ascii="Times New Roman" w:hAnsi="Times New Roman" w:eastAsia="宋体" w:cs="Times New Roman"/>
                <w:color w:val="000000" w:themeColor="text1"/>
                <w:lang w:eastAsia="zh-CN"/>
                <w14:textFill>
                  <w14:solidFill>
                    <w14:schemeClr w14:val="tx1"/>
                  </w14:solidFill>
                </w14:textFill>
              </w:rPr>
              <w:t>坎山村20MW光伏发电项目</w:t>
            </w:r>
            <w:r>
              <w:rPr>
                <w:rFonts w:hint="default" w:ascii="Times New Roman" w:hAnsi="Times New Roman" w:eastAsia="宋体" w:cs="Times New Roman"/>
                <w:color w:val="000000" w:themeColor="text1"/>
                <w14:textFill>
                  <w14:solidFill>
                    <w14:schemeClr w14:val="tx1"/>
                  </w14:solidFill>
                </w14:textFill>
              </w:rPr>
              <w:t>符合国家法律法规和产业政策</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本工程</w:t>
            </w:r>
            <w:r>
              <w:rPr>
                <w:rFonts w:hint="default" w:ascii="Times New Roman" w:hAnsi="Times New Roman" w:eastAsia="宋体" w:cs="Times New Roman"/>
                <w:color w:val="000000" w:themeColor="text1"/>
                <w14:textFill>
                  <w14:solidFill>
                    <w14:schemeClr w14:val="tx1"/>
                  </w14:solidFill>
                </w14:textFill>
              </w:rPr>
              <w:t>严格按照环评要求及</w:t>
            </w:r>
            <w:r>
              <w:rPr>
                <w:rFonts w:hint="default" w:ascii="Times New Roman" w:hAnsi="Times New Roman" w:eastAsia="宋体" w:cs="Times New Roman"/>
                <w:color w:val="000000" w:themeColor="text1"/>
                <w:lang w:val="en-US" w:eastAsia="zh-CN"/>
                <w14:textFill>
                  <w14:solidFill>
                    <w14:schemeClr w14:val="tx1"/>
                  </w14:solidFill>
                </w14:textFill>
              </w:rPr>
              <w:t>六安市</w:t>
            </w:r>
            <w:r>
              <w:rPr>
                <w:rFonts w:hint="default" w:ascii="Times New Roman" w:hAnsi="Times New Roman" w:eastAsia="宋体" w:cs="Times New Roman"/>
                <w:color w:val="000000" w:themeColor="text1"/>
                <w14:textFill>
                  <w14:solidFill>
                    <w14:schemeClr w14:val="tx1"/>
                  </w14:solidFill>
                </w14:textFill>
              </w:rPr>
              <w:t>生态环境局环评批复要求进行建设，环境保护设施调试期运行正常，经</w:t>
            </w:r>
            <w:r>
              <w:rPr>
                <w:rFonts w:hint="default" w:ascii="Times New Roman" w:hAnsi="Times New Roman" w:eastAsia="宋体" w:cs="Times New Roman"/>
                <w:color w:val="000000" w:themeColor="text1"/>
                <w:lang w:val="en-US" w:eastAsia="zh-CN"/>
                <w14:textFill>
                  <w14:solidFill>
                    <w14:schemeClr w14:val="tx1"/>
                  </w14:solidFill>
                </w14:textFill>
              </w:rPr>
              <w:t>现场勘查</w:t>
            </w:r>
            <w:r>
              <w:rPr>
                <w:rFonts w:hint="default" w:ascii="Times New Roman" w:hAnsi="Times New Roman" w:eastAsia="宋体" w:cs="Times New Roman"/>
                <w:color w:val="000000" w:themeColor="text1"/>
                <w14:textFill>
                  <w14:solidFill>
                    <w14:schemeClr w14:val="tx1"/>
                  </w14:solidFill>
                </w14:textFill>
              </w:rPr>
              <w:t>，各项环保措施已实施到位；经</w:t>
            </w:r>
            <w:r>
              <w:rPr>
                <w:rFonts w:hint="default" w:ascii="Times New Roman" w:hAnsi="Times New Roman" w:eastAsia="宋体" w:cs="Times New Roman"/>
                <w:color w:val="000000" w:themeColor="text1"/>
                <w:lang w:val="en-US" w:eastAsia="zh-CN"/>
                <w14:textFill>
                  <w14:solidFill>
                    <w14:schemeClr w14:val="tx1"/>
                  </w14:solidFill>
                </w14:textFill>
              </w:rPr>
              <w:t>实际</w:t>
            </w:r>
            <w:r>
              <w:rPr>
                <w:rFonts w:hint="default" w:ascii="Times New Roman" w:hAnsi="Times New Roman" w:eastAsia="宋体" w:cs="Times New Roman"/>
                <w:color w:val="000000" w:themeColor="text1"/>
                <w14:textFill>
                  <w14:solidFill>
                    <w14:schemeClr w14:val="tx1"/>
                  </w14:solidFill>
                </w14:textFill>
              </w:rPr>
              <w:t>监测，各监测点噪声监测值均满足相应标准限值要求，工程达到了竣工环境保护验收的条件</w:t>
            </w:r>
            <w:r>
              <w:rPr>
                <w:rFonts w:hint="default" w:ascii="Times New Roman" w:hAnsi="Times New Roman" w:eastAsia="宋体"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themeColor="text1"/>
                <w:lang w:val="en-US" w:eastAsia="zh-CN"/>
                <w14:textFill>
                  <w14:solidFill>
                    <w14:schemeClr w14:val="tx1"/>
                  </w14:solidFill>
                </w14:textFill>
              </w:rPr>
              <w:t>建议通过验收</w:t>
            </w:r>
            <w:r>
              <w:rPr>
                <w:rFonts w:hint="default" w:ascii="Times New Roman" w:hAnsi="Times New Roman" w:eastAsia="宋体" w:cs="Times New Roman"/>
                <w:color w:val="000000" w:themeColor="text1"/>
                <w14:textFill>
                  <w14:solidFill>
                    <w14:schemeClr w14:val="tx1"/>
                  </w14:solidFill>
                </w14:textFill>
              </w:rPr>
              <w:t>。</w:t>
            </w:r>
          </w:p>
        </w:tc>
      </w:tr>
      <w:tr w14:paraId="32107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94" w:hRule="atLeast"/>
        </w:trPr>
        <w:tc>
          <w:tcPr>
            <w:tcW w:w="5000" w:type="pct"/>
          </w:tcPr>
          <w:p w14:paraId="2CDDDB12">
            <w:pPr>
              <w:pStyle w:val="22"/>
              <w:keepNext w:val="0"/>
              <w:keepLines w:val="0"/>
              <w:pageBreakBefore w:val="0"/>
              <w:widowControl w:val="0"/>
              <w:kinsoku/>
              <w:wordWrap/>
              <w:overflowPunct/>
              <w:topLinePunct w:val="0"/>
              <w:autoSpaceDE w:val="0"/>
              <w:autoSpaceDN w:val="0"/>
              <w:bidi w:val="0"/>
              <w:adjustRightInd/>
              <w:snapToGrid/>
              <w:ind w:left="120" w:leftChars="50" w:right="120" w:rightChars="50" w:firstLine="0" w:firstLineChars="0"/>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建议</w:t>
            </w:r>
          </w:p>
          <w:p w14:paraId="0412C02D">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1、</w:t>
            </w:r>
            <w:r>
              <w:rPr>
                <w:rFonts w:hint="default" w:ascii="Times New Roman" w:hAnsi="Times New Roman" w:eastAsia="宋体" w:cs="Times New Roman"/>
                <w:color w:val="000000" w:themeColor="text1"/>
                <w:sz w:val="24"/>
                <w:lang w:bidi="ar"/>
                <w14:textFill>
                  <w14:solidFill>
                    <w14:schemeClr w14:val="tx1"/>
                  </w14:solidFill>
                </w14:textFill>
              </w:rPr>
              <w:t>加强植被恢复工作，加强抚育管理，及时补植。对于施工期破坏的植被区域，及时进行补植和修复，增加植被覆盖率，减少水土流失。</w:t>
            </w:r>
          </w:p>
          <w:p w14:paraId="34AB05AA">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eastAsia" w:cs="Times New Roman"/>
                <w:color w:val="000000" w:themeColor="text1"/>
                <w:sz w:val="24"/>
                <w:lang w:val="en-US" w:eastAsia="zh-CN"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2、对施工过程中占用的土地进行复垦，恢复土地的生产力。可以采用表土回填、土地平整等措施，为植被生长创造良好的条件。</w:t>
            </w:r>
          </w:p>
          <w:p w14:paraId="2C9E0EE2">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cs="Times New Roman"/>
                <w:color w:val="000000" w:themeColor="text1"/>
                <w:sz w:val="24"/>
                <w:lang w:val="en-US" w:eastAsia="zh-CN"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3、制定合理的绿化规划，根据项目的功能分区和景观需求，选择合适的绿化植物种类和布局方式。可以采用乔、灌、草相结合的方式，增加绿化的层次感和美观度。</w:t>
            </w:r>
          </w:p>
          <w:p w14:paraId="30CE5831">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4</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eastAsia" w:cs="Times New Roman"/>
                <w:color w:val="000000" w:themeColor="text1"/>
                <w:sz w:val="24"/>
                <w:lang w:val="en-US" w:eastAsia="zh-CN" w:bidi="ar"/>
                <w14:textFill>
                  <w14:solidFill>
                    <w14:schemeClr w14:val="tx1"/>
                  </w14:solidFill>
                </w14:textFill>
              </w:rPr>
              <w:t>危废间规范化建设，</w:t>
            </w:r>
            <w:r>
              <w:rPr>
                <w:rFonts w:hint="default" w:ascii="Times New Roman" w:hAnsi="Times New Roman" w:eastAsia="宋体" w:cs="Times New Roman"/>
                <w:color w:val="000000" w:themeColor="text1"/>
                <w:sz w:val="24"/>
                <w:lang w:val="en-US" w:eastAsia="zh-CN" w:bidi="ar"/>
                <w14:textFill>
                  <w14:solidFill>
                    <w14:schemeClr w14:val="tx1"/>
                  </w14:solidFill>
                </w14:textFill>
              </w:rPr>
              <w:t>在危废间显著位置设置危险废物标识牌，标明危废的名称、类别、危害特性等信息。同时，在危废间周围设置明显的警示标志，提醒人员注意危险。</w:t>
            </w:r>
            <w:r>
              <w:rPr>
                <w:rFonts w:hint="default" w:ascii="Times New Roman" w:hAnsi="Times New Roman" w:eastAsia="宋体" w:cs="Times New Roman"/>
                <w:color w:val="000000" w:themeColor="text1"/>
                <w:sz w:val="24"/>
                <w:lang w:bidi="ar"/>
                <w14:textFill>
                  <w14:solidFill>
                    <w14:schemeClr w14:val="tx1"/>
                  </w14:solidFill>
                </w14:textFill>
              </w:rPr>
              <w:t>加强项目环保设施及现场环境等日常管理、考核和环保宣传工作。</w:t>
            </w:r>
          </w:p>
          <w:p w14:paraId="2D23013F">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sz w:val="24"/>
                <w:lang w:bidi="ar"/>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5</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default" w:ascii="Times New Roman" w:hAnsi="Times New Roman" w:eastAsia="宋体" w:cs="Times New Roman"/>
                <w:color w:val="000000" w:themeColor="text1"/>
                <w:sz w:val="24"/>
                <w:lang w:bidi="ar"/>
                <w14:textFill>
                  <w14:solidFill>
                    <w14:schemeClr w14:val="tx1"/>
                  </w14:solidFill>
                </w14:textFill>
              </w:rPr>
              <w:t>建立健全环保管理制度、环保档案、环保合同记录等，明确环保职责，环保规章制度上墙明示。</w:t>
            </w:r>
          </w:p>
          <w:p w14:paraId="32242606">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firstLine="480" w:firstLineChars="200"/>
              <w:jc w:val="both"/>
              <w:textAlignment w:val="auto"/>
              <w:rPr>
                <w:rFonts w:hint="default" w:ascii="Times New Roman" w:hAnsi="Times New Roman" w:eastAsia="宋体" w:cs="Times New Roman"/>
                <w:color w:val="000000" w:themeColor="text1"/>
                <w14:textFill>
                  <w14:solidFill>
                    <w14:schemeClr w14:val="tx1"/>
                  </w14:solidFill>
                </w14:textFill>
              </w:rPr>
            </w:pPr>
            <w:r>
              <w:rPr>
                <w:rFonts w:hint="eastAsia" w:cs="Times New Roman"/>
                <w:color w:val="000000" w:themeColor="text1"/>
                <w:sz w:val="24"/>
                <w:lang w:val="en-US" w:eastAsia="zh-CN" w:bidi="ar"/>
                <w14:textFill>
                  <w14:solidFill>
                    <w14:schemeClr w14:val="tx1"/>
                  </w14:solidFill>
                </w14:textFill>
              </w:rPr>
              <w:t>6</w:t>
            </w:r>
            <w:r>
              <w:rPr>
                <w:rFonts w:hint="default" w:ascii="Times New Roman" w:hAnsi="Times New Roman" w:eastAsia="宋体" w:cs="Times New Roman"/>
                <w:color w:val="000000" w:themeColor="text1"/>
                <w:sz w:val="24"/>
                <w:lang w:val="en-US" w:eastAsia="zh-CN" w:bidi="ar"/>
                <w14:textFill>
                  <w14:solidFill>
                    <w14:schemeClr w14:val="tx1"/>
                  </w14:solidFill>
                </w14:textFill>
              </w:rPr>
              <w:t>、</w:t>
            </w:r>
            <w:r>
              <w:rPr>
                <w:rFonts w:hint="default" w:ascii="Times New Roman" w:hAnsi="Times New Roman" w:eastAsia="宋体" w:cs="Times New Roman"/>
                <w:color w:val="000000" w:themeColor="text1"/>
                <w:sz w:val="24"/>
                <w:lang w:bidi="ar"/>
                <w14:textFill>
                  <w14:solidFill>
                    <w14:schemeClr w14:val="tx1"/>
                  </w14:solidFill>
                </w14:textFill>
              </w:rPr>
              <w:t>项目服务期满后，要采取生态恢复措施，妥善处置固废，确保无遗留环境问题。</w:t>
            </w:r>
          </w:p>
          <w:p w14:paraId="19F72F10">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6F7BED53">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1AA8AB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5D8597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4E353105">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5C9A19B">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3297C702">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left="120" w:leftChars="50"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p w14:paraId="25F52F0D">
            <w:pPr>
              <w:pStyle w:val="22"/>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right="120" w:rightChars="50"/>
              <w:jc w:val="both"/>
              <w:textAlignment w:val="auto"/>
              <w:rPr>
                <w:rFonts w:hint="default" w:ascii="Times New Roman" w:hAnsi="Times New Roman" w:eastAsia="宋体" w:cs="Times New Roman"/>
                <w:color w:val="000000" w:themeColor="text1"/>
                <w14:textFill>
                  <w14:solidFill>
                    <w14:schemeClr w14:val="tx1"/>
                  </w14:solidFill>
                </w14:textFill>
              </w:rPr>
            </w:pPr>
          </w:p>
        </w:tc>
      </w:tr>
    </w:tbl>
    <w:p w14:paraId="7462A1D3">
      <w:pPr>
        <w:spacing w:after="0" w:line="364" w:lineRule="auto"/>
        <w:jc w:val="both"/>
        <w:rPr>
          <w:rFonts w:hint="default" w:ascii="Times New Roman" w:hAnsi="Times New Roman" w:eastAsia="宋体" w:cs="Times New Roman"/>
          <w:color w:val="000000" w:themeColor="text1"/>
          <w:sz w:val="21"/>
          <w14:textFill>
            <w14:solidFill>
              <w14:schemeClr w14:val="tx1"/>
            </w14:solidFill>
          </w14:textFill>
        </w:rPr>
        <w:sectPr>
          <w:pgSz w:w="11910" w:h="16840"/>
          <w:pgMar w:top="1457" w:right="1525" w:bottom="1457" w:left="1525" w:header="0" w:footer="947" w:gutter="0"/>
          <w:pgBorders>
            <w:top w:val="none" w:sz="0" w:space="0"/>
            <w:left w:val="none" w:sz="0" w:space="0"/>
            <w:bottom w:val="none" w:sz="0" w:space="0"/>
            <w:right w:val="none" w:sz="0" w:space="0"/>
          </w:pgBorders>
          <w:pgNumType w:fmt="decimal"/>
          <w:cols w:space="720" w:num="1"/>
        </w:sectPr>
      </w:pPr>
    </w:p>
    <w:p w14:paraId="1C5D4A6F">
      <w:pPr>
        <w:widowControl w:val="0"/>
        <w:spacing w:line="360" w:lineRule="auto"/>
        <w:jc w:val="center"/>
        <w:rPr>
          <w:rFonts w:hint="default" w:ascii="Times New Roman" w:hAnsi="Times New Roman" w:eastAsia="宋体" w:cs="Times New Roman"/>
          <w:b/>
          <w:bCs/>
          <w:color w:val="000000" w:themeColor="text1"/>
          <w:kern w:val="2"/>
          <w:sz w:val="32"/>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32"/>
          <w:szCs w:val="24"/>
          <w:lang w:val="en-US" w:eastAsia="zh-CN" w:bidi="ar-SA"/>
          <w14:textFill>
            <w14:solidFill>
              <w14:schemeClr w14:val="tx1"/>
            </w14:solidFill>
          </w14:textFill>
        </w:rPr>
        <w:t>建设项目环境保护“三同时”竣工验收登记表</w:t>
      </w:r>
    </w:p>
    <w:p w14:paraId="5F4C6B8B">
      <w:pPr>
        <w:autoSpaceDE/>
        <w:autoSpaceDN/>
        <w:spacing w:before="0" w:after="0" w:line="240" w:lineRule="auto"/>
        <w:ind w:left="0" w:right="0" w:firstLine="0" w:firstLineChars="0"/>
        <w:rPr>
          <w:rFonts w:hint="default" w:ascii="Times New Roman" w:hAnsi="Times New Roman" w:eastAsia="宋体" w:cs="Times New Roman"/>
          <w:color w:val="000000" w:themeColor="text1"/>
          <w:kern w:val="2"/>
          <w:sz w:val="28"/>
          <w:szCs w:val="20"/>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填表单位（盖章）：</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 xml:space="preserve">  </w:t>
      </w:r>
      <w: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t xml:space="preserve">                         </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填表人：                           项目经办人：</w:t>
      </w:r>
    </w:p>
    <w:tbl>
      <w:tblPr>
        <w:tblStyle w:val="16"/>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540"/>
        <w:gridCol w:w="331"/>
        <w:gridCol w:w="1090"/>
        <w:gridCol w:w="261"/>
        <w:gridCol w:w="457"/>
        <w:gridCol w:w="237"/>
        <w:gridCol w:w="578"/>
        <w:gridCol w:w="222"/>
        <w:gridCol w:w="599"/>
        <w:gridCol w:w="135"/>
        <w:gridCol w:w="687"/>
        <w:gridCol w:w="10"/>
        <w:gridCol w:w="259"/>
        <w:gridCol w:w="955"/>
        <w:gridCol w:w="250"/>
        <w:gridCol w:w="609"/>
        <w:gridCol w:w="292"/>
        <w:gridCol w:w="646"/>
        <w:gridCol w:w="214"/>
        <w:gridCol w:w="834"/>
        <w:gridCol w:w="23"/>
        <w:gridCol w:w="373"/>
        <w:gridCol w:w="280"/>
        <w:gridCol w:w="107"/>
        <w:gridCol w:w="247"/>
        <w:gridCol w:w="348"/>
        <w:gridCol w:w="290"/>
        <w:gridCol w:w="183"/>
        <w:gridCol w:w="84"/>
        <w:gridCol w:w="243"/>
        <w:gridCol w:w="712"/>
        <w:gridCol w:w="271"/>
        <w:gridCol w:w="685"/>
        <w:gridCol w:w="51"/>
        <w:gridCol w:w="911"/>
      </w:tblGrid>
      <w:tr w14:paraId="59EA72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restart"/>
            <w:noWrap w:val="0"/>
            <w:textDirection w:val="tbRlV"/>
            <w:vAlign w:val="center"/>
          </w:tcPr>
          <w:p w14:paraId="33AA9EA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建 设 项 目</w:t>
            </w:r>
          </w:p>
        </w:tc>
        <w:tc>
          <w:tcPr>
            <w:tcW w:w="1682" w:type="dxa"/>
            <w:gridSpan w:val="3"/>
            <w:noWrap w:val="0"/>
            <w:vAlign w:val="center"/>
          </w:tcPr>
          <w:p w14:paraId="0917D44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项目名称</w:t>
            </w:r>
          </w:p>
        </w:tc>
        <w:tc>
          <w:tcPr>
            <w:tcW w:w="4998" w:type="dxa"/>
            <w:gridSpan w:val="12"/>
            <w:noWrap w:val="0"/>
            <w:vAlign w:val="center"/>
          </w:tcPr>
          <w:p w14:paraId="781CE32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坎山村20MW光伏发电项目</w:t>
            </w:r>
          </w:p>
        </w:tc>
        <w:tc>
          <w:tcPr>
            <w:tcW w:w="2382" w:type="dxa"/>
            <w:gridSpan w:val="6"/>
            <w:noWrap w:val="0"/>
            <w:vAlign w:val="center"/>
          </w:tcPr>
          <w:p w14:paraId="2C428E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建设地点</w:t>
            </w:r>
          </w:p>
        </w:tc>
        <w:tc>
          <w:tcPr>
            <w:tcW w:w="4412" w:type="dxa"/>
            <w:gridSpan w:val="13"/>
            <w:noWrap w:val="0"/>
            <w:vAlign w:val="center"/>
          </w:tcPr>
          <w:p w14:paraId="3ACF3A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六安市霍邱县邵岗乡坎山村</w:t>
            </w:r>
          </w:p>
        </w:tc>
      </w:tr>
      <w:tr w14:paraId="65F2CB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540" w:type="dxa"/>
            <w:vMerge w:val="continue"/>
            <w:noWrap w:val="0"/>
            <w:vAlign w:val="center"/>
          </w:tcPr>
          <w:p w14:paraId="79E585F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64E6BD9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行业类别</w:t>
            </w:r>
          </w:p>
        </w:tc>
        <w:tc>
          <w:tcPr>
            <w:tcW w:w="4998" w:type="dxa"/>
            <w:gridSpan w:val="12"/>
            <w:noWrap w:val="0"/>
            <w:vAlign w:val="center"/>
          </w:tcPr>
          <w:p w14:paraId="53B03BF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D4420 电力供应业</w:t>
            </w:r>
          </w:p>
        </w:tc>
        <w:tc>
          <w:tcPr>
            <w:tcW w:w="2382" w:type="dxa"/>
            <w:gridSpan w:val="6"/>
            <w:noWrap w:val="0"/>
            <w:vAlign w:val="center"/>
          </w:tcPr>
          <w:p w14:paraId="60D3AC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建设性质</w:t>
            </w:r>
          </w:p>
        </w:tc>
        <w:tc>
          <w:tcPr>
            <w:tcW w:w="4412" w:type="dxa"/>
            <w:gridSpan w:val="13"/>
            <w:noWrap w:val="0"/>
            <w:vAlign w:val="center"/>
          </w:tcPr>
          <w:p w14:paraId="062EEEA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新建</w:t>
            </w:r>
          </w:p>
        </w:tc>
      </w:tr>
      <w:tr w14:paraId="6DF33F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70933B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4F9073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设计生产能力</w:t>
            </w:r>
          </w:p>
        </w:tc>
        <w:tc>
          <w:tcPr>
            <w:tcW w:w="2915" w:type="dxa"/>
            <w:gridSpan w:val="7"/>
            <w:noWrap w:val="0"/>
            <w:vAlign w:val="center"/>
          </w:tcPr>
          <w:p w14:paraId="314FD1C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项目总装机容量20MW，年平均发电量2046万kW·h</w:t>
            </w:r>
          </w:p>
        </w:tc>
        <w:tc>
          <w:tcPr>
            <w:tcW w:w="2083" w:type="dxa"/>
            <w:gridSpan w:val="5"/>
            <w:noWrap w:val="0"/>
            <w:vAlign w:val="center"/>
          </w:tcPr>
          <w:p w14:paraId="196583C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实际生产能力</w:t>
            </w:r>
          </w:p>
        </w:tc>
        <w:tc>
          <w:tcPr>
            <w:tcW w:w="3016" w:type="dxa"/>
            <w:gridSpan w:val="9"/>
            <w:noWrap w:val="0"/>
            <w:vAlign w:val="center"/>
          </w:tcPr>
          <w:p w14:paraId="288DC9B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总装机容量20MW，年均发电量约</w:t>
            </w:r>
            <w:r>
              <w:rPr>
                <w:rFonts w:hint="eastAsia" w:cs="Times New Roman"/>
                <w:color w:val="000000" w:themeColor="text1"/>
                <w:kern w:val="0"/>
                <w:sz w:val="18"/>
                <w:szCs w:val="18"/>
                <w:lang w:val="en-US" w:eastAsia="zh-CN" w:bidi="ar-SA"/>
                <w14:textFill>
                  <w14:solidFill>
                    <w14:schemeClr w14:val="tx1"/>
                  </w14:solidFill>
                </w14:textFill>
              </w:rPr>
              <w:t>2046</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万kW·h</w:t>
            </w:r>
          </w:p>
        </w:tc>
        <w:tc>
          <w:tcPr>
            <w:tcW w:w="821" w:type="dxa"/>
            <w:gridSpan w:val="3"/>
            <w:noWrap w:val="0"/>
            <w:vAlign w:val="center"/>
          </w:tcPr>
          <w:p w14:paraId="087EE1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环评单位</w:t>
            </w:r>
          </w:p>
        </w:tc>
        <w:tc>
          <w:tcPr>
            <w:tcW w:w="2957" w:type="dxa"/>
            <w:gridSpan w:val="7"/>
            <w:noWrap w:val="0"/>
            <w:vAlign w:val="center"/>
          </w:tcPr>
          <w:p w14:paraId="1AE7E75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安徽省四维环境工程有限公司</w:t>
            </w:r>
          </w:p>
        </w:tc>
      </w:tr>
      <w:tr w14:paraId="0A65F56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8" w:hRule="atLeast"/>
          <w:jc w:val="center"/>
        </w:trPr>
        <w:tc>
          <w:tcPr>
            <w:tcW w:w="540" w:type="dxa"/>
            <w:vMerge w:val="continue"/>
            <w:noWrap w:val="0"/>
            <w:vAlign w:val="center"/>
          </w:tcPr>
          <w:p w14:paraId="421E1AC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54A323F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环评审批机关</w:t>
            </w:r>
          </w:p>
        </w:tc>
        <w:tc>
          <w:tcPr>
            <w:tcW w:w="2915" w:type="dxa"/>
            <w:gridSpan w:val="7"/>
            <w:noWrap w:val="0"/>
            <w:vAlign w:val="center"/>
          </w:tcPr>
          <w:p w14:paraId="532B4EE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六安市生态环境局</w:t>
            </w:r>
          </w:p>
        </w:tc>
        <w:tc>
          <w:tcPr>
            <w:tcW w:w="2083" w:type="dxa"/>
            <w:gridSpan w:val="5"/>
            <w:noWrap w:val="0"/>
            <w:vAlign w:val="center"/>
          </w:tcPr>
          <w:p w14:paraId="3D31CC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审批文号</w:t>
            </w:r>
          </w:p>
        </w:tc>
        <w:tc>
          <w:tcPr>
            <w:tcW w:w="3016" w:type="dxa"/>
            <w:gridSpan w:val="9"/>
            <w:noWrap w:val="0"/>
            <w:vAlign w:val="center"/>
          </w:tcPr>
          <w:p w14:paraId="09C6DD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六环评〔2017〕26号</w:t>
            </w:r>
          </w:p>
        </w:tc>
        <w:tc>
          <w:tcPr>
            <w:tcW w:w="1860" w:type="dxa"/>
            <w:gridSpan w:val="6"/>
            <w:noWrap w:val="0"/>
            <w:vAlign w:val="center"/>
          </w:tcPr>
          <w:p w14:paraId="4EF7856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环评文件类型</w:t>
            </w:r>
          </w:p>
        </w:tc>
        <w:tc>
          <w:tcPr>
            <w:tcW w:w="1918" w:type="dxa"/>
            <w:gridSpan w:val="4"/>
            <w:noWrap w:val="0"/>
            <w:vAlign w:val="center"/>
          </w:tcPr>
          <w:p w14:paraId="2A6A460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环境影响报告</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表</w:t>
            </w:r>
          </w:p>
        </w:tc>
      </w:tr>
      <w:tr w14:paraId="49078E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540" w:type="dxa"/>
            <w:vMerge w:val="continue"/>
            <w:noWrap w:val="0"/>
            <w:vAlign w:val="center"/>
          </w:tcPr>
          <w:p w14:paraId="6D736E4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3673CF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开工日期</w:t>
            </w:r>
          </w:p>
        </w:tc>
        <w:tc>
          <w:tcPr>
            <w:tcW w:w="2915" w:type="dxa"/>
            <w:gridSpan w:val="7"/>
            <w:noWrap w:val="0"/>
            <w:vAlign w:val="center"/>
          </w:tcPr>
          <w:p w14:paraId="0CD313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w:t>
            </w:r>
            <w:r>
              <w:rPr>
                <w:rFonts w:hint="eastAsia" w:cs="Times New Roman"/>
                <w:color w:val="000000" w:themeColor="text1"/>
                <w:kern w:val="0"/>
                <w:sz w:val="18"/>
                <w:szCs w:val="18"/>
                <w:lang w:val="en-US" w:eastAsia="zh-CN" w:bidi="ar-SA"/>
                <w14:textFill>
                  <w14:solidFill>
                    <w14:schemeClr w14:val="tx1"/>
                  </w14:solidFill>
                </w14:textFill>
              </w:rPr>
              <w:t>17</w:t>
            </w:r>
          </w:p>
        </w:tc>
        <w:tc>
          <w:tcPr>
            <w:tcW w:w="2083" w:type="dxa"/>
            <w:gridSpan w:val="5"/>
            <w:noWrap w:val="0"/>
            <w:vAlign w:val="center"/>
          </w:tcPr>
          <w:p w14:paraId="11975DD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竣工日期</w:t>
            </w:r>
          </w:p>
        </w:tc>
        <w:tc>
          <w:tcPr>
            <w:tcW w:w="3016" w:type="dxa"/>
            <w:gridSpan w:val="9"/>
            <w:noWrap w:val="0"/>
            <w:vAlign w:val="center"/>
          </w:tcPr>
          <w:p w14:paraId="6BE7D80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202</w:t>
            </w:r>
            <w:r>
              <w:rPr>
                <w:rFonts w:hint="eastAsia" w:cs="Times New Roman"/>
                <w:color w:val="000000" w:themeColor="text1"/>
                <w:kern w:val="0"/>
                <w:sz w:val="18"/>
                <w:szCs w:val="18"/>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r>
              <w:rPr>
                <w:rFonts w:hint="eastAsia" w:cs="Times New Roman"/>
                <w:color w:val="000000" w:themeColor="text1"/>
                <w:kern w:val="0"/>
                <w:sz w:val="18"/>
                <w:szCs w:val="18"/>
                <w:lang w:val="en-US" w:eastAsia="zh-CN" w:bidi="ar-SA"/>
                <w14:textFill>
                  <w14:solidFill>
                    <w14:schemeClr w14:val="tx1"/>
                  </w14:solidFill>
                </w14:textFill>
              </w:rPr>
              <w:t>3</w:t>
            </w:r>
          </w:p>
        </w:tc>
        <w:tc>
          <w:tcPr>
            <w:tcW w:w="1860" w:type="dxa"/>
            <w:gridSpan w:val="6"/>
            <w:noWrap w:val="0"/>
            <w:vAlign w:val="center"/>
          </w:tcPr>
          <w:p w14:paraId="209DEE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排污许可证申领时间</w:t>
            </w:r>
          </w:p>
        </w:tc>
        <w:tc>
          <w:tcPr>
            <w:tcW w:w="1918" w:type="dxa"/>
            <w:gridSpan w:val="4"/>
            <w:noWrap w:val="0"/>
            <w:vAlign w:val="center"/>
          </w:tcPr>
          <w:p w14:paraId="523BF2A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w:t>
            </w:r>
          </w:p>
        </w:tc>
      </w:tr>
      <w:tr w14:paraId="0B9330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3BA39D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EA9741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环保设施设计单位</w:t>
            </w:r>
          </w:p>
        </w:tc>
        <w:tc>
          <w:tcPr>
            <w:tcW w:w="2915" w:type="dxa"/>
            <w:gridSpan w:val="7"/>
            <w:noWrap w:val="0"/>
            <w:vAlign w:val="center"/>
          </w:tcPr>
          <w:p w14:paraId="071F04F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信息产业电子第十一设计研究院科技工程股份有限公司</w:t>
            </w:r>
          </w:p>
        </w:tc>
        <w:tc>
          <w:tcPr>
            <w:tcW w:w="2083" w:type="dxa"/>
            <w:gridSpan w:val="5"/>
            <w:noWrap w:val="0"/>
            <w:vAlign w:val="center"/>
          </w:tcPr>
          <w:p w14:paraId="68EF741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环保设施施工单位</w:t>
            </w:r>
          </w:p>
        </w:tc>
        <w:tc>
          <w:tcPr>
            <w:tcW w:w="3016" w:type="dxa"/>
            <w:gridSpan w:val="9"/>
            <w:noWrap w:val="0"/>
            <w:vAlign w:val="center"/>
          </w:tcPr>
          <w:p w14:paraId="788FCB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p>
        </w:tc>
        <w:tc>
          <w:tcPr>
            <w:tcW w:w="1860" w:type="dxa"/>
            <w:gridSpan w:val="6"/>
            <w:noWrap w:val="0"/>
            <w:vAlign w:val="center"/>
          </w:tcPr>
          <w:p w14:paraId="3449FC4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本工程排污许可证编号</w:t>
            </w:r>
          </w:p>
        </w:tc>
        <w:tc>
          <w:tcPr>
            <w:tcW w:w="1918" w:type="dxa"/>
            <w:gridSpan w:val="4"/>
            <w:noWrap w:val="0"/>
            <w:vAlign w:val="center"/>
          </w:tcPr>
          <w:p w14:paraId="0F32C73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t>/</w:t>
            </w:r>
          </w:p>
        </w:tc>
      </w:tr>
      <w:tr w14:paraId="6F2C8F6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2B71B1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FCEAA6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验收单位</w:t>
            </w:r>
          </w:p>
        </w:tc>
        <w:tc>
          <w:tcPr>
            <w:tcW w:w="2915" w:type="dxa"/>
            <w:gridSpan w:val="7"/>
            <w:noWrap w:val="0"/>
            <w:vAlign w:val="center"/>
          </w:tcPr>
          <w:p w14:paraId="6DC8629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p>
        </w:tc>
        <w:tc>
          <w:tcPr>
            <w:tcW w:w="2083" w:type="dxa"/>
            <w:gridSpan w:val="5"/>
            <w:noWrap w:val="0"/>
            <w:vAlign w:val="center"/>
          </w:tcPr>
          <w:p w14:paraId="18F7B58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环保设施监测单位</w:t>
            </w:r>
          </w:p>
        </w:tc>
        <w:tc>
          <w:tcPr>
            <w:tcW w:w="3016" w:type="dxa"/>
            <w:gridSpan w:val="9"/>
            <w:noWrap w:val="0"/>
            <w:vAlign w:val="center"/>
          </w:tcPr>
          <w:p w14:paraId="0100B4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安徽鑫程检测科技有限公司</w:t>
            </w:r>
          </w:p>
        </w:tc>
        <w:tc>
          <w:tcPr>
            <w:tcW w:w="1860" w:type="dxa"/>
            <w:gridSpan w:val="6"/>
            <w:noWrap w:val="0"/>
            <w:vAlign w:val="center"/>
          </w:tcPr>
          <w:p w14:paraId="2ACDC5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验收监测时工况</w:t>
            </w:r>
          </w:p>
        </w:tc>
        <w:tc>
          <w:tcPr>
            <w:tcW w:w="1918" w:type="dxa"/>
            <w:gridSpan w:val="4"/>
            <w:noWrap w:val="0"/>
            <w:vAlign w:val="center"/>
          </w:tcPr>
          <w:p w14:paraId="739A09F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正常运行</w:t>
            </w:r>
          </w:p>
        </w:tc>
      </w:tr>
      <w:tr w14:paraId="387BABC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540" w:type="dxa"/>
            <w:vMerge w:val="continue"/>
            <w:noWrap w:val="0"/>
            <w:vAlign w:val="center"/>
          </w:tcPr>
          <w:p w14:paraId="758736A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2D3B47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投资总概算（万元）</w:t>
            </w:r>
          </w:p>
        </w:tc>
        <w:tc>
          <w:tcPr>
            <w:tcW w:w="2915" w:type="dxa"/>
            <w:gridSpan w:val="7"/>
            <w:noWrap w:val="0"/>
            <w:vAlign w:val="center"/>
          </w:tcPr>
          <w:p w14:paraId="552C6AD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12833.38</w:t>
            </w:r>
          </w:p>
        </w:tc>
        <w:tc>
          <w:tcPr>
            <w:tcW w:w="2083" w:type="dxa"/>
            <w:gridSpan w:val="5"/>
            <w:noWrap w:val="0"/>
            <w:vAlign w:val="center"/>
          </w:tcPr>
          <w:p w14:paraId="074A323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环保投资总概算（万元）</w:t>
            </w:r>
          </w:p>
        </w:tc>
        <w:tc>
          <w:tcPr>
            <w:tcW w:w="3016" w:type="dxa"/>
            <w:gridSpan w:val="9"/>
            <w:noWrap w:val="0"/>
            <w:vAlign w:val="center"/>
          </w:tcPr>
          <w:p w14:paraId="06FD455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220</w:t>
            </w:r>
          </w:p>
        </w:tc>
        <w:tc>
          <w:tcPr>
            <w:tcW w:w="1860" w:type="dxa"/>
            <w:gridSpan w:val="6"/>
            <w:noWrap w:val="0"/>
            <w:vAlign w:val="center"/>
          </w:tcPr>
          <w:p w14:paraId="4DE7FF4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所占比例（%）</w:t>
            </w:r>
          </w:p>
        </w:tc>
        <w:tc>
          <w:tcPr>
            <w:tcW w:w="1918" w:type="dxa"/>
            <w:gridSpan w:val="4"/>
            <w:noWrap w:val="0"/>
            <w:vAlign w:val="center"/>
          </w:tcPr>
          <w:p w14:paraId="14F136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1.71</w:t>
            </w:r>
          </w:p>
        </w:tc>
      </w:tr>
      <w:tr w14:paraId="0043155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5" w:hRule="atLeast"/>
          <w:jc w:val="center"/>
        </w:trPr>
        <w:tc>
          <w:tcPr>
            <w:tcW w:w="540" w:type="dxa"/>
            <w:vMerge w:val="continue"/>
            <w:noWrap w:val="0"/>
            <w:vAlign w:val="center"/>
          </w:tcPr>
          <w:p w14:paraId="44DF03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09CA08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实际总投资（万元）</w:t>
            </w:r>
          </w:p>
        </w:tc>
        <w:tc>
          <w:tcPr>
            <w:tcW w:w="2915" w:type="dxa"/>
            <w:gridSpan w:val="7"/>
            <w:noWrap w:val="0"/>
            <w:vAlign w:val="center"/>
          </w:tcPr>
          <w:p w14:paraId="375E3FC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11500</w:t>
            </w:r>
          </w:p>
        </w:tc>
        <w:tc>
          <w:tcPr>
            <w:tcW w:w="2083" w:type="dxa"/>
            <w:gridSpan w:val="5"/>
            <w:noWrap w:val="0"/>
            <w:vAlign w:val="center"/>
          </w:tcPr>
          <w:p w14:paraId="42A974F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实际环保投资（万元）</w:t>
            </w:r>
          </w:p>
        </w:tc>
        <w:tc>
          <w:tcPr>
            <w:tcW w:w="3016" w:type="dxa"/>
            <w:gridSpan w:val="9"/>
            <w:noWrap w:val="0"/>
            <w:vAlign w:val="center"/>
          </w:tcPr>
          <w:p w14:paraId="243EC5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165.8</w:t>
            </w:r>
          </w:p>
        </w:tc>
        <w:tc>
          <w:tcPr>
            <w:tcW w:w="1860" w:type="dxa"/>
            <w:gridSpan w:val="6"/>
            <w:noWrap w:val="0"/>
            <w:vAlign w:val="center"/>
          </w:tcPr>
          <w:p w14:paraId="33153C6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所占比例（%）</w:t>
            </w:r>
          </w:p>
        </w:tc>
        <w:tc>
          <w:tcPr>
            <w:tcW w:w="1918" w:type="dxa"/>
            <w:gridSpan w:val="4"/>
            <w:noWrap w:val="0"/>
            <w:vAlign w:val="center"/>
          </w:tcPr>
          <w:p w14:paraId="16BA51B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1.47</w:t>
            </w:r>
          </w:p>
        </w:tc>
      </w:tr>
      <w:tr w14:paraId="22F59C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0BEBBC3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682" w:type="dxa"/>
            <w:gridSpan w:val="3"/>
            <w:noWrap w:val="0"/>
            <w:vAlign w:val="center"/>
          </w:tcPr>
          <w:p w14:paraId="2F7D1F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废水治理（万元）</w:t>
            </w:r>
          </w:p>
        </w:tc>
        <w:tc>
          <w:tcPr>
            <w:tcW w:w="694" w:type="dxa"/>
            <w:gridSpan w:val="2"/>
            <w:noWrap w:val="0"/>
            <w:vAlign w:val="center"/>
          </w:tcPr>
          <w:p w14:paraId="1A810D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w:t>
            </w:r>
          </w:p>
        </w:tc>
        <w:tc>
          <w:tcPr>
            <w:tcW w:w="1399" w:type="dxa"/>
            <w:gridSpan w:val="3"/>
            <w:noWrap w:val="0"/>
            <w:vAlign w:val="center"/>
          </w:tcPr>
          <w:p w14:paraId="4B3E1AE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废气治理（万元）</w:t>
            </w:r>
          </w:p>
        </w:tc>
        <w:tc>
          <w:tcPr>
            <w:tcW w:w="832" w:type="dxa"/>
            <w:gridSpan w:val="3"/>
            <w:noWrap w:val="0"/>
            <w:vAlign w:val="center"/>
          </w:tcPr>
          <w:p w14:paraId="65EF0F0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5.5</w:t>
            </w:r>
          </w:p>
        </w:tc>
        <w:tc>
          <w:tcPr>
            <w:tcW w:w="1464" w:type="dxa"/>
            <w:gridSpan w:val="3"/>
            <w:noWrap w:val="0"/>
            <w:vAlign w:val="center"/>
          </w:tcPr>
          <w:p w14:paraId="0497A78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噪声治理（万元）</w:t>
            </w:r>
          </w:p>
        </w:tc>
        <w:tc>
          <w:tcPr>
            <w:tcW w:w="609" w:type="dxa"/>
            <w:noWrap w:val="0"/>
            <w:vAlign w:val="center"/>
          </w:tcPr>
          <w:p w14:paraId="5ABCF2D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20</w:t>
            </w:r>
          </w:p>
        </w:tc>
        <w:tc>
          <w:tcPr>
            <w:tcW w:w="1986" w:type="dxa"/>
            <w:gridSpan w:val="4"/>
            <w:noWrap w:val="0"/>
            <w:vAlign w:val="center"/>
          </w:tcPr>
          <w:p w14:paraId="2FC7C3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固体废物治理（万元）</w:t>
            </w:r>
          </w:p>
        </w:tc>
        <w:tc>
          <w:tcPr>
            <w:tcW w:w="676" w:type="dxa"/>
            <w:gridSpan w:val="3"/>
            <w:noWrap w:val="0"/>
            <w:vAlign w:val="center"/>
          </w:tcPr>
          <w:p w14:paraId="13EA52A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8</w:t>
            </w:r>
          </w:p>
        </w:tc>
        <w:tc>
          <w:tcPr>
            <w:tcW w:w="1502" w:type="dxa"/>
            <w:gridSpan w:val="7"/>
            <w:noWrap w:val="0"/>
            <w:vAlign w:val="center"/>
          </w:tcPr>
          <w:p w14:paraId="105DC72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绿化及生态（万元）</w:t>
            </w:r>
          </w:p>
        </w:tc>
        <w:tc>
          <w:tcPr>
            <w:tcW w:w="712" w:type="dxa"/>
            <w:noWrap w:val="0"/>
            <w:vAlign w:val="center"/>
          </w:tcPr>
          <w:p w14:paraId="00D8AB5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120</w:t>
            </w:r>
          </w:p>
        </w:tc>
        <w:tc>
          <w:tcPr>
            <w:tcW w:w="1007" w:type="dxa"/>
            <w:gridSpan w:val="3"/>
            <w:noWrap w:val="0"/>
            <w:vAlign w:val="center"/>
          </w:tcPr>
          <w:p w14:paraId="05E402C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其它（万元）</w:t>
            </w:r>
          </w:p>
        </w:tc>
        <w:tc>
          <w:tcPr>
            <w:tcW w:w="911" w:type="dxa"/>
            <w:noWrap w:val="0"/>
            <w:vAlign w:val="center"/>
          </w:tcPr>
          <w:p w14:paraId="5742992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10</w:t>
            </w:r>
          </w:p>
        </w:tc>
      </w:tr>
      <w:tr w14:paraId="0B6712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540" w:type="dxa"/>
            <w:vMerge w:val="continue"/>
            <w:noWrap w:val="0"/>
            <w:vAlign w:val="center"/>
          </w:tcPr>
          <w:p w14:paraId="5945799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2376" w:type="dxa"/>
            <w:gridSpan w:val="5"/>
            <w:noWrap w:val="0"/>
            <w:vAlign w:val="center"/>
          </w:tcPr>
          <w:p w14:paraId="73EDDF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新增废水处理设施能力</w:t>
            </w:r>
          </w:p>
        </w:tc>
        <w:tc>
          <w:tcPr>
            <w:tcW w:w="2231" w:type="dxa"/>
            <w:gridSpan w:val="6"/>
            <w:noWrap w:val="0"/>
            <w:vAlign w:val="center"/>
          </w:tcPr>
          <w:p w14:paraId="4A21289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3011" w:type="dxa"/>
            <w:gridSpan w:val="6"/>
            <w:noWrap w:val="0"/>
            <w:vAlign w:val="center"/>
          </w:tcPr>
          <w:p w14:paraId="6B0E752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新增废气处理设施能力（Nm</w:t>
            </w:r>
            <w:r>
              <w:rPr>
                <w:rFonts w:hint="default" w:ascii="Times New Roman" w:hAnsi="Times New Roman" w:eastAsia="宋体" w:cs="Times New Roman"/>
                <w:color w:val="000000" w:themeColor="text1"/>
                <w:kern w:val="0"/>
                <w:sz w:val="18"/>
                <w:szCs w:val="18"/>
                <w:vertAlign w:val="superscript"/>
                <w:lang w:val="en-US" w:bidi="ar-SA"/>
                <w14:textFill>
                  <w14:solidFill>
                    <w14:schemeClr w14:val="tx1"/>
                  </w14:solidFill>
                </w14:textFill>
              </w:rPr>
              <w:t>3</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/h）</w:t>
            </w:r>
          </w:p>
        </w:tc>
        <w:tc>
          <w:tcPr>
            <w:tcW w:w="2426" w:type="dxa"/>
            <w:gridSpan w:val="8"/>
            <w:noWrap w:val="0"/>
            <w:vAlign w:val="center"/>
          </w:tcPr>
          <w:p w14:paraId="08F6CB1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783" w:type="dxa"/>
            <w:gridSpan w:val="6"/>
            <w:noWrap w:val="0"/>
            <w:vAlign w:val="center"/>
          </w:tcPr>
          <w:p w14:paraId="71D1978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年平均工作日（h/a）</w:t>
            </w:r>
          </w:p>
        </w:tc>
        <w:tc>
          <w:tcPr>
            <w:tcW w:w="1647" w:type="dxa"/>
            <w:gridSpan w:val="3"/>
            <w:noWrap w:val="0"/>
            <w:vAlign w:val="center"/>
          </w:tcPr>
          <w:p w14:paraId="4C647D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8760</w:t>
            </w:r>
          </w:p>
        </w:tc>
      </w:tr>
      <w:tr w14:paraId="31409B3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noWrap w:val="0"/>
            <w:vAlign w:val="center"/>
          </w:tcPr>
          <w:p w14:paraId="1EA46DC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运营单位</w:t>
            </w:r>
          </w:p>
        </w:tc>
        <w:tc>
          <w:tcPr>
            <w:tcW w:w="2845" w:type="dxa"/>
            <w:gridSpan w:val="6"/>
            <w:noWrap w:val="0"/>
            <w:vAlign w:val="center"/>
          </w:tcPr>
          <w:p w14:paraId="2973B1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霍邱韩瑞新能源发电有限公司</w:t>
            </w:r>
          </w:p>
        </w:tc>
        <w:tc>
          <w:tcPr>
            <w:tcW w:w="3796" w:type="dxa"/>
            <w:gridSpan w:val="9"/>
            <w:noWrap w:val="0"/>
            <w:vAlign w:val="center"/>
          </w:tcPr>
          <w:p w14:paraId="7A55B7F0">
            <w:pPr>
              <w:keepNext w:val="0"/>
              <w:keepLines w:val="0"/>
              <w:pageBreakBefore w:val="0"/>
              <w:widowControl/>
              <w:kinsoku/>
              <w:wordWrap/>
              <w:overflowPunct/>
              <w:topLinePunct w:val="0"/>
              <w:autoSpaceDE/>
              <w:autoSpaceDN/>
              <w:bidi w:val="0"/>
              <w:adjustRightInd/>
              <w:snapToGrid/>
              <w:spacing w:before="0" w:after="0" w:line="240" w:lineRule="auto"/>
              <w:ind w:left="-120" w:leftChars="-50" w:right="-120" w:rightChars="-5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运营单位社会统一信用代码（或组织机构代码）</w:t>
            </w:r>
          </w:p>
        </w:tc>
        <w:tc>
          <w:tcPr>
            <w:tcW w:w="2477" w:type="dxa"/>
            <w:gridSpan w:val="7"/>
            <w:noWrap w:val="0"/>
            <w:vAlign w:val="center"/>
          </w:tcPr>
          <w:p w14:paraId="0709D68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91341522MA2MXAXT5P</w:t>
            </w:r>
          </w:p>
        </w:tc>
        <w:tc>
          <w:tcPr>
            <w:tcW w:w="885" w:type="dxa"/>
            <w:gridSpan w:val="3"/>
            <w:noWrap w:val="0"/>
            <w:vAlign w:val="center"/>
          </w:tcPr>
          <w:p w14:paraId="1D6E19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验收时间</w:t>
            </w:r>
          </w:p>
        </w:tc>
        <w:tc>
          <w:tcPr>
            <w:tcW w:w="3140" w:type="dxa"/>
            <w:gridSpan w:val="8"/>
            <w:noWrap w:val="0"/>
            <w:vAlign w:val="center"/>
          </w:tcPr>
          <w:p w14:paraId="235566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202</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5.2</w:t>
            </w:r>
            <w:r>
              <w:rPr>
                <w:rFonts w:hint="default" w:ascii="Times New Roman" w:hAnsi="Times New Roman" w:eastAsia="宋体" w:cs="Times New Roman"/>
                <w:color w:val="000000" w:themeColor="text1"/>
                <w:kern w:val="2"/>
                <w:sz w:val="24"/>
                <w:szCs w:val="20"/>
                <w:lang w:val="en-US" w:bidi="ar-SA"/>
                <w14:textFill>
                  <w14:solidFill>
                    <w14:schemeClr w14:val="tx1"/>
                  </w14:solidFill>
                </w14:textFill>
              </w:rPr>
              <w:t>~</w:t>
            </w: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202</w:t>
            </w:r>
            <w: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t>5.4</w:t>
            </w:r>
          </w:p>
        </w:tc>
      </w:tr>
      <w:tr w14:paraId="568411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noWrap w:val="0"/>
            <w:vAlign w:val="center"/>
          </w:tcPr>
          <w:p w14:paraId="6E7268C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污染物排放达标与总控制</w:t>
            </w:r>
          </w:p>
          <w:p w14:paraId="1FEEA11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（工业建</w:t>
            </w:r>
          </w:p>
          <w:p w14:paraId="4ED37B1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设项目</w:t>
            </w:r>
          </w:p>
          <w:p w14:paraId="1FC4276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详填）</w:t>
            </w:r>
          </w:p>
        </w:tc>
        <w:tc>
          <w:tcPr>
            <w:tcW w:w="1808" w:type="dxa"/>
            <w:gridSpan w:val="3"/>
            <w:noWrap w:val="0"/>
            <w:vAlign w:val="center"/>
          </w:tcPr>
          <w:p w14:paraId="6B34B8A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污染物</w:t>
            </w:r>
          </w:p>
        </w:tc>
        <w:tc>
          <w:tcPr>
            <w:tcW w:w="815" w:type="dxa"/>
            <w:gridSpan w:val="2"/>
            <w:noWrap w:val="0"/>
            <w:vAlign w:val="center"/>
          </w:tcPr>
          <w:p w14:paraId="7F7124E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原有排放量</w:t>
            </w:r>
          </w:p>
          <w:p w14:paraId="4844F5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w:t>
            </w:r>
          </w:p>
        </w:tc>
        <w:tc>
          <w:tcPr>
            <w:tcW w:w="956" w:type="dxa"/>
            <w:gridSpan w:val="3"/>
            <w:noWrap w:val="0"/>
            <w:vAlign w:val="center"/>
          </w:tcPr>
          <w:p w14:paraId="1FB7146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本期工程实际排放浓度（2）</w:t>
            </w:r>
          </w:p>
        </w:tc>
        <w:tc>
          <w:tcPr>
            <w:tcW w:w="956" w:type="dxa"/>
            <w:gridSpan w:val="3"/>
            <w:noWrap w:val="0"/>
            <w:vAlign w:val="center"/>
          </w:tcPr>
          <w:p w14:paraId="495D1E0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本期工程允许排放浓度</w:t>
            </w:r>
          </w:p>
          <w:p w14:paraId="29A599A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（3）</w:t>
            </w:r>
          </w:p>
        </w:tc>
        <w:tc>
          <w:tcPr>
            <w:tcW w:w="955" w:type="dxa"/>
            <w:noWrap w:val="0"/>
            <w:vAlign w:val="center"/>
          </w:tcPr>
          <w:p w14:paraId="45C0784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本期工程产生量（4）</w:t>
            </w:r>
          </w:p>
        </w:tc>
        <w:tc>
          <w:tcPr>
            <w:tcW w:w="1151" w:type="dxa"/>
            <w:gridSpan w:val="3"/>
            <w:noWrap w:val="0"/>
            <w:vAlign w:val="center"/>
          </w:tcPr>
          <w:p w14:paraId="044828A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本期工程自身削减量（5）</w:t>
            </w:r>
          </w:p>
        </w:tc>
        <w:tc>
          <w:tcPr>
            <w:tcW w:w="860" w:type="dxa"/>
            <w:gridSpan w:val="2"/>
            <w:noWrap w:val="0"/>
            <w:vAlign w:val="center"/>
          </w:tcPr>
          <w:p w14:paraId="06D7AB9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本期工程实际排放量（6）</w:t>
            </w:r>
          </w:p>
        </w:tc>
        <w:tc>
          <w:tcPr>
            <w:tcW w:w="857" w:type="dxa"/>
            <w:gridSpan w:val="2"/>
            <w:noWrap w:val="0"/>
            <w:vAlign w:val="center"/>
          </w:tcPr>
          <w:p w14:paraId="73529EE8">
            <w:pPr>
              <w:keepNext w:val="0"/>
              <w:keepLines w:val="0"/>
              <w:pageBreakBefore w:val="0"/>
              <w:widowControl/>
              <w:kinsoku/>
              <w:wordWrap/>
              <w:overflowPunct/>
              <w:topLinePunct w:val="0"/>
              <w:autoSpaceDE/>
              <w:autoSpaceDN/>
              <w:bidi w:val="0"/>
              <w:adjustRightInd/>
              <w:snapToGrid/>
              <w:spacing w:before="0" w:after="0"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本期工程核定排放总量（7）</w:t>
            </w:r>
          </w:p>
        </w:tc>
        <w:tc>
          <w:tcPr>
            <w:tcW w:w="1007" w:type="dxa"/>
            <w:gridSpan w:val="4"/>
            <w:noWrap w:val="0"/>
            <w:vAlign w:val="center"/>
          </w:tcPr>
          <w:p w14:paraId="6A2CE4C9">
            <w:pPr>
              <w:keepNext w:val="0"/>
              <w:keepLines w:val="0"/>
              <w:pageBreakBefore w:val="0"/>
              <w:widowControl/>
              <w:kinsoku/>
              <w:wordWrap/>
              <w:overflowPunct/>
              <w:topLinePunct w:val="0"/>
              <w:autoSpaceDE/>
              <w:autoSpaceDN/>
              <w:bidi w:val="0"/>
              <w:adjustRightInd/>
              <w:snapToGrid/>
              <w:spacing w:before="0" w:after="0" w:line="240" w:lineRule="auto"/>
              <w:ind w:left="-24" w:leftChars="-10" w:right="-24" w:rightChars="-10" w:firstLine="0" w:firstLineChars="0"/>
              <w:jc w:val="center"/>
              <w:textAlignment w:val="auto"/>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本期工程“以新带老”削减量（8）</w:t>
            </w:r>
          </w:p>
        </w:tc>
        <w:tc>
          <w:tcPr>
            <w:tcW w:w="905" w:type="dxa"/>
            <w:gridSpan w:val="4"/>
            <w:noWrap w:val="0"/>
            <w:vAlign w:val="center"/>
          </w:tcPr>
          <w:p w14:paraId="61A2F64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全厂实际排放总量</w:t>
            </w:r>
          </w:p>
          <w:p w14:paraId="62A84B9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（9）</w:t>
            </w:r>
          </w:p>
        </w:tc>
        <w:tc>
          <w:tcPr>
            <w:tcW w:w="955" w:type="dxa"/>
            <w:gridSpan w:val="2"/>
            <w:noWrap w:val="0"/>
            <w:vAlign w:val="center"/>
          </w:tcPr>
          <w:p w14:paraId="22CD31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全厂核定排放总量</w:t>
            </w:r>
          </w:p>
          <w:p w14:paraId="16D44CC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（10）</w:t>
            </w:r>
          </w:p>
        </w:tc>
        <w:tc>
          <w:tcPr>
            <w:tcW w:w="956" w:type="dxa"/>
            <w:gridSpan w:val="2"/>
            <w:noWrap w:val="0"/>
            <w:vAlign w:val="center"/>
          </w:tcPr>
          <w:p w14:paraId="646E20C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区域平衡替代削减量</w:t>
            </w:r>
          </w:p>
          <w:p w14:paraId="0A82CC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（11）</w:t>
            </w:r>
          </w:p>
        </w:tc>
        <w:tc>
          <w:tcPr>
            <w:tcW w:w="962" w:type="dxa"/>
            <w:gridSpan w:val="2"/>
            <w:noWrap w:val="0"/>
            <w:vAlign w:val="center"/>
          </w:tcPr>
          <w:p w14:paraId="5B13145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排放增减量</w:t>
            </w:r>
          </w:p>
          <w:p w14:paraId="17C4A26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（12）</w:t>
            </w:r>
          </w:p>
        </w:tc>
      </w:tr>
      <w:tr w14:paraId="600F63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noWrap w:val="0"/>
            <w:vAlign w:val="center"/>
          </w:tcPr>
          <w:p w14:paraId="5864079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7E100AF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废水</w:t>
            </w:r>
          </w:p>
        </w:tc>
        <w:tc>
          <w:tcPr>
            <w:tcW w:w="815" w:type="dxa"/>
            <w:gridSpan w:val="2"/>
            <w:noWrap w:val="0"/>
            <w:vAlign w:val="center"/>
          </w:tcPr>
          <w:p w14:paraId="09B9CE0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95E897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664AAD0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159086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7D1D08C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3D25D1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611E57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268EA9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50C1BE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A30870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EABC8E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3B65FA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5D1E66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2E5BDB9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727F1D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化学需氧量</w:t>
            </w:r>
          </w:p>
        </w:tc>
        <w:tc>
          <w:tcPr>
            <w:tcW w:w="815" w:type="dxa"/>
            <w:gridSpan w:val="2"/>
            <w:noWrap w:val="0"/>
            <w:vAlign w:val="center"/>
          </w:tcPr>
          <w:p w14:paraId="6FC6CB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478556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E5F6A2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5C5C81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5A6DE5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02DF46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2973C08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43C38D1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6B5DD41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57EFE97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2099C5C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595C95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1390B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687A3E3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02550A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氨氮</w:t>
            </w:r>
          </w:p>
        </w:tc>
        <w:tc>
          <w:tcPr>
            <w:tcW w:w="815" w:type="dxa"/>
            <w:gridSpan w:val="2"/>
            <w:noWrap w:val="0"/>
            <w:vAlign w:val="center"/>
          </w:tcPr>
          <w:p w14:paraId="0CF37EA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F59F8B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1C8C21E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7C2855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817284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722FAE4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1FE9CC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74FDF4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FF337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A4D2BC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D63CA9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198B9EA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2F4F35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38990B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5F4D45D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石油类</w:t>
            </w:r>
          </w:p>
        </w:tc>
        <w:tc>
          <w:tcPr>
            <w:tcW w:w="815" w:type="dxa"/>
            <w:gridSpan w:val="2"/>
            <w:noWrap w:val="0"/>
            <w:vAlign w:val="center"/>
          </w:tcPr>
          <w:p w14:paraId="279E696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CEC31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314BE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219320C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3378E6E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73409E5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574D1E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6FB23F0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87E25E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05F5C35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58066DD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182B713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F89F60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noWrap w:val="0"/>
            <w:vAlign w:val="center"/>
          </w:tcPr>
          <w:p w14:paraId="3DCDBDE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6785697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废气</w:t>
            </w:r>
          </w:p>
        </w:tc>
        <w:tc>
          <w:tcPr>
            <w:tcW w:w="815" w:type="dxa"/>
            <w:gridSpan w:val="2"/>
            <w:noWrap w:val="0"/>
            <w:vAlign w:val="center"/>
          </w:tcPr>
          <w:p w14:paraId="22690A4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F5DE14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8C1011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B9C35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6E220D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1A7E39A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61B5F2F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3B3B8D3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5EA89D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5F6B2C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911F25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737B92E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3D94BB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712CBAF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0D999D8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烟尘（粉尘）</w:t>
            </w:r>
          </w:p>
        </w:tc>
        <w:tc>
          <w:tcPr>
            <w:tcW w:w="815" w:type="dxa"/>
            <w:gridSpan w:val="2"/>
            <w:noWrap w:val="0"/>
            <w:vAlign w:val="center"/>
          </w:tcPr>
          <w:p w14:paraId="4E7309B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9F2BC2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F9EC7B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33C7FB4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28EEB4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00615B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A51EBF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86B7CA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65F40C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2908843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78EADBF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5A500D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0B43AC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noWrap w:val="0"/>
            <w:vAlign w:val="center"/>
          </w:tcPr>
          <w:p w14:paraId="0990653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DDFE6E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二氧化硫</w:t>
            </w:r>
          </w:p>
        </w:tc>
        <w:tc>
          <w:tcPr>
            <w:tcW w:w="815" w:type="dxa"/>
            <w:gridSpan w:val="2"/>
            <w:noWrap w:val="0"/>
            <w:vAlign w:val="center"/>
          </w:tcPr>
          <w:p w14:paraId="304C450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E63AEA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364E600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358C022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444FFE7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40A9A5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4FD7C0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09F00C3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126E884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3736A0D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9B1ABD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0CD53044">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D7AEC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44B5ADD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604E57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氮氧化物</w:t>
            </w:r>
          </w:p>
        </w:tc>
        <w:tc>
          <w:tcPr>
            <w:tcW w:w="815" w:type="dxa"/>
            <w:gridSpan w:val="2"/>
            <w:noWrap w:val="0"/>
            <w:vAlign w:val="center"/>
          </w:tcPr>
          <w:p w14:paraId="3F8786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D4A8AD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24DEF4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1FF2398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1CA3E2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451BC6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432E765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502E3F1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5F74B99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5549527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0D9369D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CA4179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6C3D6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noWrap w:val="0"/>
            <w:vAlign w:val="center"/>
          </w:tcPr>
          <w:p w14:paraId="7726264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noWrap w:val="0"/>
            <w:vAlign w:val="center"/>
          </w:tcPr>
          <w:p w14:paraId="30B8E26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VOC</w:t>
            </w:r>
          </w:p>
        </w:tc>
        <w:tc>
          <w:tcPr>
            <w:tcW w:w="815" w:type="dxa"/>
            <w:gridSpan w:val="2"/>
            <w:noWrap w:val="0"/>
            <w:vAlign w:val="center"/>
          </w:tcPr>
          <w:p w14:paraId="3F63B91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CC6CAD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528AA3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FBAD4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3DEB52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F74CE6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E63694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5892849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7A71796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385BCC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667AC5C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090241C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7885CF5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6452C77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808" w:type="dxa"/>
            <w:gridSpan w:val="3"/>
            <w:tcBorders>
              <w:bottom w:val="single" w:color="auto" w:sz="4" w:space="0"/>
            </w:tcBorders>
            <w:noWrap w:val="0"/>
            <w:vAlign w:val="center"/>
          </w:tcPr>
          <w:p w14:paraId="10A6FC1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工业固体废物</w:t>
            </w:r>
          </w:p>
        </w:tc>
        <w:tc>
          <w:tcPr>
            <w:tcW w:w="815" w:type="dxa"/>
            <w:gridSpan w:val="2"/>
            <w:noWrap w:val="0"/>
            <w:vAlign w:val="center"/>
          </w:tcPr>
          <w:p w14:paraId="618A77B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67A5F0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1C7F2C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DE9618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150FDF50">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0E1286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7CC88F8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630B5C0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6069B49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7A84442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41A948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2CC6D21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41BB6E2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36E5A6D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restart"/>
            <w:tcBorders>
              <w:right w:val="single" w:color="auto" w:sz="4" w:space="0"/>
            </w:tcBorders>
            <w:noWrap w:val="0"/>
            <w:vAlign w:val="center"/>
          </w:tcPr>
          <w:p w14:paraId="36305F7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与项目有关的其他特征污染物</w:t>
            </w:r>
          </w:p>
        </w:tc>
        <w:tc>
          <w:tcPr>
            <w:tcW w:w="718" w:type="dxa"/>
            <w:gridSpan w:val="2"/>
            <w:tcBorders>
              <w:left w:val="single" w:color="auto" w:sz="4" w:space="0"/>
              <w:bottom w:val="single" w:color="auto" w:sz="4" w:space="0"/>
            </w:tcBorders>
            <w:noWrap w:val="0"/>
            <w:vAlign w:val="center"/>
          </w:tcPr>
          <w:p w14:paraId="6D13830E">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24C482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CAC9AE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C835EE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566FD4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52FDE7F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35C9F50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0CA8BCA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7FFABCF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342E94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4EC449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5B91F3D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51D138C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6A1EB8C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4C20CF7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continue"/>
            <w:tcBorders>
              <w:right w:val="single" w:color="auto" w:sz="4" w:space="0"/>
            </w:tcBorders>
            <w:noWrap w:val="0"/>
            <w:vAlign w:val="center"/>
          </w:tcPr>
          <w:p w14:paraId="77726BA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pPr>
          </w:p>
        </w:tc>
        <w:tc>
          <w:tcPr>
            <w:tcW w:w="718" w:type="dxa"/>
            <w:gridSpan w:val="2"/>
            <w:tcBorders>
              <w:left w:val="single" w:color="auto" w:sz="4" w:space="0"/>
              <w:bottom w:val="single" w:color="auto" w:sz="4" w:space="0"/>
            </w:tcBorders>
            <w:noWrap w:val="0"/>
            <w:vAlign w:val="center"/>
          </w:tcPr>
          <w:p w14:paraId="56B62E67">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795FF8B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48246C37">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2714E62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71ADE54B">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49D6B91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2775E4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3D96980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024DE00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04309A0F">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0443479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12E23553">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5C731C2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r w14:paraId="549AF0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noWrap w:val="0"/>
            <w:vAlign w:val="center"/>
          </w:tcPr>
          <w:p w14:paraId="79E1643C">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p>
        </w:tc>
        <w:tc>
          <w:tcPr>
            <w:tcW w:w="1090" w:type="dxa"/>
            <w:vMerge w:val="continue"/>
            <w:tcBorders>
              <w:bottom w:val="single" w:color="auto" w:sz="4" w:space="0"/>
              <w:right w:val="single" w:color="auto" w:sz="4" w:space="0"/>
            </w:tcBorders>
            <w:noWrap w:val="0"/>
            <w:vAlign w:val="center"/>
          </w:tcPr>
          <w:p w14:paraId="35B8E43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2"/>
                <w:sz w:val="18"/>
                <w:szCs w:val="18"/>
                <w:lang w:val="en-US" w:bidi="ar-SA"/>
                <w14:textFill>
                  <w14:solidFill>
                    <w14:schemeClr w14:val="tx1"/>
                  </w14:solidFill>
                </w14:textFill>
              </w:rPr>
            </w:pPr>
          </w:p>
        </w:tc>
        <w:tc>
          <w:tcPr>
            <w:tcW w:w="718" w:type="dxa"/>
            <w:gridSpan w:val="2"/>
            <w:tcBorders>
              <w:left w:val="single" w:color="auto" w:sz="4" w:space="0"/>
              <w:bottom w:val="single" w:color="auto" w:sz="4" w:space="0"/>
            </w:tcBorders>
            <w:noWrap w:val="0"/>
            <w:vAlign w:val="center"/>
          </w:tcPr>
          <w:p w14:paraId="2E63AB43">
            <w:pPr>
              <w:widowControl/>
              <w:autoSpaceDE/>
              <w:autoSpaceDN/>
              <w:spacing w:before="0" w:after="0" w:line="240" w:lineRule="auto"/>
              <w:ind w:left="0" w:right="0" w:firstLine="360" w:firstLineChars="20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15" w:type="dxa"/>
            <w:gridSpan w:val="2"/>
            <w:noWrap w:val="0"/>
            <w:vAlign w:val="center"/>
          </w:tcPr>
          <w:p w14:paraId="6576FC35">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76ABB8F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3"/>
            <w:noWrap w:val="0"/>
            <w:vAlign w:val="center"/>
          </w:tcPr>
          <w:p w14:paraId="07141A56">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noWrap w:val="0"/>
            <w:vAlign w:val="center"/>
          </w:tcPr>
          <w:p w14:paraId="4F522B0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151" w:type="dxa"/>
            <w:gridSpan w:val="3"/>
            <w:noWrap w:val="0"/>
            <w:vAlign w:val="center"/>
          </w:tcPr>
          <w:p w14:paraId="66352629">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60" w:type="dxa"/>
            <w:gridSpan w:val="2"/>
            <w:noWrap w:val="0"/>
            <w:vAlign w:val="center"/>
          </w:tcPr>
          <w:p w14:paraId="52B1EB22">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857" w:type="dxa"/>
            <w:gridSpan w:val="2"/>
            <w:noWrap w:val="0"/>
            <w:vAlign w:val="center"/>
          </w:tcPr>
          <w:p w14:paraId="76E3E0A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1007" w:type="dxa"/>
            <w:gridSpan w:val="4"/>
            <w:noWrap w:val="0"/>
            <w:vAlign w:val="center"/>
          </w:tcPr>
          <w:p w14:paraId="37EC417D">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05" w:type="dxa"/>
            <w:gridSpan w:val="4"/>
            <w:noWrap w:val="0"/>
            <w:vAlign w:val="center"/>
          </w:tcPr>
          <w:p w14:paraId="4F64111E">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5" w:type="dxa"/>
            <w:gridSpan w:val="2"/>
            <w:noWrap w:val="0"/>
            <w:vAlign w:val="center"/>
          </w:tcPr>
          <w:p w14:paraId="458B97E8">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56" w:type="dxa"/>
            <w:gridSpan w:val="2"/>
            <w:noWrap w:val="0"/>
            <w:vAlign w:val="center"/>
          </w:tcPr>
          <w:p w14:paraId="30BF5EAA">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c>
          <w:tcPr>
            <w:tcW w:w="962" w:type="dxa"/>
            <w:gridSpan w:val="2"/>
            <w:noWrap w:val="0"/>
            <w:vAlign w:val="center"/>
          </w:tcPr>
          <w:p w14:paraId="4CEEEB71">
            <w:pPr>
              <w:widowControl/>
              <w:autoSpaceDE/>
              <w:autoSpaceDN/>
              <w:spacing w:before="0" w:after="0" w:line="240" w:lineRule="auto"/>
              <w:ind w:left="0" w:right="0" w:firstLine="0" w:firstLineChars="0"/>
              <w:jc w:val="cente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w:t>
            </w:r>
          </w:p>
        </w:tc>
      </w:tr>
    </w:tbl>
    <w:p w14:paraId="43B9A9BC">
      <w:pPr>
        <w:pStyle w:val="6"/>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注：1、排放增减量：（+）表示增加，（-）表示减少；    2、(12)=(6)-(8)-(11)，（9）=(4)-(5)-(8)-(11)+（1）</w:t>
      </w:r>
    </w:p>
    <w:p w14:paraId="0F180B8E">
      <w:pPr>
        <w:pStyle w:val="6"/>
        <w:rPr>
          <w:rFonts w:hint="default" w:ascii="Times New Roman" w:hAnsi="Times New Roman" w:eastAsia="宋体"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 xml:space="preserve">    3、计量单位：废水排放量——万吨/年；废气排放量——万标立方米/年；工业固体废物排放量——万吨/年；水污染物排放浓度——毫克/升；</w:t>
      </w:r>
    </w:p>
    <w:p w14:paraId="46C7E1E9">
      <w:pPr>
        <w:pStyle w:val="6"/>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sectPr>
          <w:footerReference r:id="rId11" w:type="default"/>
          <w:pgSz w:w="16840" w:h="11910" w:orient="landscape"/>
          <w:pgMar w:top="833" w:right="1525" w:bottom="833" w:left="1525" w:header="0" w:footer="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color w:val="000000" w:themeColor="text1"/>
          <w:kern w:val="0"/>
          <w:sz w:val="18"/>
          <w:szCs w:val="18"/>
          <w:lang w:val="en-US" w:bidi="ar-SA"/>
          <w14:textFill>
            <w14:solidFill>
              <w14:schemeClr w14:val="tx1"/>
            </w14:solidFill>
          </w14:textFill>
        </w:rPr>
        <w:t>大气污染物排放浓度——毫克/立方米；水污染物排放量——吨/年；大气污染物排放量——吨/年</w:t>
      </w:r>
    </w:p>
    <w:p w14:paraId="02D2E68A">
      <w:pPr>
        <w:autoSpaceDE/>
        <w:autoSpaceDN/>
        <w:spacing w:before="120" w:beforeLines="5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附件：</w:t>
      </w:r>
    </w:p>
    <w:p w14:paraId="307D3E6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1、</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发改委核准</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文件</w:t>
      </w:r>
    </w:p>
    <w:p w14:paraId="0DA5336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、环评批复</w:t>
      </w:r>
    </w:p>
    <w:p w14:paraId="3C025E17">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3、水保方案行政许可承诺书</w:t>
      </w:r>
    </w:p>
    <w:p w14:paraId="1FB46929">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4、验收监测报告及质控信息</w:t>
      </w:r>
    </w:p>
    <w:p w14:paraId="684AA1A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eastAsia" w:cs="Times New Roman"/>
          <w:color w:val="000000" w:themeColor="text1"/>
          <w:kern w:val="2"/>
          <w:sz w:val="28"/>
          <w:szCs w:val="28"/>
          <w:lang w:val="en-US" w:eastAsia="zh-CN" w:bidi="ar-SA"/>
          <w14:textFill>
            <w14:solidFill>
              <w14:schemeClr w14:val="tx1"/>
            </w14:solidFill>
          </w14:textFill>
        </w:rPr>
        <w:t xml:space="preserve">5、固废危废环境守法主体责任承诺书 </w:t>
      </w:r>
    </w:p>
    <w:p w14:paraId="157E386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sectPr>
          <w:pgSz w:w="11910" w:h="16840"/>
          <w:pgMar w:top="1457" w:right="1525" w:bottom="1457" w:left="1525" w:header="0" w:footer="0" w:gutter="0"/>
          <w:pgBorders>
            <w:top w:val="none" w:sz="0" w:space="0"/>
            <w:left w:val="none" w:sz="0" w:space="0"/>
            <w:bottom w:val="none" w:sz="0" w:space="0"/>
            <w:right w:val="none" w:sz="0" w:space="0"/>
          </w:pgBorders>
          <w:pgNumType w:fmt="decimal"/>
          <w:cols w:space="720" w:num="1"/>
        </w:sectPr>
      </w:pPr>
      <w:r>
        <w:rPr>
          <w:rFonts w:hint="eastAsia" w:cs="Times New Roman"/>
          <w:color w:val="000000" w:themeColor="text1"/>
          <w:kern w:val="2"/>
          <w:sz w:val="28"/>
          <w:szCs w:val="28"/>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 xml:space="preserve">、项目现场照片 </w:t>
      </w:r>
    </w:p>
    <w:p w14:paraId="3FAC170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1、</w:t>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发改委核准</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文件</w:t>
      </w:r>
    </w:p>
    <w:p w14:paraId="56F6EC0B">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drawing>
          <wp:inline distT="0" distB="0" distL="114300" distR="114300">
            <wp:extent cx="5622925" cy="7952740"/>
            <wp:effectExtent l="0" t="0" r="15875" b="10160"/>
            <wp:docPr id="1" name="图片 1" descr="2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备案"/>
                    <pic:cNvPicPr>
                      <a:picLocks noChangeAspect="1"/>
                    </pic:cNvPicPr>
                  </pic:nvPicPr>
                  <pic:blipFill>
                    <a:blip r:embed="rId18"/>
                    <a:stretch>
                      <a:fillRect/>
                    </a:stretch>
                  </pic:blipFill>
                  <pic:spPr>
                    <a:xfrm>
                      <a:off x="0" y="0"/>
                      <a:ext cx="5622925" cy="7952740"/>
                    </a:xfrm>
                    <a:prstGeom prst="rect">
                      <a:avLst/>
                    </a:prstGeom>
                  </pic:spPr>
                </pic:pic>
              </a:graphicData>
            </a:graphic>
          </wp:inline>
        </w:drawing>
      </w:r>
    </w:p>
    <w:p w14:paraId="76D6FB3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BAF4BB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t>、环评批复</w:t>
      </w:r>
    </w:p>
    <w:p w14:paraId="0EFC4A3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r>
        <w:rPr>
          <w:rFonts w:hint="default" w:ascii="Times New Roman" w:hAnsi="Times New Roman" w:eastAsia="宋体" w:cs="Times New Roman"/>
        </w:rPr>
        <w:drawing>
          <wp:inline distT="0" distB="0" distL="114300" distR="114300">
            <wp:extent cx="5619750" cy="7936865"/>
            <wp:effectExtent l="0" t="0" r="0" b="698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9"/>
                    <a:stretch>
                      <a:fillRect/>
                    </a:stretch>
                  </pic:blipFill>
                  <pic:spPr>
                    <a:xfrm>
                      <a:off x="0" y="0"/>
                      <a:ext cx="5619750" cy="7936865"/>
                    </a:xfrm>
                    <a:prstGeom prst="rect">
                      <a:avLst/>
                    </a:prstGeom>
                    <a:noFill/>
                    <a:ln>
                      <a:noFill/>
                    </a:ln>
                  </pic:spPr>
                </pic:pic>
              </a:graphicData>
            </a:graphic>
          </wp:inline>
        </w:drawing>
      </w:r>
    </w:p>
    <w:p w14:paraId="031F6372">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bidi="ar-SA"/>
          <w14:textFill>
            <w14:solidFill>
              <w14:schemeClr w14:val="tx1"/>
            </w14:solidFill>
          </w14:textFill>
        </w:rPr>
      </w:pPr>
    </w:p>
    <w:p w14:paraId="153B188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4195" cy="7992745"/>
            <wp:effectExtent l="0" t="0" r="14605" b="825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5624195" cy="7992745"/>
                    </a:xfrm>
                    <a:prstGeom prst="rect">
                      <a:avLst/>
                    </a:prstGeom>
                    <a:noFill/>
                    <a:ln>
                      <a:noFill/>
                    </a:ln>
                  </pic:spPr>
                </pic:pic>
              </a:graphicData>
            </a:graphic>
          </wp:inline>
        </w:drawing>
      </w: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 xml:space="preserve"> </w:t>
      </w:r>
    </w:p>
    <w:p w14:paraId="37B30D9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0F912AD0">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3、水保方案批复</w:t>
      </w:r>
    </w:p>
    <w:p w14:paraId="504EEFE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1655" cy="7978775"/>
            <wp:effectExtent l="0" t="0" r="17145" b="317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1"/>
                    <a:stretch>
                      <a:fillRect/>
                    </a:stretch>
                  </pic:blipFill>
                  <pic:spPr>
                    <a:xfrm>
                      <a:off x="0" y="0"/>
                      <a:ext cx="5621655" cy="7978775"/>
                    </a:xfrm>
                    <a:prstGeom prst="rect">
                      <a:avLst/>
                    </a:prstGeom>
                    <a:noFill/>
                    <a:ln>
                      <a:noFill/>
                    </a:ln>
                  </pic:spPr>
                </pic:pic>
              </a:graphicData>
            </a:graphic>
          </wp:inline>
        </w:drawing>
      </w:r>
    </w:p>
    <w:p w14:paraId="0157D60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1914F2B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6100" cy="7991475"/>
            <wp:effectExtent l="0" t="0" r="12700" b="952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2"/>
                    <a:stretch>
                      <a:fillRect/>
                    </a:stretch>
                  </pic:blipFill>
                  <pic:spPr>
                    <a:xfrm>
                      <a:off x="0" y="0"/>
                      <a:ext cx="5626100" cy="7991475"/>
                    </a:xfrm>
                    <a:prstGeom prst="rect">
                      <a:avLst/>
                    </a:prstGeom>
                    <a:noFill/>
                    <a:ln>
                      <a:noFill/>
                    </a:ln>
                  </pic:spPr>
                </pic:pic>
              </a:graphicData>
            </a:graphic>
          </wp:inline>
        </w:drawing>
      </w:r>
    </w:p>
    <w:p w14:paraId="12AAC1E0">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3F3D042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B7B72D1">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19750" cy="7978775"/>
            <wp:effectExtent l="0" t="0" r="0" b="317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3"/>
                    <a:stretch>
                      <a:fillRect/>
                    </a:stretch>
                  </pic:blipFill>
                  <pic:spPr>
                    <a:xfrm>
                      <a:off x="0" y="0"/>
                      <a:ext cx="5619750" cy="7978775"/>
                    </a:xfrm>
                    <a:prstGeom prst="rect">
                      <a:avLst/>
                    </a:prstGeom>
                    <a:noFill/>
                    <a:ln>
                      <a:noFill/>
                    </a:ln>
                  </pic:spPr>
                </pic:pic>
              </a:graphicData>
            </a:graphic>
          </wp:inline>
        </w:drawing>
      </w:r>
    </w:p>
    <w:p w14:paraId="293CABCD">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766DFED5">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215420E7">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rPr>
        <w:drawing>
          <wp:inline distT="0" distB="0" distL="114300" distR="114300">
            <wp:extent cx="5624195" cy="7869555"/>
            <wp:effectExtent l="0" t="0" r="14605" b="1714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24"/>
                    <a:stretch>
                      <a:fillRect/>
                    </a:stretch>
                  </pic:blipFill>
                  <pic:spPr>
                    <a:xfrm>
                      <a:off x="0" y="0"/>
                      <a:ext cx="5624195" cy="7869555"/>
                    </a:xfrm>
                    <a:prstGeom prst="rect">
                      <a:avLst/>
                    </a:prstGeom>
                    <a:noFill/>
                    <a:ln>
                      <a:noFill/>
                    </a:ln>
                  </pic:spPr>
                </pic:pic>
              </a:graphicData>
            </a:graphic>
          </wp:inline>
        </w:drawing>
      </w:r>
    </w:p>
    <w:p w14:paraId="68BDAA39">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19727A56">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64CCA563">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t>4、验收监测报告及质控信息</w:t>
      </w:r>
    </w:p>
    <w:p w14:paraId="775BA9FE">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634990" cy="7943215"/>
            <wp:effectExtent l="0" t="0" r="3810" b="63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5"/>
                    <a:stretch>
                      <a:fillRect/>
                    </a:stretch>
                  </pic:blipFill>
                  <pic:spPr>
                    <a:xfrm>
                      <a:off x="0" y="0"/>
                      <a:ext cx="5634990" cy="7943215"/>
                    </a:xfrm>
                    <a:prstGeom prst="rect">
                      <a:avLst/>
                    </a:prstGeom>
                    <a:noFill/>
                    <a:ln>
                      <a:noFill/>
                    </a:ln>
                  </pic:spPr>
                </pic:pic>
              </a:graphicData>
            </a:graphic>
          </wp:inline>
        </w:drawing>
      </w:r>
    </w:p>
    <w:p w14:paraId="6CA2F3FA">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755640" cy="7957185"/>
            <wp:effectExtent l="0" t="0" r="16510" b="571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26"/>
                    <a:stretch>
                      <a:fillRect/>
                    </a:stretch>
                  </pic:blipFill>
                  <pic:spPr>
                    <a:xfrm>
                      <a:off x="0" y="0"/>
                      <a:ext cx="5755640" cy="7957185"/>
                    </a:xfrm>
                    <a:prstGeom prst="rect">
                      <a:avLst/>
                    </a:prstGeom>
                    <a:noFill/>
                    <a:ln>
                      <a:noFill/>
                    </a:ln>
                  </pic:spPr>
                </pic:pic>
              </a:graphicData>
            </a:graphic>
          </wp:inline>
        </w:drawing>
      </w:r>
    </w:p>
    <w:p w14:paraId="49BAF164">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574B8E02">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r>
        <w:drawing>
          <wp:inline distT="0" distB="0" distL="114300" distR="114300">
            <wp:extent cx="5706110" cy="7901305"/>
            <wp:effectExtent l="0" t="0" r="8890" b="444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27"/>
                    <a:stretch>
                      <a:fillRect/>
                    </a:stretch>
                  </pic:blipFill>
                  <pic:spPr>
                    <a:xfrm>
                      <a:off x="0" y="0"/>
                      <a:ext cx="5706110" cy="7901305"/>
                    </a:xfrm>
                    <a:prstGeom prst="rect">
                      <a:avLst/>
                    </a:prstGeom>
                    <a:noFill/>
                    <a:ln>
                      <a:noFill/>
                    </a:ln>
                  </pic:spPr>
                </pic:pic>
              </a:graphicData>
            </a:graphic>
          </wp:inline>
        </w:drawing>
      </w:r>
    </w:p>
    <w:p w14:paraId="00D8252C">
      <w:pPr>
        <w:autoSpaceDE/>
        <w:autoSpaceDN/>
        <w:spacing w:before="0" w:after="0" w:line="360" w:lineRule="auto"/>
        <w:ind w:left="0" w:right="0" w:firstLine="0" w:firstLineChars="0"/>
        <w:jc w:val="left"/>
        <w:rPr>
          <w:rFonts w:hint="default" w:ascii="Times New Roman" w:hAnsi="Times New Roman" w:eastAsia="宋体" w:cs="Times New Roman"/>
          <w:color w:val="000000" w:themeColor="text1"/>
          <w:kern w:val="2"/>
          <w:sz w:val="28"/>
          <w:szCs w:val="28"/>
          <w:lang w:val="en-US" w:eastAsia="zh-CN" w:bidi="ar-SA"/>
          <w14:textFill>
            <w14:solidFill>
              <w14:schemeClr w14:val="tx1"/>
            </w14:solidFill>
          </w14:textFill>
        </w:rPr>
      </w:pPr>
    </w:p>
    <w:p w14:paraId="2716ABFA">
      <w:pPr>
        <w:autoSpaceDE/>
        <w:autoSpaceDN/>
        <w:spacing w:before="0" w:after="0" w:line="360" w:lineRule="auto"/>
        <w:ind w:left="0" w:right="0" w:firstLine="0" w:firstLineChars="0"/>
        <w:jc w:val="left"/>
        <w:rPr>
          <w:rFonts w:hint="default" w:ascii="Times New Roman" w:hAnsi="Times New Roman" w:eastAsia="宋体" w:cs="Times New Roman"/>
        </w:rPr>
      </w:pPr>
      <w:r>
        <w:drawing>
          <wp:inline distT="0" distB="0" distL="114300" distR="114300">
            <wp:extent cx="5574665" cy="7868920"/>
            <wp:effectExtent l="0" t="0" r="6985" b="1778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28"/>
                    <a:stretch>
                      <a:fillRect/>
                    </a:stretch>
                  </pic:blipFill>
                  <pic:spPr>
                    <a:xfrm>
                      <a:off x="0" y="0"/>
                      <a:ext cx="5574665" cy="7868920"/>
                    </a:xfrm>
                    <a:prstGeom prst="rect">
                      <a:avLst/>
                    </a:prstGeom>
                    <a:noFill/>
                    <a:ln>
                      <a:noFill/>
                    </a:ln>
                  </pic:spPr>
                </pic:pic>
              </a:graphicData>
            </a:graphic>
          </wp:inline>
        </w:drawing>
      </w:r>
    </w:p>
    <w:p w14:paraId="1A826040">
      <w:pPr>
        <w:autoSpaceDE/>
        <w:autoSpaceDN/>
        <w:spacing w:before="0" w:after="0" w:line="360" w:lineRule="auto"/>
        <w:ind w:left="0" w:right="0" w:firstLine="0" w:firstLineChars="0"/>
        <w:jc w:val="left"/>
        <w:rPr>
          <w:rFonts w:hint="default" w:ascii="Times New Roman" w:hAnsi="Times New Roman" w:eastAsia="宋体" w:cs="Times New Roman"/>
        </w:rPr>
      </w:pPr>
      <w:r>
        <w:drawing>
          <wp:inline distT="0" distB="0" distL="114300" distR="114300">
            <wp:extent cx="5267960" cy="7424420"/>
            <wp:effectExtent l="0" t="0" r="8890" b="508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29"/>
                    <a:stretch>
                      <a:fillRect/>
                    </a:stretch>
                  </pic:blipFill>
                  <pic:spPr>
                    <a:xfrm>
                      <a:off x="0" y="0"/>
                      <a:ext cx="5267960" cy="7424420"/>
                    </a:xfrm>
                    <a:prstGeom prst="rect">
                      <a:avLst/>
                    </a:prstGeom>
                    <a:noFill/>
                    <a:ln>
                      <a:noFill/>
                    </a:ln>
                  </pic:spPr>
                </pic:pic>
              </a:graphicData>
            </a:graphic>
          </wp:inline>
        </w:drawing>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4E7A2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538" w:type="dxa"/>
          </w:tcPr>
          <w:p w14:paraId="308FC86A">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19" name="图片 19" descr="IMG_1742981357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1742981357143"/>
                          <pic:cNvPicPr>
                            <a:picLocks noChangeAspect="1"/>
                          </pic:cNvPicPr>
                        </pic:nvPicPr>
                        <pic:blipFill>
                          <a:blip r:embed="rId30"/>
                          <a:stretch>
                            <a:fillRect/>
                          </a:stretch>
                        </pic:blipFill>
                        <pic:spPr>
                          <a:xfrm>
                            <a:off x="0" y="0"/>
                            <a:ext cx="2720975" cy="3628390"/>
                          </a:xfrm>
                          <a:prstGeom prst="rect">
                            <a:avLst/>
                          </a:prstGeom>
                        </pic:spPr>
                      </pic:pic>
                    </a:graphicData>
                  </a:graphic>
                </wp:inline>
              </w:drawing>
            </w:r>
          </w:p>
        </w:tc>
        <w:tc>
          <w:tcPr>
            <w:tcW w:w="4538" w:type="dxa"/>
          </w:tcPr>
          <w:p w14:paraId="0F13FCEB">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20" name="图片 20" descr="IMG_174298199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1742981998373"/>
                          <pic:cNvPicPr>
                            <a:picLocks noChangeAspect="1"/>
                          </pic:cNvPicPr>
                        </pic:nvPicPr>
                        <pic:blipFill>
                          <a:blip r:embed="rId31"/>
                          <a:stretch>
                            <a:fillRect/>
                          </a:stretch>
                        </pic:blipFill>
                        <pic:spPr>
                          <a:xfrm>
                            <a:off x="0" y="0"/>
                            <a:ext cx="2720975" cy="3628390"/>
                          </a:xfrm>
                          <a:prstGeom prst="rect">
                            <a:avLst/>
                          </a:prstGeom>
                        </pic:spPr>
                      </pic:pic>
                    </a:graphicData>
                  </a:graphic>
                </wp:inline>
              </w:drawing>
            </w:r>
          </w:p>
        </w:tc>
      </w:tr>
      <w:tr w14:paraId="0651D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2012569A">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2" name="图片 22" descr="IMG_1742981987328_ac0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1742981987328_ac072e"/>
                          <pic:cNvPicPr>
                            <a:picLocks noChangeAspect="1"/>
                          </pic:cNvPicPr>
                        </pic:nvPicPr>
                        <pic:blipFill>
                          <a:blip r:embed="rId32"/>
                          <a:stretch>
                            <a:fillRect/>
                          </a:stretch>
                        </pic:blipFill>
                        <pic:spPr>
                          <a:xfrm>
                            <a:off x="0" y="0"/>
                            <a:ext cx="2731135" cy="3641090"/>
                          </a:xfrm>
                          <a:prstGeom prst="rect">
                            <a:avLst/>
                          </a:prstGeom>
                        </pic:spPr>
                      </pic:pic>
                    </a:graphicData>
                  </a:graphic>
                </wp:inline>
              </w:drawing>
            </w:r>
          </w:p>
        </w:tc>
        <w:tc>
          <w:tcPr>
            <w:tcW w:w="4538" w:type="dxa"/>
          </w:tcPr>
          <w:p w14:paraId="30975BDB">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3" name="图片 23" descr="IMG_1742982412525_5c0c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1742982412525_5c0c48"/>
                          <pic:cNvPicPr>
                            <a:picLocks noChangeAspect="1"/>
                          </pic:cNvPicPr>
                        </pic:nvPicPr>
                        <pic:blipFill>
                          <a:blip r:embed="rId33"/>
                          <a:stretch>
                            <a:fillRect/>
                          </a:stretch>
                        </pic:blipFill>
                        <pic:spPr>
                          <a:xfrm>
                            <a:off x="0" y="0"/>
                            <a:ext cx="2731135" cy="3641090"/>
                          </a:xfrm>
                          <a:prstGeom prst="rect">
                            <a:avLst/>
                          </a:prstGeom>
                        </pic:spPr>
                      </pic:pic>
                    </a:graphicData>
                  </a:graphic>
                </wp:inline>
              </w:drawing>
            </w:r>
          </w:p>
        </w:tc>
      </w:tr>
      <w:tr w14:paraId="074FD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44F055A2">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4" name="图片 24" descr="IMG_1742984208482_ef5a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1742984208482_ef5ae4"/>
                          <pic:cNvPicPr>
                            <a:picLocks noChangeAspect="1"/>
                          </pic:cNvPicPr>
                        </pic:nvPicPr>
                        <pic:blipFill>
                          <a:blip r:embed="rId34"/>
                          <a:stretch>
                            <a:fillRect/>
                          </a:stretch>
                        </pic:blipFill>
                        <pic:spPr>
                          <a:xfrm>
                            <a:off x="0" y="0"/>
                            <a:ext cx="2731135" cy="3641090"/>
                          </a:xfrm>
                          <a:prstGeom prst="rect">
                            <a:avLst/>
                          </a:prstGeom>
                        </pic:spPr>
                      </pic:pic>
                    </a:graphicData>
                  </a:graphic>
                </wp:inline>
              </w:drawing>
            </w:r>
          </w:p>
        </w:tc>
        <w:tc>
          <w:tcPr>
            <w:tcW w:w="4538" w:type="dxa"/>
          </w:tcPr>
          <w:p w14:paraId="1B663146">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25" name="图片 25" descr="IMG_1742984615842_1cbb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1742984615842_1cbb37"/>
                          <pic:cNvPicPr>
                            <a:picLocks noChangeAspect="1"/>
                          </pic:cNvPicPr>
                        </pic:nvPicPr>
                        <pic:blipFill>
                          <a:blip r:embed="rId35"/>
                          <a:stretch>
                            <a:fillRect/>
                          </a:stretch>
                        </pic:blipFill>
                        <pic:spPr>
                          <a:xfrm>
                            <a:off x="0" y="0"/>
                            <a:ext cx="2731135" cy="3641090"/>
                          </a:xfrm>
                          <a:prstGeom prst="rect">
                            <a:avLst/>
                          </a:prstGeom>
                        </pic:spPr>
                      </pic:pic>
                    </a:graphicData>
                  </a:graphic>
                </wp:inline>
              </w:drawing>
            </w:r>
          </w:p>
        </w:tc>
      </w:tr>
      <w:tr w14:paraId="3165C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8" w:type="dxa"/>
          </w:tcPr>
          <w:p w14:paraId="0213EB92">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20975" cy="3628390"/>
                  <wp:effectExtent l="0" t="0" r="3175" b="10160"/>
                  <wp:docPr id="29" name="图片 29" descr="IMG_174299922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1742999225014"/>
                          <pic:cNvPicPr>
                            <a:picLocks noChangeAspect="1"/>
                          </pic:cNvPicPr>
                        </pic:nvPicPr>
                        <pic:blipFill>
                          <a:blip r:embed="rId36"/>
                          <a:stretch>
                            <a:fillRect/>
                          </a:stretch>
                        </pic:blipFill>
                        <pic:spPr>
                          <a:xfrm>
                            <a:off x="0" y="0"/>
                            <a:ext cx="2720975" cy="3628390"/>
                          </a:xfrm>
                          <a:prstGeom prst="rect">
                            <a:avLst/>
                          </a:prstGeom>
                        </pic:spPr>
                      </pic:pic>
                    </a:graphicData>
                  </a:graphic>
                </wp:inline>
              </w:drawing>
            </w:r>
          </w:p>
        </w:tc>
        <w:tc>
          <w:tcPr>
            <w:tcW w:w="4538" w:type="dxa"/>
          </w:tcPr>
          <w:p w14:paraId="35E0988F">
            <w:pPr>
              <w:autoSpaceDE/>
              <w:autoSpaceDN/>
              <w:spacing w:before="0" w:after="0" w:line="360" w:lineRule="auto"/>
              <w:ind w:left="0" w:leftChars="0" w:right="0" w:firstLine="0" w:firstLineChars="0"/>
              <w:jc w:val="left"/>
              <w:rPr>
                <w:rFonts w:hint="default" w:ascii="Times New Roman" w:hAnsi="Times New Roman" w:eastAsia="宋体" w:cs="Times New Roman"/>
                <w:vertAlign w:val="baseline"/>
                <w:lang w:eastAsia="zh-CN"/>
              </w:rPr>
            </w:pPr>
            <w:r>
              <w:rPr>
                <w:rFonts w:hint="default" w:ascii="Times New Roman" w:hAnsi="Times New Roman" w:eastAsia="宋体" w:cs="Times New Roman"/>
                <w:vertAlign w:val="baseline"/>
                <w:lang w:eastAsia="zh-CN"/>
              </w:rPr>
              <w:drawing>
                <wp:inline distT="0" distB="0" distL="114300" distR="114300">
                  <wp:extent cx="2731135" cy="3641090"/>
                  <wp:effectExtent l="0" t="0" r="12065" b="16510"/>
                  <wp:docPr id="30" name="图片 30" descr="IMG_1742999942418_9342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1742999942418_9342a1"/>
                          <pic:cNvPicPr>
                            <a:picLocks noChangeAspect="1"/>
                          </pic:cNvPicPr>
                        </pic:nvPicPr>
                        <pic:blipFill>
                          <a:blip r:embed="rId37"/>
                          <a:stretch>
                            <a:fillRect/>
                          </a:stretch>
                        </pic:blipFill>
                        <pic:spPr>
                          <a:xfrm>
                            <a:off x="0" y="0"/>
                            <a:ext cx="2731135" cy="3641090"/>
                          </a:xfrm>
                          <a:prstGeom prst="rect">
                            <a:avLst/>
                          </a:prstGeom>
                        </pic:spPr>
                      </pic:pic>
                    </a:graphicData>
                  </a:graphic>
                </wp:inline>
              </w:drawing>
            </w:r>
          </w:p>
        </w:tc>
      </w:tr>
    </w:tbl>
    <w:p w14:paraId="7EF3DF51">
      <w:pPr>
        <w:autoSpaceDE/>
        <w:autoSpaceDN/>
        <w:spacing w:before="0" w:after="0" w:line="360" w:lineRule="auto"/>
        <w:ind w:left="0" w:right="0" w:firstLine="0" w:firstLineChars="0"/>
        <w:jc w:val="left"/>
        <w:rPr>
          <w:rFonts w:hint="default" w:ascii="Times New Roman" w:hAnsi="Times New Roman" w:eastAsia="宋体" w:cs="Times New Roman"/>
        </w:rPr>
      </w:pPr>
    </w:p>
    <w:p w14:paraId="34E3858D">
      <w:pPr>
        <w:autoSpaceDE/>
        <w:autoSpaceDN/>
        <w:spacing w:before="0" w:after="0" w:line="360" w:lineRule="auto"/>
        <w:ind w:left="0" w:right="0" w:firstLine="0" w:firstLineChars="0"/>
        <w:jc w:val="left"/>
        <w:rPr>
          <w:rFonts w:hint="default" w:ascii="Times New Roman" w:hAnsi="Times New Roman" w:eastAsia="宋体" w:cs="Times New Roman"/>
        </w:rPr>
      </w:pPr>
    </w:p>
    <w:p w14:paraId="2A73D3C4">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4D35DBA9">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750395D6">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rPr>
          <w:rFonts w:hint="eastAsia" w:cs="Times New Roman"/>
          <w:lang w:val="en-US" w:eastAsia="zh-CN"/>
        </w:rPr>
        <w:t>附件</w:t>
      </w:r>
      <w:r>
        <w:rPr>
          <w:rFonts w:hint="default" w:ascii="Times New Roman" w:hAnsi="Times New Roman" w:eastAsia="宋体" w:cs="Times New Roman"/>
          <w:lang w:val="en-US" w:eastAsia="zh-CN"/>
        </w:rPr>
        <w:t>5、固废危废环境守法主体责任承诺书</w:t>
      </w:r>
    </w:p>
    <w:p w14:paraId="21A1AF7A">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drawing>
          <wp:inline distT="0" distB="0" distL="114300" distR="114300">
            <wp:extent cx="5624830" cy="8147050"/>
            <wp:effectExtent l="0" t="0" r="13970" b="635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38"/>
                    <a:stretch>
                      <a:fillRect/>
                    </a:stretch>
                  </pic:blipFill>
                  <pic:spPr>
                    <a:xfrm>
                      <a:off x="0" y="0"/>
                      <a:ext cx="5624830" cy="8147050"/>
                    </a:xfrm>
                    <a:prstGeom prst="rect">
                      <a:avLst/>
                    </a:prstGeom>
                    <a:noFill/>
                    <a:ln>
                      <a:noFill/>
                    </a:ln>
                  </pic:spPr>
                </pic:pic>
              </a:graphicData>
            </a:graphic>
          </wp:inline>
        </w:drawing>
      </w:r>
    </w:p>
    <w:p w14:paraId="43947532">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p>
    <w:p w14:paraId="450B9892">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附件</w:t>
      </w:r>
      <w:r>
        <w:rPr>
          <w:rFonts w:hint="eastAsia" w:cs="Times New Roman"/>
          <w:lang w:val="en-US" w:eastAsia="zh-CN"/>
        </w:rPr>
        <w:t>6</w:t>
      </w:r>
      <w:r>
        <w:rPr>
          <w:rFonts w:hint="default" w:ascii="Times New Roman" w:hAnsi="Times New Roman" w:eastAsia="宋体" w:cs="Times New Roman"/>
          <w:lang w:val="en-US" w:eastAsia="zh-CN"/>
        </w:rPr>
        <w:t>厂区现状照片</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72"/>
        <w:gridCol w:w="4450"/>
      </w:tblGrid>
      <w:tr w14:paraId="6E4D9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6" w:type="dxa"/>
            <w:gridSpan w:val="2"/>
          </w:tcPr>
          <w:p w14:paraId="2515BD20">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left"/>
              <w:textAlignment w:val="auto"/>
              <w:rPr>
                <w:rFonts w:hint="default" w:ascii="Times New Roman" w:hAnsi="Times New Roman" w:eastAsia="宋体" w:cs="Times New Roman"/>
                <w:vertAlign w:val="baseline"/>
                <w:lang w:val="en-US" w:eastAsia="zh-CN"/>
              </w:rPr>
            </w:pPr>
          </w:p>
        </w:tc>
      </w:tr>
      <w:tr w14:paraId="35727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6" w:type="dxa"/>
            <w:gridSpan w:val="2"/>
          </w:tcPr>
          <w:p w14:paraId="4671DA3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left"/>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5669280" cy="3188970"/>
                  <wp:effectExtent l="0" t="0" r="7620" b="11430"/>
                  <wp:docPr id="36" name="图片 36" descr="d62a1e3bf33baf139af6cd72dccfc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62a1e3bf33baf139af6cd72dccfc27"/>
                          <pic:cNvPicPr>
                            <a:picLocks noChangeAspect="1"/>
                          </pic:cNvPicPr>
                        </pic:nvPicPr>
                        <pic:blipFill>
                          <a:blip r:embed="rId39"/>
                          <a:stretch>
                            <a:fillRect/>
                          </a:stretch>
                        </pic:blipFill>
                        <pic:spPr>
                          <a:xfrm>
                            <a:off x="0" y="0"/>
                            <a:ext cx="5669280" cy="3188970"/>
                          </a:xfrm>
                          <a:prstGeom prst="rect">
                            <a:avLst/>
                          </a:prstGeom>
                        </pic:spPr>
                      </pic:pic>
                    </a:graphicData>
                  </a:graphic>
                </wp:inline>
              </w:drawing>
            </w:r>
            <w:r>
              <w:rPr>
                <w:rFonts w:hint="default" w:ascii="Times New Roman" w:hAnsi="Times New Roman" w:eastAsia="宋体" w:cs="Times New Roman"/>
                <w:vertAlign w:val="baseline"/>
                <w:lang w:val="en-US" w:eastAsia="zh-CN"/>
              </w:rPr>
              <w:drawing>
                <wp:inline distT="0" distB="0" distL="114300" distR="114300">
                  <wp:extent cx="5600700" cy="3150235"/>
                  <wp:effectExtent l="0" t="0" r="0" b="12065"/>
                  <wp:docPr id="37" name="图片 37" descr="0c3c2afc8cc14c7357144602b1b0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c3c2afc8cc14c7357144602b1b01ab"/>
                          <pic:cNvPicPr>
                            <a:picLocks noChangeAspect="1"/>
                          </pic:cNvPicPr>
                        </pic:nvPicPr>
                        <pic:blipFill>
                          <a:blip r:embed="rId40"/>
                          <a:stretch>
                            <a:fillRect/>
                          </a:stretch>
                        </pic:blipFill>
                        <pic:spPr>
                          <a:xfrm>
                            <a:off x="0" y="0"/>
                            <a:ext cx="5600700" cy="3150235"/>
                          </a:xfrm>
                          <a:prstGeom prst="rect">
                            <a:avLst/>
                          </a:prstGeom>
                        </pic:spPr>
                      </pic:pic>
                    </a:graphicData>
                  </a:graphic>
                </wp:inline>
              </w:drawing>
            </w:r>
          </w:p>
        </w:tc>
      </w:tr>
      <w:tr w14:paraId="0239E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4ECDD2BF">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0" cy="0"/>
                  <wp:effectExtent l="0" t="0" r="0" b="0"/>
                  <wp:docPr id="38" name="图片 38" descr="IMG_20250102_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50102_145559"/>
                          <pic:cNvPicPr>
                            <a:picLocks noChangeAspect="1"/>
                          </pic:cNvPicPr>
                        </pic:nvPicPr>
                        <pic:blipFill>
                          <a:blip r:embed="rId41"/>
                          <a:stretch>
                            <a:fillRect/>
                          </a:stretch>
                        </pic:blipFill>
                        <pic:spPr>
                          <a:xfrm>
                            <a:off x="0" y="0"/>
                            <a:ext cx="0" cy="0"/>
                          </a:xfrm>
                          <a:prstGeom prst="rect">
                            <a:avLst/>
                          </a:prstGeom>
                        </pic:spPr>
                      </pic:pic>
                    </a:graphicData>
                  </a:graphic>
                </wp:inline>
              </w:drawing>
            </w:r>
            <w:r>
              <w:rPr>
                <w:rFonts w:hint="default" w:ascii="Times New Roman" w:hAnsi="Times New Roman" w:eastAsia="宋体" w:cs="Times New Roman"/>
                <w:vertAlign w:val="baseline"/>
                <w:lang w:val="en-US" w:eastAsia="zh-CN"/>
              </w:rPr>
              <w:drawing>
                <wp:inline distT="0" distB="0" distL="114300" distR="114300">
                  <wp:extent cx="2720975" cy="3628390"/>
                  <wp:effectExtent l="0" t="0" r="3175" b="10160"/>
                  <wp:docPr id="39" name="图片 39" descr="IMG_20250102_1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50102_145559"/>
                          <pic:cNvPicPr>
                            <a:picLocks noChangeAspect="1"/>
                          </pic:cNvPicPr>
                        </pic:nvPicPr>
                        <pic:blipFill>
                          <a:blip r:embed="rId41"/>
                          <a:stretch>
                            <a:fillRect/>
                          </a:stretch>
                        </pic:blipFill>
                        <pic:spPr>
                          <a:xfrm>
                            <a:off x="0" y="0"/>
                            <a:ext cx="2720975" cy="3628390"/>
                          </a:xfrm>
                          <a:prstGeom prst="rect">
                            <a:avLst/>
                          </a:prstGeom>
                        </pic:spPr>
                      </pic:pic>
                    </a:graphicData>
                  </a:graphic>
                </wp:inline>
              </w:drawing>
            </w:r>
          </w:p>
        </w:tc>
        <w:tc>
          <w:tcPr>
            <w:tcW w:w="4538" w:type="dxa"/>
          </w:tcPr>
          <w:p w14:paraId="4FCDB323">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978150" cy="2233295"/>
                  <wp:effectExtent l="0" t="0" r="12700" b="14605"/>
                  <wp:docPr id="40" name="图片 40" descr="IMG_20250102_15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50102_151002"/>
                          <pic:cNvPicPr>
                            <a:picLocks noChangeAspect="1"/>
                          </pic:cNvPicPr>
                        </pic:nvPicPr>
                        <pic:blipFill>
                          <a:blip r:embed="rId42"/>
                          <a:stretch>
                            <a:fillRect/>
                          </a:stretch>
                        </pic:blipFill>
                        <pic:spPr>
                          <a:xfrm>
                            <a:off x="0" y="0"/>
                            <a:ext cx="2978150" cy="2233295"/>
                          </a:xfrm>
                          <a:prstGeom prst="rect">
                            <a:avLst/>
                          </a:prstGeom>
                        </pic:spPr>
                      </pic:pic>
                    </a:graphicData>
                  </a:graphic>
                </wp:inline>
              </w:drawing>
            </w:r>
          </w:p>
        </w:tc>
      </w:tr>
      <w:tr w14:paraId="296DF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221C6DA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1755775"/>
                  <wp:effectExtent l="0" t="0" r="2540" b="15875"/>
                  <wp:docPr id="42" name="图片 42" descr="IMG_20250102_15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50102_151158"/>
                          <pic:cNvPicPr>
                            <a:picLocks noChangeAspect="1"/>
                          </pic:cNvPicPr>
                        </pic:nvPicPr>
                        <pic:blipFill>
                          <a:blip r:embed="rId43"/>
                          <a:stretch>
                            <a:fillRect/>
                          </a:stretch>
                        </pic:blipFill>
                        <pic:spPr>
                          <a:xfrm>
                            <a:off x="0" y="0"/>
                            <a:ext cx="2340610" cy="1755775"/>
                          </a:xfrm>
                          <a:prstGeom prst="rect">
                            <a:avLst/>
                          </a:prstGeom>
                        </pic:spPr>
                      </pic:pic>
                    </a:graphicData>
                  </a:graphic>
                </wp:inline>
              </w:drawing>
            </w:r>
          </w:p>
        </w:tc>
        <w:tc>
          <w:tcPr>
            <w:tcW w:w="4538" w:type="dxa"/>
          </w:tcPr>
          <w:p w14:paraId="429562C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62530" cy="1847215"/>
                  <wp:effectExtent l="0" t="0" r="13970" b="635"/>
                  <wp:docPr id="43" name="图片 43" descr="IMG_20250102_15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50102_151200"/>
                          <pic:cNvPicPr>
                            <a:picLocks noChangeAspect="1"/>
                          </pic:cNvPicPr>
                        </pic:nvPicPr>
                        <pic:blipFill>
                          <a:blip r:embed="rId44"/>
                          <a:stretch>
                            <a:fillRect/>
                          </a:stretch>
                        </pic:blipFill>
                        <pic:spPr>
                          <a:xfrm>
                            <a:off x="0" y="0"/>
                            <a:ext cx="2462530" cy="1847215"/>
                          </a:xfrm>
                          <a:prstGeom prst="rect">
                            <a:avLst/>
                          </a:prstGeom>
                        </pic:spPr>
                      </pic:pic>
                    </a:graphicData>
                  </a:graphic>
                </wp:inline>
              </w:drawing>
            </w:r>
          </w:p>
        </w:tc>
      </w:tr>
      <w:tr w14:paraId="0F1D1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1637CE9E">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00935" cy="1800860"/>
                  <wp:effectExtent l="0" t="0" r="18415" b="8890"/>
                  <wp:docPr id="44" name="图片 44" descr="IMG_20250102_16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50102_165649"/>
                          <pic:cNvPicPr>
                            <a:picLocks noChangeAspect="1"/>
                          </pic:cNvPicPr>
                        </pic:nvPicPr>
                        <pic:blipFill>
                          <a:blip r:embed="rId45"/>
                          <a:stretch>
                            <a:fillRect/>
                          </a:stretch>
                        </pic:blipFill>
                        <pic:spPr>
                          <a:xfrm>
                            <a:off x="0" y="0"/>
                            <a:ext cx="2400935" cy="1800860"/>
                          </a:xfrm>
                          <a:prstGeom prst="rect">
                            <a:avLst/>
                          </a:prstGeom>
                        </pic:spPr>
                      </pic:pic>
                    </a:graphicData>
                  </a:graphic>
                </wp:inline>
              </w:drawing>
            </w:r>
          </w:p>
        </w:tc>
        <w:tc>
          <w:tcPr>
            <w:tcW w:w="4538" w:type="dxa"/>
          </w:tcPr>
          <w:p w14:paraId="084BE0F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496820" cy="1872615"/>
                  <wp:effectExtent l="0" t="0" r="17780" b="13335"/>
                  <wp:docPr id="45" name="图片 45" descr="IMG_20250102_16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50102_165651"/>
                          <pic:cNvPicPr>
                            <a:picLocks noChangeAspect="1"/>
                          </pic:cNvPicPr>
                        </pic:nvPicPr>
                        <pic:blipFill>
                          <a:blip r:embed="rId46"/>
                          <a:stretch>
                            <a:fillRect/>
                          </a:stretch>
                        </pic:blipFill>
                        <pic:spPr>
                          <a:xfrm>
                            <a:off x="0" y="0"/>
                            <a:ext cx="2496820" cy="1872615"/>
                          </a:xfrm>
                          <a:prstGeom prst="rect">
                            <a:avLst/>
                          </a:prstGeom>
                        </pic:spPr>
                      </pic:pic>
                    </a:graphicData>
                  </a:graphic>
                </wp:inline>
              </w:drawing>
            </w:r>
          </w:p>
        </w:tc>
      </w:tr>
      <w:tr w14:paraId="49583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2FC42E1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升压站</w:t>
            </w:r>
          </w:p>
        </w:tc>
        <w:tc>
          <w:tcPr>
            <w:tcW w:w="4538" w:type="dxa"/>
          </w:tcPr>
          <w:p w14:paraId="30D9771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变压器</w:t>
            </w:r>
          </w:p>
        </w:tc>
      </w:tr>
      <w:tr w14:paraId="0D6D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543183B5">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3121025"/>
                  <wp:effectExtent l="0" t="0" r="2540" b="3175"/>
                  <wp:docPr id="46" name="图片 46" descr="IMG_20250102_16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50102_165815"/>
                          <pic:cNvPicPr>
                            <a:picLocks noChangeAspect="1"/>
                          </pic:cNvPicPr>
                        </pic:nvPicPr>
                        <pic:blipFill>
                          <a:blip r:embed="rId47"/>
                          <a:stretch>
                            <a:fillRect/>
                          </a:stretch>
                        </pic:blipFill>
                        <pic:spPr>
                          <a:xfrm>
                            <a:off x="0" y="0"/>
                            <a:ext cx="2340610" cy="3121025"/>
                          </a:xfrm>
                          <a:prstGeom prst="rect">
                            <a:avLst/>
                          </a:prstGeom>
                        </pic:spPr>
                      </pic:pic>
                    </a:graphicData>
                  </a:graphic>
                </wp:inline>
              </w:drawing>
            </w:r>
          </w:p>
        </w:tc>
        <w:tc>
          <w:tcPr>
            <w:tcW w:w="4538" w:type="dxa"/>
          </w:tcPr>
          <w:p w14:paraId="5A181160">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40610" cy="3121025"/>
                  <wp:effectExtent l="0" t="0" r="2540" b="3175"/>
                  <wp:docPr id="47" name="图片 47" descr="IMG_20250102_16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50102_165759"/>
                          <pic:cNvPicPr>
                            <a:picLocks noChangeAspect="1"/>
                          </pic:cNvPicPr>
                        </pic:nvPicPr>
                        <pic:blipFill>
                          <a:blip r:embed="rId48"/>
                          <a:stretch>
                            <a:fillRect/>
                          </a:stretch>
                        </pic:blipFill>
                        <pic:spPr>
                          <a:xfrm>
                            <a:off x="0" y="0"/>
                            <a:ext cx="2340610" cy="3121025"/>
                          </a:xfrm>
                          <a:prstGeom prst="rect">
                            <a:avLst/>
                          </a:prstGeom>
                        </pic:spPr>
                      </pic:pic>
                    </a:graphicData>
                  </a:graphic>
                </wp:inline>
              </w:drawing>
            </w:r>
          </w:p>
        </w:tc>
      </w:tr>
      <w:tr w14:paraId="52DAB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7A413FC8">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事故油池</w:t>
            </w:r>
          </w:p>
        </w:tc>
        <w:tc>
          <w:tcPr>
            <w:tcW w:w="4538" w:type="dxa"/>
          </w:tcPr>
          <w:p w14:paraId="1427A872">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变压器铭牌</w:t>
            </w:r>
          </w:p>
        </w:tc>
      </w:tr>
      <w:tr w14:paraId="0691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06B2C724">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570480" cy="1928495"/>
                  <wp:effectExtent l="0" t="0" r="1270" b="14605"/>
                  <wp:docPr id="48" name="图片 48" descr="IMG_20250102_15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50102_151154"/>
                          <pic:cNvPicPr>
                            <a:picLocks noChangeAspect="1"/>
                          </pic:cNvPicPr>
                        </pic:nvPicPr>
                        <pic:blipFill>
                          <a:blip r:embed="rId49"/>
                          <a:stretch>
                            <a:fillRect/>
                          </a:stretch>
                        </pic:blipFill>
                        <pic:spPr>
                          <a:xfrm>
                            <a:off x="0" y="0"/>
                            <a:ext cx="2570480" cy="1928495"/>
                          </a:xfrm>
                          <a:prstGeom prst="rect">
                            <a:avLst/>
                          </a:prstGeom>
                        </pic:spPr>
                      </pic:pic>
                    </a:graphicData>
                  </a:graphic>
                </wp:inline>
              </w:drawing>
            </w:r>
          </w:p>
        </w:tc>
        <w:tc>
          <w:tcPr>
            <w:tcW w:w="4538" w:type="dxa"/>
          </w:tcPr>
          <w:p w14:paraId="3F758A23">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114300" distR="114300">
                  <wp:extent cx="2323465" cy="3098165"/>
                  <wp:effectExtent l="0" t="0" r="635" b="6985"/>
                  <wp:docPr id="49" name="图片 49" descr="IMG_20250102_15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50102_151340"/>
                          <pic:cNvPicPr>
                            <a:picLocks noChangeAspect="1"/>
                          </pic:cNvPicPr>
                        </pic:nvPicPr>
                        <pic:blipFill>
                          <a:blip r:embed="rId50"/>
                          <a:stretch>
                            <a:fillRect/>
                          </a:stretch>
                        </pic:blipFill>
                        <pic:spPr>
                          <a:xfrm>
                            <a:off x="0" y="0"/>
                            <a:ext cx="2323465" cy="3098165"/>
                          </a:xfrm>
                          <a:prstGeom prst="rect">
                            <a:avLst/>
                          </a:prstGeom>
                        </pic:spPr>
                      </pic:pic>
                    </a:graphicData>
                  </a:graphic>
                </wp:inline>
              </w:drawing>
            </w:r>
          </w:p>
        </w:tc>
      </w:tr>
      <w:tr w14:paraId="70439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8" w:type="dxa"/>
          </w:tcPr>
          <w:p w14:paraId="538E09AB">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化粪池</w:t>
            </w:r>
          </w:p>
        </w:tc>
        <w:tc>
          <w:tcPr>
            <w:tcW w:w="4538" w:type="dxa"/>
          </w:tcPr>
          <w:p w14:paraId="7353F3FF">
            <w:pPr>
              <w:keepNext w:val="0"/>
              <w:keepLines w:val="0"/>
              <w:pageBreakBefore w:val="0"/>
              <w:widowControl w:val="0"/>
              <w:kinsoku/>
              <w:wordWrap/>
              <w:overflowPunct/>
              <w:topLinePunct w:val="0"/>
              <w:autoSpaceDE/>
              <w:autoSpaceDN/>
              <w:bidi w:val="0"/>
              <w:adjustRightInd/>
              <w:snapToGrid/>
              <w:spacing w:before="0" w:after="0" w:line="360" w:lineRule="auto"/>
              <w:ind w:right="0" w:firstLine="0" w:firstLineChars="0"/>
              <w:jc w:val="center"/>
              <w:textAlignment w:val="auto"/>
              <w:rPr>
                <w:rFonts w:hint="default" w:ascii="Times New Roman" w:hAnsi="Times New Roman" w:eastAsia="宋体" w:cs="Times New Roman"/>
                <w:vertAlign w:val="baseline"/>
                <w:lang w:val="en-US" w:eastAsia="zh-CN"/>
              </w:rPr>
            </w:pPr>
            <w:r>
              <w:rPr>
                <w:rFonts w:hint="eastAsia" w:cs="Times New Roman"/>
                <w:vertAlign w:val="baseline"/>
                <w:lang w:val="en-US" w:eastAsia="zh-CN"/>
              </w:rPr>
              <w:t>办公区</w:t>
            </w:r>
          </w:p>
        </w:tc>
      </w:tr>
    </w:tbl>
    <w:p w14:paraId="740A3356">
      <w:pPr>
        <w:autoSpaceDE/>
        <w:autoSpaceDN/>
        <w:spacing w:before="0" w:after="0" w:line="360" w:lineRule="auto"/>
        <w:ind w:left="0" w:right="0" w:firstLine="0" w:firstLineChars="0"/>
        <w:jc w:val="left"/>
        <w:rPr>
          <w:rFonts w:hint="eastAsia" w:cs="Times New Roman"/>
          <w:lang w:val="en-US" w:eastAsia="zh-CN"/>
        </w:rPr>
      </w:pPr>
    </w:p>
    <w:p w14:paraId="1ACC5DAD">
      <w:pPr>
        <w:autoSpaceDE/>
        <w:autoSpaceDN/>
        <w:spacing w:before="0" w:after="0" w:line="360" w:lineRule="auto"/>
        <w:ind w:left="0" w:right="0" w:firstLine="0" w:firstLineChars="0"/>
        <w:jc w:val="left"/>
        <w:rPr>
          <w:rFonts w:hint="eastAsia" w:cs="Times New Roman"/>
          <w:lang w:val="en-US" w:eastAsia="zh-CN"/>
        </w:rPr>
      </w:pPr>
    </w:p>
    <w:p w14:paraId="485F8065">
      <w:pPr>
        <w:autoSpaceDE/>
        <w:autoSpaceDN/>
        <w:spacing w:before="0" w:after="0" w:line="360" w:lineRule="auto"/>
        <w:ind w:left="0" w:right="0" w:firstLine="0" w:firstLineChars="0"/>
        <w:jc w:val="left"/>
        <w:rPr>
          <w:rFonts w:hint="eastAsia" w:cs="Times New Roman"/>
          <w:lang w:val="en-US" w:eastAsia="zh-CN"/>
        </w:rPr>
      </w:pPr>
    </w:p>
    <w:p w14:paraId="7DEF56AE">
      <w:pPr>
        <w:autoSpaceDE/>
        <w:autoSpaceDN/>
        <w:spacing w:before="0" w:after="0" w:line="360" w:lineRule="auto"/>
        <w:ind w:left="0" w:right="0" w:firstLine="0" w:firstLineChars="0"/>
        <w:jc w:val="left"/>
        <w:rPr>
          <w:rFonts w:hint="eastAsia" w:cs="Times New Roman"/>
          <w:lang w:val="en-US" w:eastAsia="zh-CN"/>
        </w:rPr>
      </w:pPr>
    </w:p>
    <w:p w14:paraId="0F22DBEF">
      <w:pPr>
        <w:autoSpaceDE/>
        <w:autoSpaceDN/>
        <w:spacing w:before="0" w:after="0" w:line="360" w:lineRule="auto"/>
        <w:ind w:left="0" w:right="0" w:firstLine="0" w:firstLineChars="0"/>
        <w:jc w:val="left"/>
        <w:rPr>
          <w:rFonts w:hint="eastAsia" w:cs="Times New Roman"/>
          <w:lang w:val="en-US" w:eastAsia="zh-CN"/>
        </w:rPr>
      </w:pPr>
    </w:p>
    <w:p w14:paraId="35CBDF1D">
      <w:pPr>
        <w:autoSpaceDE/>
        <w:autoSpaceDN/>
        <w:spacing w:before="0" w:after="0" w:line="360" w:lineRule="auto"/>
        <w:ind w:left="0" w:right="0" w:firstLine="0" w:firstLineChars="0"/>
        <w:jc w:val="left"/>
        <w:rPr>
          <w:rFonts w:hint="eastAsia" w:cs="Times New Roman"/>
          <w:lang w:val="en-US" w:eastAsia="zh-CN"/>
        </w:rPr>
      </w:pPr>
    </w:p>
    <w:p w14:paraId="711793BD">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2229F6D8">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1F0DDF8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0B389CA4">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4A71F62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p>
    <w:p w14:paraId="4CB24B7E">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第二部分</w:t>
      </w:r>
    </w:p>
    <w:p w14:paraId="3A24D78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4141CA9A">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tbl>
      <w:tblPr>
        <w:tblStyle w:val="16"/>
        <w:tblW w:w="0" w:type="auto"/>
        <w:jc w:val="center"/>
        <w:tblLayout w:type="fixed"/>
        <w:tblCellMar>
          <w:top w:w="0" w:type="dxa"/>
          <w:left w:w="108" w:type="dxa"/>
          <w:bottom w:w="0" w:type="dxa"/>
          <w:right w:w="108" w:type="dxa"/>
        </w:tblCellMar>
      </w:tblPr>
      <w:tblGrid>
        <w:gridCol w:w="8625"/>
      </w:tblGrid>
      <w:tr w14:paraId="590F07B7">
        <w:tblPrEx>
          <w:tblCellMar>
            <w:top w:w="0" w:type="dxa"/>
            <w:left w:w="108" w:type="dxa"/>
            <w:bottom w:w="0" w:type="dxa"/>
            <w:right w:w="108" w:type="dxa"/>
          </w:tblCellMar>
        </w:tblPrEx>
        <w:trPr>
          <w:trHeight w:val="1339" w:hRule="atLeast"/>
          <w:jc w:val="center"/>
        </w:trPr>
        <w:tc>
          <w:tcPr>
            <w:tcW w:w="8625" w:type="dxa"/>
            <w:noWrap w:val="0"/>
            <w:vAlign w:val="top"/>
          </w:tcPr>
          <w:p w14:paraId="4C5487E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8"/>
                <w:w w:val="94"/>
                <w:kern w:val="0"/>
                <w:sz w:val="48"/>
                <w:szCs w:val="48"/>
              </w:rPr>
            </w:pPr>
            <w:r>
              <w:rPr>
                <w:rFonts w:hint="default" w:ascii="Times New Roman" w:hAnsi="Times New Roman" w:cs="Times New Roman"/>
                <w:b/>
                <w:color w:val="auto"/>
                <w:spacing w:val="8"/>
                <w:w w:val="94"/>
                <w:kern w:val="0"/>
                <w:sz w:val="48"/>
                <w:szCs w:val="48"/>
              </w:rPr>
              <w:t>建设项目竣工环境保护</w:t>
            </w:r>
          </w:p>
          <w:p w14:paraId="0E42C1F9">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r>
              <w:rPr>
                <w:rFonts w:hint="default" w:ascii="Times New Roman" w:hAnsi="Times New Roman" w:cs="Times New Roman"/>
                <w:b/>
                <w:color w:val="auto"/>
                <w:spacing w:val="8"/>
                <w:w w:val="94"/>
                <w:kern w:val="0"/>
                <w:sz w:val="48"/>
                <w:szCs w:val="48"/>
              </w:rPr>
              <w:t>验</w:t>
            </w:r>
            <w:r>
              <w:rPr>
                <w:rFonts w:hint="default" w:ascii="Times New Roman" w:hAnsi="Times New Roman" w:cs="Times New Roman"/>
                <w:b/>
                <w:color w:val="auto"/>
                <w:spacing w:val="6"/>
                <w:w w:val="94"/>
                <w:kern w:val="0"/>
                <w:sz w:val="48"/>
                <w:szCs w:val="48"/>
              </w:rPr>
              <w:t>收</w:t>
            </w:r>
            <w:r>
              <w:rPr>
                <w:rFonts w:hint="default" w:ascii="Times New Roman" w:hAnsi="Times New Roman" w:cs="Times New Roman"/>
                <w:b/>
                <w:color w:val="auto"/>
                <w:spacing w:val="20"/>
                <w:sz w:val="48"/>
                <w:szCs w:val="48"/>
              </w:rPr>
              <w:t>意见</w:t>
            </w:r>
          </w:p>
        </w:tc>
      </w:tr>
    </w:tbl>
    <w:p w14:paraId="56AE095F">
      <w:pPr>
        <w:pStyle w:val="2"/>
        <w:numPr>
          <w:ilvl w:val="0"/>
          <w:numId w:val="0"/>
        </w:numPr>
        <w:ind w:leftChars="0" w:right="0" w:rightChars="0"/>
        <w:rPr>
          <w:rFonts w:hint="default" w:ascii="Times New Roman" w:hAnsi="Times New Roman" w:cs="Times New Roman"/>
          <w:color w:val="auto"/>
          <w:lang w:val="en-US" w:eastAsia="zh-CN"/>
        </w:rPr>
      </w:pPr>
    </w:p>
    <w:p w14:paraId="4FD9D6E9">
      <w:pPr>
        <w:rPr>
          <w:rFonts w:hint="default" w:ascii="Times New Roman" w:hAnsi="Times New Roman" w:cs="Times New Roman"/>
          <w:color w:val="auto"/>
          <w:lang w:val="en-US" w:eastAsia="zh-CN"/>
        </w:rPr>
      </w:pPr>
    </w:p>
    <w:p w14:paraId="47797AF5">
      <w:pPr>
        <w:pStyle w:val="2"/>
        <w:rPr>
          <w:rFonts w:hint="default" w:ascii="Times New Roman" w:hAnsi="Times New Roman" w:cs="Times New Roman"/>
          <w:color w:val="auto"/>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p>
    <w:p w14:paraId="0687C26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8"/>
          <w:szCs w:val="36"/>
          <w:lang w:eastAsia="zh-CN"/>
        </w:rPr>
      </w:pPr>
      <w:r>
        <w:rPr>
          <w:rFonts w:hint="eastAsia" w:cs="Times New Roman"/>
          <w:b/>
          <w:bCs/>
          <w:color w:val="auto"/>
          <w:sz w:val="28"/>
          <w:szCs w:val="36"/>
          <w:lang w:eastAsia="zh-CN"/>
        </w:rPr>
        <w:t>坎山村20MW光伏发电项目</w:t>
      </w:r>
    </w:p>
    <w:p w14:paraId="090B59B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8"/>
          <w:szCs w:val="36"/>
        </w:rPr>
      </w:pPr>
      <w:r>
        <w:rPr>
          <w:rFonts w:hint="default" w:ascii="Times New Roman" w:hAnsi="Times New Roman" w:cs="Times New Roman"/>
          <w:b/>
          <w:bCs/>
          <w:color w:val="auto"/>
          <w:sz w:val="28"/>
          <w:szCs w:val="36"/>
        </w:rPr>
        <w:t>竣工环境保护验收意见</w:t>
      </w:r>
    </w:p>
    <w:p w14:paraId="58C419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lang w:eastAsia="zh-CN"/>
        </w:rPr>
        <w:t>年</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lang w:eastAsia="zh-CN"/>
        </w:rPr>
        <w:t>月</w:t>
      </w:r>
      <w:r>
        <w:rPr>
          <w:rFonts w:hint="default" w:ascii="Times New Roman" w:hAnsi="Times New Roman" w:cs="Times New Roman"/>
          <w:color w:val="auto"/>
          <w:sz w:val="24"/>
          <w:szCs w:val="32"/>
          <w:lang w:val="en-US" w:eastAsia="zh-CN"/>
        </w:rPr>
        <w:t>1</w:t>
      </w:r>
      <w:r>
        <w:rPr>
          <w:rFonts w:hint="eastAsia" w:cs="Times New Roman"/>
          <w:color w:val="auto"/>
          <w:sz w:val="24"/>
          <w:szCs w:val="32"/>
          <w:lang w:val="en-US" w:eastAsia="zh-CN"/>
        </w:rPr>
        <w:t>1</w:t>
      </w:r>
      <w:r>
        <w:rPr>
          <w:rFonts w:hint="default" w:ascii="Times New Roman" w:hAnsi="Times New Roman" w:cs="Times New Roman"/>
          <w:color w:val="auto"/>
          <w:sz w:val="24"/>
          <w:szCs w:val="32"/>
          <w:lang w:eastAsia="zh-CN"/>
        </w:rPr>
        <w:t>日</w:t>
      </w: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lang w:eastAsia="zh-CN"/>
        </w:rPr>
        <w:t>在</w:t>
      </w:r>
      <w:r>
        <w:rPr>
          <w:rFonts w:hint="eastAsia" w:cs="Times New Roman"/>
          <w:color w:val="auto"/>
          <w:sz w:val="24"/>
          <w:szCs w:val="32"/>
          <w:lang w:val="en-US" w:eastAsia="zh-CN"/>
        </w:rPr>
        <w:t>霍邱</w:t>
      </w:r>
      <w:r>
        <w:rPr>
          <w:rFonts w:hint="default" w:ascii="Times New Roman" w:hAnsi="Times New Roman" w:cs="Times New Roman"/>
          <w:color w:val="auto"/>
          <w:sz w:val="24"/>
          <w:szCs w:val="32"/>
          <w:lang w:eastAsia="zh-CN"/>
        </w:rPr>
        <w:t>组织召开了</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lang w:eastAsia="zh-CN"/>
        </w:rPr>
        <w:t>竣工环境保护验收会。参加会议的有</w:t>
      </w: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建设单位</w:t>
      </w:r>
      <w:r>
        <w:rPr>
          <w:rFonts w:hint="default" w:ascii="Times New Roman" w:hAnsi="Times New Roman" w:cs="Times New Roman"/>
          <w:color w:val="auto"/>
          <w:sz w:val="24"/>
          <w:szCs w:val="32"/>
          <w:lang w:eastAsia="zh-CN"/>
        </w:rPr>
        <w:t>）等单位的代表及专家共</w:t>
      </w:r>
      <w:r>
        <w:rPr>
          <w:rFonts w:hint="eastAsia" w:cs="Times New Roman"/>
          <w:color w:val="auto"/>
          <w:sz w:val="24"/>
          <w:szCs w:val="32"/>
          <w:lang w:val="en-US" w:eastAsia="zh-CN"/>
        </w:rPr>
        <w:t>7</w:t>
      </w:r>
      <w:r>
        <w:rPr>
          <w:rFonts w:hint="default" w:ascii="Times New Roman" w:hAnsi="Times New Roman" w:cs="Times New Roman"/>
          <w:color w:val="auto"/>
          <w:sz w:val="24"/>
          <w:szCs w:val="32"/>
        </w:rPr>
        <w:t>位</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会议邀请</w:t>
      </w:r>
      <w:r>
        <w:rPr>
          <w:rFonts w:hint="default" w:ascii="Times New Roman" w:hAnsi="Times New Roman" w:cs="Times New Roman"/>
          <w:color w:val="auto"/>
          <w:sz w:val="24"/>
          <w:szCs w:val="32"/>
          <w:lang w:val="en-US" w:eastAsia="zh-CN"/>
        </w:rPr>
        <w:t>3</w:t>
      </w:r>
      <w:r>
        <w:rPr>
          <w:rFonts w:hint="default" w:ascii="Times New Roman" w:hAnsi="Times New Roman" w:cs="Times New Roman"/>
          <w:color w:val="auto"/>
          <w:sz w:val="24"/>
          <w:szCs w:val="32"/>
        </w:rPr>
        <w:t>位专家组成验收工作组</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名单附后</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，与会代表查看了项目现场及周边环境</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并根据《</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rPr>
        <w:t>竣工环境保护验收监测报告表》及《建设项目竣工环境保护验收暂行办法》，严格依照国家有关法律法规、建设项目竣工环境保护验收技术规范指南、本项目环境影响评价报告表和审批部门审批决定等要求对本项目进行验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提出意见如下</w:t>
      </w:r>
      <w:r>
        <w:rPr>
          <w:rFonts w:hint="default" w:ascii="Times New Roman" w:hAnsi="Times New Roman" w:cs="Times New Roman"/>
          <w:color w:val="auto"/>
          <w:sz w:val="24"/>
          <w:szCs w:val="32"/>
          <w:lang w:eastAsia="zh-CN"/>
        </w:rPr>
        <w:t>：</w:t>
      </w:r>
    </w:p>
    <w:p w14:paraId="12EE6A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一、项目基本情况</w:t>
      </w:r>
    </w:p>
    <w:p w14:paraId="385BD2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一）建设地点、规模、主要建设内容</w:t>
      </w:r>
    </w:p>
    <w:p w14:paraId="04450BF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eastAsia="zh-CN"/>
        </w:rPr>
        <w:t>霍邱韩瑞新能源发电有限公司</w:t>
      </w:r>
      <w:r>
        <w:rPr>
          <w:rFonts w:hint="default" w:ascii="Times New Roman" w:hAnsi="Times New Roman" w:cs="Times New Roman"/>
          <w:color w:val="auto"/>
          <w:sz w:val="24"/>
          <w:szCs w:val="32"/>
        </w:rPr>
        <w:t>位于</w:t>
      </w:r>
      <w:r>
        <w:rPr>
          <w:rFonts w:hint="default" w:ascii="Times New Roman" w:hAnsi="Times New Roman" w:cs="Times New Roman"/>
          <w:color w:val="auto"/>
          <w:sz w:val="24"/>
          <w:szCs w:val="32"/>
          <w:lang w:eastAsia="zh-CN"/>
        </w:rPr>
        <w:t>六安市霍邱县邵岗乡坎山村X035县道东，</w:t>
      </w:r>
      <w:r>
        <w:rPr>
          <w:rFonts w:hint="default" w:ascii="Times New Roman" w:hAnsi="Times New Roman" w:cs="Times New Roman"/>
          <w:color w:val="auto"/>
          <w:sz w:val="24"/>
          <w:szCs w:val="32"/>
        </w:rPr>
        <w:t>项目总投资</w:t>
      </w:r>
      <w:r>
        <w:rPr>
          <w:rFonts w:hint="eastAsia" w:cs="Times New Roman"/>
          <w:color w:val="auto"/>
          <w:sz w:val="24"/>
          <w:lang w:val="en-US" w:eastAsia="zh-CN"/>
        </w:rPr>
        <w:t>11500</w:t>
      </w:r>
      <w:r>
        <w:rPr>
          <w:rFonts w:hint="default" w:ascii="Times New Roman" w:hAnsi="Times New Roman" w:cs="Times New Roman"/>
          <w:color w:val="auto"/>
          <w:sz w:val="24"/>
          <w:szCs w:val="32"/>
        </w:rPr>
        <w:t>万元</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实际环保投资</w:t>
      </w:r>
      <w:r>
        <w:rPr>
          <w:rFonts w:hint="eastAsia" w:cs="Times New Roman"/>
          <w:color w:val="auto"/>
          <w:sz w:val="24"/>
          <w:szCs w:val="32"/>
          <w:lang w:val="en-US" w:eastAsia="zh-CN"/>
        </w:rPr>
        <w:t>168.5</w:t>
      </w:r>
      <w:r>
        <w:rPr>
          <w:rFonts w:hint="default" w:ascii="Times New Roman" w:hAnsi="Times New Roman" w:cs="Times New Roman"/>
          <w:color w:val="auto"/>
          <w:sz w:val="24"/>
          <w:szCs w:val="32"/>
        </w:rPr>
        <w:t>万元。</w:t>
      </w:r>
    </w:p>
    <w:p w14:paraId="37AFD7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二</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建设过程及环保审批情况</w:t>
      </w:r>
    </w:p>
    <w:p w14:paraId="691F0392">
      <w:pPr>
        <w:tabs>
          <w:tab w:val="center" w:pos="4341"/>
        </w:tabs>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eastAsia" w:cs="Times New Roman"/>
          <w:color w:val="auto"/>
          <w:sz w:val="24"/>
          <w:lang w:eastAsia="zh-CN"/>
        </w:rPr>
        <w:t>坎山村20MW光伏发电项目</w:t>
      </w:r>
      <w:r>
        <w:rPr>
          <w:rFonts w:hint="default" w:ascii="Times New Roman" w:hAnsi="Times New Roman" w:cs="Times New Roman"/>
          <w:color w:val="auto"/>
          <w:sz w:val="24"/>
        </w:rPr>
        <w:t>》于2016年11月27日经</w:t>
      </w:r>
      <w:r>
        <w:rPr>
          <w:rFonts w:hint="eastAsia" w:cs="Times New Roman"/>
          <w:color w:val="auto"/>
          <w:sz w:val="24"/>
          <w:lang w:eastAsia="zh-CN"/>
        </w:rPr>
        <w:t>六安市</w:t>
      </w:r>
      <w:r>
        <w:rPr>
          <w:rFonts w:hint="default" w:ascii="Times New Roman" w:hAnsi="Times New Roman" w:cs="Times New Roman"/>
          <w:color w:val="auto"/>
          <w:sz w:val="24"/>
        </w:rPr>
        <w:t>发展和改革委员会备案，项目代码为：2016-341552-44-03-018371。由安徽省四维环境工程有限公司于2017年2月编制《坎山村20MW光伏发电项目环境影响报告表》。2017年4月27日，建设单位取得了原六安市环境保护局《六安市环境保护局关于霍邱韩瑞新能源发电有限公司坎山村20MW光伏发电项目环境影响报告表的批复》（六环评〔2017〕26号）。</w:t>
      </w:r>
    </w:p>
    <w:p w14:paraId="1B57A621">
      <w:pPr>
        <w:tabs>
          <w:tab w:val="center" w:pos="4341"/>
        </w:tabs>
        <w:spacing w:line="360" w:lineRule="auto"/>
        <w:ind w:firstLine="480" w:firstLineChars="200"/>
        <w:rPr>
          <w:rFonts w:hint="default" w:ascii="Times New Roman" w:hAnsi="Times New Roman" w:cs="Times New Roman"/>
          <w:color w:val="auto"/>
          <w:sz w:val="24"/>
          <w:vertAlign w:val="baseline"/>
          <w:lang w:eastAsia="zh-CN"/>
        </w:rPr>
      </w:pPr>
      <w:r>
        <w:rPr>
          <w:rFonts w:hint="default" w:ascii="Times New Roman" w:hAnsi="Times New Roman" w:cs="Times New Roman"/>
          <w:color w:val="auto"/>
          <w:sz w:val="24"/>
        </w:rPr>
        <w:t>项目于20</w:t>
      </w:r>
      <w:r>
        <w:rPr>
          <w:rFonts w:hint="default" w:ascii="Times New Roman" w:hAnsi="Times New Roman" w:cs="Times New Roman"/>
          <w:color w:val="auto"/>
          <w:sz w:val="24"/>
          <w:lang w:val="en-US" w:eastAsia="zh-CN"/>
        </w:rPr>
        <w:t>22</w:t>
      </w:r>
      <w:r>
        <w:rPr>
          <w:rFonts w:hint="default" w:ascii="Times New Roman" w:hAnsi="Times New Roman" w:cs="Times New Roman"/>
          <w:color w:val="auto"/>
          <w:sz w:val="24"/>
        </w:rPr>
        <w:t>年</w:t>
      </w:r>
      <w:r>
        <w:rPr>
          <w:rFonts w:hint="eastAsia" w:cs="Times New Roman"/>
          <w:color w:val="auto"/>
          <w:sz w:val="24"/>
          <w:lang w:val="en-US" w:eastAsia="zh-CN"/>
        </w:rPr>
        <w:t>8</w:t>
      </w:r>
      <w:r>
        <w:rPr>
          <w:rFonts w:hint="default" w:ascii="Times New Roman" w:hAnsi="Times New Roman" w:cs="Times New Roman"/>
          <w:color w:val="auto"/>
          <w:sz w:val="24"/>
        </w:rPr>
        <w:t>月开工建设，20</w:t>
      </w:r>
      <w:r>
        <w:rPr>
          <w:rFonts w:hint="default" w:ascii="Times New Roman" w:hAnsi="Times New Roman" w:cs="Times New Roman"/>
          <w:color w:val="auto"/>
          <w:sz w:val="24"/>
          <w:lang w:val="en-US" w:eastAsia="zh-CN"/>
        </w:rPr>
        <w:t>2</w:t>
      </w:r>
      <w:r>
        <w:rPr>
          <w:rFonts w:hint="eastAsia" w:cs="Times New Roman"/>
          <w:color w:val="auto"/>
          <w:sz w:val="24"/>
          <w:lang w:val="en-US" w:eastAsia="zh-CN"/>
        </w:rPr>
        <w:t>5</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1～202</w:t>
      </w:r>
      <w:r>
        <w:rPr>
          <w:rFonts w:hint="eastAsia" w:cs="Times New Roman"/>
          <w:color w:val="auto"/>
          <w:sz w:val="24"/>
          <w:lang w:val="en-US" w:eastAsia="zh-CN"/>
        </w:rPr>
        <w:t>5</w:t>
      </w:r>
      <w:r>
        <w:rPr>
          <w:rFonts w:hint="default" w:ascii="Times New Roman" w:hAnsi="Times New Roman" w:cs="Times New Roman"/>
          <w:color w:val="auto"/>
          <w:sz w:val="24"/>
          <w:lang w:val="en-US" w:eastAsia="zh-CN"/>
        </w:rPr>
        <w:t>年</w:t>
      </w:r>
      <w:r>
        <w:rPr>
          <w:rFonts w:hint="eastAsia" w:cs="Times New Roman"/>
          <w:color w:val="auto"/>
          <w:sz w:val="24"/>
          <w:lang w:val="en-US" w:eastAsia="zh-CN"/>
        </w:rPr>
        <w:t>4</w:t>
      </w:r>
      <w:r>
        <w:rPr>
          <w:rFonts w:hint="default" w:ascii="Times New Roman" w:hAnsi="Times New Roman" w:cs="Times New Roman"/>
          <w:color w:val="auto"/>
          <w:sz w:val="24"/>
        </w:rPr>
        <w:t>月</w:t>
      </w:r>
      <w:r>
        <w:rPr>
          <w:rFonts w:hint="default" w:ascii="Times New Roman" w:hAnsi="Times New Roman" w:cs="Times New Roman"/>
          <w:color w:val="auto"/>
          <w:sz w:val="24"/>
          <w:lang w:val="en-US" w:eastAsia="zh-CN"/>
        </w:rPr>
        <w:t>项目</w:t>
      </w:r>
      <w:r>
        <w:rPr>
          <w:rFonts w:hint="default" w:ascii="Times New Roman" w:hAnsi="Times New Roman" w:cs="Times New Roman"/>
          <w:color w:val="auto"/>
          <w:sz w:val="24"/>
        </w:rPr>
        <w:t>投入</w:t>
      </w:r>
      <w:r>
        <w:rPr>
          <w:rFonts w:hint="default" w:ascii="Times New Roman" w:hAnsi="Times New Roman" w:cs="Times New Roman"/>
          <w:color w:val="auto"/>
          <w:sz w:val="24"/>
          <w:lang w:eastAsia="zh-CN"/>
        </w:rPr>
        <w:t>试运行</w:t>
      </w:r>
      <w:r>
        <w:rPr>
          <w:rFonts w:hint="default" w:ascii="Times New Roman" w:hAnsi="Times New Roman" w:cs="Times New Roman"/>
          <w:color w:val="auto"/>
          <w:sz w:val="24"/>
          <w:vertAlign w:val="baseline"/>
          <w:lang w:eastAsia="zh-CN"/>
        </w:rPr>
        <w:t>。</w:t>
      </w:r>
    </w:p>
    <w:p w14:paraId="776FB6B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三</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验收范围</w:t>
      </w:r>
    </w:p>
    <w:p w14:paraId="562467DE">
      <w:pPr>
        <w:tabs>
          <w:tab w:val="center" w:pos="4341"/>
        </w:tabs>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项目整体，坎山村20MW光伏发电项目。</w:t>
      </w:r>
    </w:p>
    <w:p w14:paraId="0D6486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二、工程变动情况</w:t>
      </w:r>
    </w:p>
    <w:p w14:paraId="676C6E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对照《安徽省生态环境厅关于规范建设项目环境影响评价调整变更工作的通知》（皖环函〔2023〕997号）</w:t>
      </w:r>
      <w:r>
        <w:rPr>
          <w:rFonts w:hint="eastAsia" w:cs="Times New Roman"/>
          <w:color w:val="auto"/>
          <w:sz w:val="24"/>
          <w:szCs w:val="32"/>
          <w:lang w:val="en-US" w:eastAsia="zh-CN"/>
        </w:rPr>
        <w:t>和</w:t>
      </w:r>
      <w:r>
        <w:rPr>
          <w:rFonts w:hint="default" w:ascii="Times New Roman" w:hAnsi="Times New Roman" w:cs="Times New Roman"/>
          <w:color w:val="auto"/>
          <w:sz w:val="24"/>
          <w:szCs w:val="32"/>
        </w:rPr>
        <w:t>《关于印发〈输变电建设项目重大变动清单（试行）〉的通知》（环办辐射〔2016〕84号）</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本项目对照环评建设无重大变动。</w:t>
      </w:r>
      <w:bookmarkStart w:id="1" w:name="_GoBack"/>
      <w:bookmarkEnd w:id="1"/>
    </w:p>
    <w:p w14:paraId="25E3FF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32"/>
        </w:rPr>
      </w:pPr>
      <w:r>
        <w:rPr>
          <w:rFonts w:hint="default" w:ascii="Times New Roman" w:hAnsi="Times New Roman" w:cs="Times New Roman"/>
          <w:b w:val="0"/>
          <w:bCs w:val="0"/>
          <w:color w:val="auto"/>
          <w:sz w:val="24"/>
          <w:szCs w:val="32"/>
        </w:rPr>
        <w:t>三、环境保护设施建设情况</w:t>
      </w:r>
    </w:p>
    <w:p w14:paraId="18C04D8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lang w:val="en-US" w:eastAsia="zh-CN"/>
          <w14:textFill>
            <w14:solidFill>
              <w14:schemeClr w14:val="tx1"/>
            </w14:solidFill>
          </w14:textFill>
        </w:rPr>
        <w:t>一</w:t>
      </w:r>
      <w:r>
        <w:rPr>
          <w:rFonts w:hint="eastAsia" w:cs="Times New Roman"/>
          <w:b w:val="0"/>
          <w:bCs w:val="0"/>
          <w:color w:val="000000" w:themeColor="text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、施工期</w:t>
      </w:r>
    </w:p>
    <w:p w14:paraId="2C180D77">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1、废气</w:t>
      </w:r>
    </w:p>
    <w:p w14:paraId="32D14AC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项目施工期大气污染物主要是施工扬尘、施工机械和运输车辆及装修时产生的废气。</w:t>
      </w:r>
    </w:p>
    <w:p w14:paraId="09DFCBA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t>项目施工区和运输道路采取洒水降尘、覆盖裸土等措施；运输车辆限速慢行，渣土、砂石等在运输过程中应采取覆盖措施，并适量装车；施工机械和运输车辆燃油烟气产生量较小，呈无组织排放。</w:t>
      </w:r>
    </w:p>
    <w:p w14:paraId="5923742C">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2、废水</w:t>
      </w:r>
    </w:p>
    <w:p w14:paraId="46C2BBC8">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项目施工期废水主要包括建筑施工废水。</w:t>
      </w:r>
    </w:p>
    <w:p w14:paraId="2A9C396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废水主要来自于混凝土养护、机械冲洗、场地冲洗等。项目施工废水产生量较少，施工时，建设施工废水临时沉淀池，将废水引入池中进行沉淀处理，经过沉淀处理后的施工废水回用于混凝土搅拌用水及施工场地洒水降尘，不外排，施工场地不设置施工营地，施工人员均为周边村镇人员，主要依托周边村镇现有生活设施进行食宿，因此项目施工期无生活废水。</w:t>
      </w:r>
    </w:p>
    <w:p w14:paraId="1FC9D45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3、噪声</w:t>
      </w:r>
    </w:p>
    <w:p w14:paraId="4C5265D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施工期需采用低噪机械，合理安排施工场地布置，文明施工，加强施工管理，合理安排施工进度，将主要噪声源尽量远离场界等措施减小噪声的影响。项目夜间禁止施工，对周围声环境影响较小。运输车辆采取减速行驶、禁鸣等措施后，可以减小噪声对所经过敏感点的声环境影响。施工噪声环境影响具有阶段性和短期性，随着施工期的结束，各种不利影响也将会得以消除。</w:t>
      </w:r>
    </w:p>
    <w:p w14:paraId="68728B0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4、固废</w:t>
      </w:r>
    </w:p>
    <w:p w14:paraId="4672DC84">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项目施工期固体废物主要为废弃土石方、建筑垃圾。</w:t>
      </w:r>
    </w:p>
    <w:p w14:paraId="0F67E8C5">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剥离的表土临时堆放在规划的表土堆场中，用于后期绿化覆土，开挖的土石方全部回填，无弃方。建筑垃圾主要为废钢筋、废木材、废砖石、废弃混凝土等，光伏板区域基本不建设建筑物，建筑垃圾产生量非常少，能回收利用的回收利用，无法回收利用的定期清运至政府指定地点处理。</w:t>
      </w:r>
    </w:p>
    <w:p w14:paraId="5C8D880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5、生态</w:t>
      </w:r>
    </w:p>
    <w:p w14:paraId="5E3CCE14">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项目施工期基础开挖、表土剥离等扰动，会造成项目原有土壤、植被破坏，增加水土流失，使项目的生态环境受到一定的影响。</w:t>
      </w:r>
    </w:p>
    <w:p w14:paraId="13F0F1E1">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项目施工期采取临时水保措施，合理安排工期，合理选择施工工序，避开雨天进行地表开挖和基础施工。项目建成后，施工区被建筑物、道路覆盖，施工造成的水土流失将得到控制。</w:t>
      </w:r>
    </w:p>
    <w:p w14:paraId="46F59ABB">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①建设过程中产生的弃土以及施工材料临时堆场须在平整场地，并采取相应拦挡措施，禁止</w:t>
      </w:r>
      <w:r>
        <w:rPr>
          <w:rFonts w:hint="default" w:ascii="Times New Roman" w:hAnsi="Times New Roman" w:eastAsia="宋体" w:cs="Times New Roman"/>
          <w:b w:val="0"/>
          <w:bCs w:val="0"/>
          <w:color w:val="000000"/>
          <w:sz w:val="24"/>
          <w:lang w:eastAsia="zh-CN"/>
        </w:rPr>
        <w:t>向其他</w:t>
      </w:r>
      <w:r>
        <w:rPr>
          <w:rFonts w:hint="default" w:ascii="Times New Roman" w:hAnsi="Times New Roman" w:eastAsia="宋体" w:cs="Times New Roman"/>
          <w:b w:val="0"/>
          <w:bCs w:val="0"/>
          <w:color w:val="000000"/>
          <w:sz w:val="24"/>
        </w:rPr>
        <w:t>任何地方倾倒、堆置弃土弃渣；</w:t>
      </w:r>
    </w:p>
    <w:p w14:paraId="31BDD0BE">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②施工期间开挖土方用于回填场地及铺设道路，其实施过程应合理衔接，尽量避免土方堆置，若需堆置则应注意土方的合理堆置，与周边道路保持一定距离；</w:t>
      </w:r>
    </w:p>
    <w:p w14:paraId="6379A357">
      <w:pPr>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③尽量避免雨季，防止突发暴雨对裸露地表冲刷造成水土流失，施工阶段遇到雨季无法施工时须采取必要的护坡措施（设临时挡墙），避免发生大面积的水土流失；</w:t>
      </w:r>
    </w:p>
    <w:p w14:paraId="78D4A7CF">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④合理安排作业时段并适时加快施工进度，施工结束应及时清理场地，按照规划对项目区域场地进行硬化、绿化、种植草木，尽量将水土流失降到最低；</w:t>
      </w:r>
    </w:p>
    <w:p w14:paraId="0AD5A676">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⑤尽量缩小开挖面积，降低开挖面坡度，尽量做到随挖、随整、随填、随夯、随运，减少松土储量，争取各工程区挖填方充分利用，充分利用弃方。</w:t>
      </w:r>
    </w:p>
    <w:p w14:paraId="08F5F195">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因此项目运营对周围生态环境影响较小。</w:t>
      </w:r>
    </w:p>
    <w:p w14:paraId="0BA39FEE">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p>
    <w:p w14:paraId="467FBE7A">
      <w:pPr>
        <w:pStyle w:val="22"/>
        <w:keepNext w:val="0"/>
        <w:keepLines w:val="0"/>
        <w:pageBreakBefore w:val="0"/>
        <w:widowControl w:val="0"/>
        <w:kinsoku/>
        <w:wordWrap/>
        <w:overflowPunct/>
        <w:topLinePunct w:val="0"/>
        <w:autoSpaceDE w:val="0"/>
        <w:autoSpaceDN w:val="0"/>
        <w:bidi w:val="0"/>
        <w:adjustRightInd/>
        <w:snapToGrid/>
        <w:ind w:left="0" w:leftChars="0" w:firstLine="0" w:firstLineChars="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eastAsia" w:cs="Times New Roman"/>
          <w:b w:val="0"/>
          <w:bCs w:val="0"/>
          <w:color w:val="000000" w:themeColor="text1"/>
          <w:lang w:val="en-US" w:eastAsia="zh-CN"/>
          <w14:textFill>
            <w14:solidFill>
              <w14:schemeClr w14:val="tx1"/>
            </w14:solidFill>
          </w14:textFill>
        </w:rPr>
        <w:t>（二）</w:t>
      </w:r>
      <w:r>
        <w:rPr>
          <w:rFonts w:hint="default" w:ascii="Times New Roman" w:hAnsi="Times New Roman" w:eastAsia="宋体" w:cs="Times New Roman"/>
          <w:b w:val="0"/>
          <w:bCs w:val="0"/>
          <w:color w:val="000000" w:themeColor="text1"/>
          <w:lang w:val="en-US" w:eastAsia="zh-CN"/>
          <w14:textFill>
            <w14:solidFill>
              <w14:schemeClr w14:val="tx1"/>
            </w14:solidFill>
          </w14:textFill>
        </w:rPr>
        <w:t>营运</w:t>
      </w:r>
      <w:r>
        <w:rPr>
          <w:rFonts w:hint="eastAsia" w:ascii="Times New Roman" w:hAnsi="Times New Roman" w:eastAsia="宋体" w:cs="Times New Roman"/>
          <w:b w:val="0"/>
          <w:bCs w:val="0"/>
          <w:color w:val="000000" w:themeColor="text1"/>
          <w:lang w:val="en-US" w:eastAsia="zh-CN"/>
          <w14:textFill>
            <w14:solidFill>
              <w14:schemeClr w14:val="tx1"/>
            </w14:solidFill>
          </w14:textFill>
        </w:rPr>
        <w:t>期</w:t>
      </w:r>
    </w:p>
    <w:p w14:paraId="75C1F800">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1、废气</w:t>
      </w:r>
    </w:p>
    <w:p w14:paraId="0FE371E4">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本项目光伏电站主要是利用光伏元件转化太阳能为电能，太阳能的利用属于清洁能源。在项目营运期，光伏电站没有生产工艺废气污染源，项目区产生的主要废气为厨房油烟废气，对周围大气环境的影响很小。本项目营运期升压站区内提供员工食宿，厨房产生的油烟废气经油烟净化装置处理后，由专用烟道引至屋顶集中排放。</w:t>
      </w:r>
    </w:p>
    <w:p w14:paraId="16549906">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2、废水</w:t>
      </w:r>
    </w:p>
    <w:p w14:paraId="05ED4287">
      <w:pPr>
        <w:wordWrap w:val="0"/>
        <w:adjustRightInd w:val="0"/>
        <w:snapToGrid w:val="0"/>
        <w:spacing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运营期污水为员工生活污水和光伏组件清洗废水，其中生活污水经三格化粪池收集处理后，定期清掏用作周边农业施肥或厂区绿化不外排；光伏组件清洗采用清水，不投加其他化学物质，产生的清洗废水中不含有重金属等有害成分，主要污染物为SS，光伏组件清洗废水因安装高度及水面布局限制无法有效收集，直接排入下方池塘。根据同类型项目经验，废水中主要污染物为悬浮物，且池塘水体功能为养殖用水，废水排放未对水质造成显著影响。该调整未导致污染物总量增加或环境风险升高，符合环评中“废水综合利用”的总体要求。</w:t>
      </w:r>
    </w:p>
    <w:p w14:paraId="32E0ED57">
      <w:pPr>
        <w:wordWrap w:val="0"/>
        <w:adjustRightInd w:val="0"/>
        <w:snapToGrid w:val="0"/>
        <w:spacing w:line="360" w:lineRule="auto"/>
        <w:ind w:firstLine="480" w:firstLineChars="200"/>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sz w:val="24"/>
        </w:rPr>
        <w:t>因此，本项目运营期产生的废水对区域水环境影响较小。</w:t>
      </w:r>
    </w:p>
    <w:p w14:paraId="5929967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3、噪声</w:t>
      </w:r>
    </w:p>
    <w:p w14:paraId="0C76BBEE">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项目运营期噪声主要为变压器运行噪声，经距离衰减后厂界达标排放。</w:t>
      </w:r>
    </w:p>
    <w:p w14:paraId="4FDB1AFD">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000000" w:themeColor="text1"/>
          <w:lang w:val="en-US" w:eastAsia="zh-CN"/>
          <w14:textFill>
            <w14:solidFill>
              <w14:schemeClr w14:val="tx1"/>
            </w14:solidFill>
          </w14:textFill>
        </w:rPr>
      </w:pPr>
      <w:r>
        <w:rPr>
          <w:rFonts w:hint="default" w:ascii="Times New Roman" w:hAnsi="Times New Roman" w:eastAsia="宋体" w:cs="Times New Roman"/>
          <w:b w:val="0"/>
          <w:bCs w:val="0"/>
          <w:color w:val="000000" w:themeColor="text1"/>
          <w:lang w:val="en-US" w:eastAsia="zh-CN"/>
          <w14:textFill>
            <w14:solidFill>
              <w14:schemeClr w14:val="tx1"/>
            </w14:solidFill>
          </w14:textFill>
        </w:rPr>
        <w:t>4、固体废弃物</w:t>
      </w:r>
    </w:p>
    <w:p w14:paraId="69495F72">
      <w:pPr>
        <w:keepNext w:val="0"/>
        <w:keepLines w:val="0"/>
        <w:widowControl/>
        <w:suppressLineNumbers w:val="0"/>
        <w:jc w:val="left"/>
        <w:rPr>
          <w:rFonts w:hint="default" w:ascii="Times New Roman" w:hAnsi="Times New Roman" w:eastAsia="宋体" w:cs="Times New Roman"/>
          <w:b w:val="0"/>
          <w:bCs w:val="0"/>
        </w:rPr>
      </w:pPr>
      <w:r>
        <w:rPr>
          <w:rFonts w:hint="default" w:ascii="Times New Roman" w:hAnsi="Times New Roman" w:eastAsia="宋体" w:cs="Times New Roman"/>
          <w:b w:val="0"/>
          <w:bCs w:val="0"/>
          <w:color w:val="000000"/>
          <w:kern w:val="0"/>
          <w:sz w:val="24"/>
          <w:szCs w:val="24"/>
          <w:lang w:val="en-US" w:eastAsia="zh-CN" w:bidi="ar"/>
        </w:rPr>
        <w:t xml:space="preserve">项目生产过程中产生的固体废物主要为生活垃圾、项目生产过程中产生的废旧的光伏组件、废电池以及变压器检修、更换以及发生事故时产生的废油。 </w:t>
      </w:r>
    </w:p>
    <w:p w14:paraId="665BB364">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①生活垃圾</w:t>
      </w:r>
    </w:p>
    <w:p w14:paraId="1FCBD13E">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生活垃圾分类集中收集后，统一由环卫部门清运处理。</w:t>
      </w:r>
    </w:p>
    <w:p w14:paraId="5319A566">
      <w:pPr>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②废旧的光伏组件</w:t>
      </w:r>
    </w:p>
    <w:p w14:paraId="4AA31D7B">
      <w:pPr>
        <w:wordWrap w:val="0"/>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对于损坏更换的电池组件以及光伏电池组件使用寿命到期后更换下来的电池组件，直接由设备生产厂家回收。</w:t>
      </w:r>
    </w:p>
    <w:p w14:paraId="68826132">
      <w:pPr>
        <w:wordWrap w:val="0"/>
        <w:adjustRightInd w:val="0"/>
        <w:snapToGrid w:val="0"/>
        <w:spacing w:line="360" w:lineRule="auto"/>
        <w:ind w:firstLine="510"/>
        <w:rPr>
          <w:rFonts w:hint="default" w:ascii="Times New Roman" w:hAnsi="Times New Roman" w:eastAsia="宋体" w:cs="Times New Roman"/>
          <w:b w:val="0"/>
          <w:bCs w:val="0"/>
          <w:color w:val="000000"/>
          <w:spacing w:val="6"/>
          <w:sz w:val="24"/>
          <w:szCs w:val="24"/>
        </w:rPr>
      </w:pPr>
      <w:r>
        <w:rPr>
          <w:rFonts w:hint="default" w:ascii="Times New Roman" w:hAnsi="Times New Roman" w:eastAsia="宋体" w:cs="Times New Roman"/>
          <w:b w:val="0"/>
          <w:bCs w:val="0"/>
          <w:color w:val="000000"/>
          <w:spacing w:val="6"/>
          <w:sz w:val="24"/>
          <w:szCs w:val="24"/>
        </w:rPr>
        <w:t>③废电池</w:t>
      </w:r>
    </w:p>
    <w:p w14:paraId="64A84EDF">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w:t>
      </w:r>
      <w:r>
        <w:rPr>
          <w:rFonts w:hint="default" w:ascii="Times New Roman" w:hAnsi="Times New Roman" w:eastAsia="宋体" w:cs="Times New Roman"/>
          <w:b w:val="0"/>
          <w:bCs w:val="0"/>
          <w:color w:val="000000"/>
          <w:spacing w:val="-2"/>
          <w:kern w:val="0"/>
          <w:sz w:val="24"/>
        </w:rPr>
        <w:t>运行过程中会产生一定量的废电池</w:t>
      </w:r>
      <w:r>
        <w:rPr>
          <w:rFonts w:hint="default" w:ascii="Times New Roman" w:hAnsi="Times New Roman" w:eastAsia="宋体" w:cs="Times New Roman"/>
          <w:b w:val="0"/>
          <w:bCs w:val="0"/>
          <w:color w:val="000000"/>
          <w:sz w:val="24"/>
        </w:rPr>
        <w:t>。属于危险固废</w:t>
      </w:r>
      <w:r>
        <w:rPr>
          <w:rFonts w:hint="default" w:ascii="Times New Roman" w:hAnsi="Times New Roman" w:eastAsia="宋体" w:cs="Times New Roman"/>
          <w:b w:val="0"/>
          <w:bCs w:val="0"/>
          <w:color w:val="000000"/>
          <w:spacing w:val="-2"/>
          <w:kern w:val="0"/>
          <w:sz w:val="24"/>
        </w:rPr>
        <w:t>，</w:t>
      </w:r>
      <w:r>
        <w:rPr>
          <w:rFonts w:hint="default" w:ascii="Times New Roman" w:hAnsi="Times New Roman" w:eastAsia="宋体" w:cs="Times New Roman"/>
          <w:b w:val="0"/>
          <w:bCs w:val="0"/>
          <w:color w:val="000000"/>
          <w:sz w:val="24"/>
        </w:rPr>
        <w:t>经收集后及时交由有资质单位处理。</w:t>
      </w:r>
    </w:p>
    <w:p w14:paraId="354602F2">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④废油</w:t>
      </w:r>
    </w:p>
    <w:p w14:paraId="55CE3385">
      <w:pPr>
        <w:wordWrap w:val="0"/>
        <w:adjustRightInd w:val="0"/>
        <w:snapToGrid w:val="0"/>
        <w:spacing w:line="360" w:lineRule="auto"/>
        <w:ind w:firstLine="51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项目变压器检修、更换以及发生事故时会产生一定量的废变压器油</w:t>
      </w:r>
      <w:r>
        <w:rPr>
          <w:rFonts w:hint="default" w:ascii="Times New Roman" w:hAnsi="Times New Roman" w:eastAsia="宋体" w:cs="Times New Roman"/>
          <w:b w:val="0"/>
          <w:bCs w:val="0"/>
          <w:color w:val="000000"/>
          <w:sz w:val="24"/>
          <w:lang w:eastAsia="zh-CN"/>
        </w:rPr>
        <w:t>，</w:t>
      </w:r>
      <w:r>
        <w:rPr>
          <w:rFonts w:hint="default" w:ascii="Times New Roman" w:hAnsi="Times New Roman" w:eastAsia="宋体" w:cs="Times New Roman"/>
          <w:b w:val="0"/>
          <w:bCs w:val="0"/>
          <w:color w:val="000000"/>
          <w:sz w:val="24"/>
        </w:rPr>
        <w:t>属于危废，经收集后及时交由有资质单位处理。</w:t>
      </w:r>
    </w:p>
    <w:p w14:paraId="2FED12C5">
      <w:pPr>
        <w:pStyle w:val="6"/>
        <w:adjustRightInd w:val="0"/>
        <w:snapToGrid w:val="0"/>
        <w:spacing w:after="0" w:line="360" w:lineRule="auto"/>
        <w:ind w:firstLine="480" w:firstLineChars="200"/>
        <w:rPr>
          <w:rFonts w:hint="default" w:ascii="Times New Roman" w:hAnsi="Times New Roman" w:eastAsia="宋体" w:cs="Times New Roman"/>
          <w:b w:val="0"/>
          <w:bCs w:val="0"/>
          <w:color w:val="000000"/>
          <w:sz w:val="24"/>
        </w:rPr>
      </w:pPr>
      <w:r>
        <w:rPr>
          <w:rFonts w:hint="default" w:ascii="Times New Roman" w:hAnsi="Times New Roman" w:eastAsia="宋体" w:cs="Times New Roman"/>
          <w:b w:val="0"/>
          <w:bCs w:val="0"/>
          <w:color w:val="000000"/>
          <w:sz w:val="24"/>
        </w:rPr>
        <w:t>综上所述，本项目产生的各类固废均得到了有效</w:t>
      </w:r>
      <w:r>
        <w:rPr>
          <w:rFonts w:hint="default" w:ascii="Times New Roman" w:hAnsi="Times New Roman" w:eastAsia="宋体" w:cs="Times New Roman"/>
          <w:b w:val="0"/>
          <w:bCs w:val="0"/>
          <w:color w:val="000000"/>
          <w:sz w:val="24"/>
          <w:lang w:eastAsia="zh-CN"/>
        </w:rPr>
        <w:t>地</w:t>
      </w:r>
      <w:r>
        <w:rPr>
          <w:rFonts w:hint="default" w:ascii="Times New Roman" w:hAnsi="Times New Roman" w:eastAsia="宋体" w:cs="Times New Roman"/>
          <w:b w:val="0"/>
          <w:bCs w:val="0"/>
          <w:color w:val="000000"/>
          <w:sz w:val="24"/>
        </w:rPr>
        <w:t>处理及处置，不会产生二次污染，对周边环境影响较小。</w:t>
      </w:r>
    </w:p>
    <w:p w14:paraId="74ED6C33">
      <w:pPr>
        <w:keepNext w:val="0"/>
        <w:keepLines w:val="0"/>
        <w:widowControl/>
        <w:suppressLineNumbers w:val="0"/>
        <w:jc w:val="left"/>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lang w:val="en-US" w:eastAsia="zh-CN"/>
        </w:rPr>
        <w:t>5、生态</w:t>
      </w:r>
    </w:p>
    <w:p w14:paraId="233CF422">
      <w:pPr>
        <w:pStyle w:val="2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加强对工作人员</w:t>
      </w:r>
      <w:r>
        <w:rPr>
          <w:rFonts w:hint="default" w:ascii="Times New Roman" w:hAnsi="Times New Roman" w:eastAsia="宋体" w:cs="Times New Roman"/>
          <w:color w:val="000000"/>
          <w:kern w:val="0"/>
          <w:sz w:val="24"/>
          <w:szCs w:val="24"/>
          <w:lang w:val="en-US" w:eastAsia="zh-CN" w:bidi="ar"/>
        </w:rPr>
        <w:t>关于野生动植物保护的宣传教育，并做好生态环境保护的监督工作、严格执行区域水土保持设计中提出的工程措施和植物措施。对于逐渐回来的动物，项目的工作人员要加以保护，不可随意滥杀，达到人与自然和谐相处的目的，经过一段时间，项目所在区域的生态环境会逐渐恢复。</w:t>
      </w:r>
    </w:p>
    <w:p w14:paraId="06333E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eastAsia="宋体" w:cs="Times New Roman"/>
          <w:color w:val="000000"/>
          <w:kern w:val="0"/>
          <w:sz w:val="24"/>
          <w:szCs w:val="24"/>
          <w:lang w:val="en-US" w:eastAsia="zh-CN" w:bidi="ar"/>
        </w:rPr>
        <w:t>施工期结束后，立即进行植被的恢复，最大程度上减少水土流失。</w:t>
      </w:r>
      <w:r>
        <w:rPr>
          <w:rFonts w:hint="default" w:ascii="Times New Roman" w:hAnsi="Times New Roman" w:cs="Times New Roman"/>
          <w:color w:val="auto"/>
          <w:sz w:val="24"/>
          <w:szCs w:val="32"/>
        </w:rPr>
        <w:t>四、环境保护设施调试效果</w:t>
      </w:r>
    </w:p>
    <w:p w14:paraId="55A4CE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根据编制的建设项目竣工环保验收监测报告表</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验收</w:t>
      </w:r>
      <w:r>
        <w:rPr>
          <w:rFonts w:hint="eastAsia" w:cs="Times New Roman"/>
          <w:color w:val="auto"/>
          <w:sz w:val="24"/>
          <w:szCs w:val="32"/>
          <w:lang w:eastAsia="zh-CN"/>
        </w:rPr>
        <w:t>监测</w:t>
      </w:r>
      <w:r>
        <w:rPr>
          <w:rFonts w:hint="default" w:ascii="Times New Roman" w:hAnsi="Times New Roman" w:cs="Times New Roman"/>
          <w:color w:val="auto"/>
          <w:sz w:val="24"/>
          <w:szCs w:val="32"/>
        </w:rPr>
        <w:t>结果表明</w:t>
      </w:r>
      <w:r>
        <w:rPr>
          <w:rFonts w:hint="default" w:ascii="Times New Roman" w:hAnsi="Times New Roman" w:cs="Times New Roman"/>
          <w:color w:val="auto"/>
          <w:sz w:val="24"/>
          <w:szCs w:val="32"/>
          <w:lang w:eastAsia="zh-CN"/>
        </w:rPr>
        <w:t>：</w:t>
      </w:r>
    </w:p>
    <w:p w14:paraId="08DAD2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项目</w:t>
      </w:r>
      <w:r>
        <w:rPr>
          <w:rFonts w:hint="default" w:ascii="Times New Roman" w:hAnsi="Times New Roman" w:cs="Times New Roman"/>
          <w:color w:val="auto"/>
          <w:sz w:val="24"/>
          <w:szCs w:val="32"/>
        </w:rPr>
        <w:t>已经采取的废气治理、噪声治理、固体废物治理措施有效，对项目区环境没有产生不利影响。总体而言，建设项目达到了项目竣工环境保护验收的要求。</w:t>
      </w:r>
    </w:p>
    <w:p w14:paraId="4075133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五、验收结论</w:t>
      </w:r>
    </w:p>
    <w:p w14:paraId="244A69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验收组经现场检查并审阅有关资料</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经认真讨论，认为</w:t>
      </w:r>
      <w:r>
        <w:rPr>
          <w:rFonts w:hint="eastAsia" w:cs="Times New Roman"/>
          <w:color w:val="auto"/>
          <w:sz w:val="24"/>
          <w:szCs w:val="32"/>
          <w:lang w:eastAsia="zh-CN"/>
        </w:rPr>
        <w:t>坎山村20MW光伏发电项目</w:t>
      </w:r>
      <w:r>
        <w:rPr>
          <w:rFonts w:hint="default" w:ascii="Times New Roman" w:hAnsi="Times New Roman" w:cs="Times New Roman"/>
          <w:color w:val="auto"/>
          <w:sz w:val="24"/>
          <w:szCs w:val="32"/>
        </w:rPr>
        <w:t>环评审批手续齐全</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主要污染防治设施已建成</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均能实现达标排放</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具备竣工环保验收条件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通过竣工环保验收。</w:t>
      </w:r>
    </w:p>
    <w:p w14:paraId="143801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497D01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六、后续要求</w:t>
      </w:r>
    </w:p>
    <w:p w14:paraId="267DA5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1、加强植被恢复工作，加强抚育管理，及时补植。对于施工期破坏的植被区域，及时进行补植和修复，增加植被覆盖率，减少水土流失。</w:t>
      </w:r>
    </w:p>
    <w:p w14:paraId="718031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2、对施工过程中占用的土地进行复垦，恢复土地的生产力。可以采用表土回填、土地平整等措施，为植被生长创造良好的条件。</w:t>
      </w:r>
    </w:p>
    <w:p w14:paraId="761857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3、制定合理的绿化规划，根据项目的功能分区和景观需求，选择合适的绿化植物种类和布局方式。可以采用乔、灌、草相结合的方式，增加绿化的层次感和美观度。</w:t>
      </w:r>
    </w:p>
    <w:p w14:paraId="3E3892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4、危废间规范化建设，在危废间显著位置设置危险废物标识牌，标明危废的名称、类别、危害特性等信息。同时，在危废间周围设置明显的警示标志，提醒人员注意危险。加强项目环保设施及现场环境等日常管理、考核和环保宣传工作。</w:t>
      </w:r>
    </w:p>
    <w:p w14:paraId="726BE7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5、建立健全环保管理制度、环保档案、环保合同记录等，明确环保职责，环保规章制度上墙明示。</w:t>
      </w:r>
    </w:p>
    <w:p w14:paraId="46F149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6、项目服务期满后，要采取生态恢复措施，妥善处置固废，确保无遗留环境问题。</w:t>
      </w:r>
    </w:p>
    <w:p w14:paraId="150DC70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rPr>
      </w:pPr>
    </w:p>
    <w:p w14:paraId="77067F3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r>
        <w:rPr>
          <w:rFonts w:hint="eastAsia" w:cs="Times New Roman"/>
          <w:color w:val="auto"/>
          <w:sz w:val="24"/>
          <w:szCs w:val="32"/>
          <w:lang w:eastAsia="zh-CN"/>
        </w:rPr>
        <w:t>霍邱韩瑞新能源发电有限公司</w:t>
      </w:r>
    </w:p>
    <w:p w14:paraId="34D834D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rPr>
        <w:t>年</w:t>
      </w:r>
      <w:r>
        <w:rPr>
          <w:rFonts w:hint="default" w:ascii="Times New Roman" w:hAnsi="Times New Roman" w:cs="Times New Roman"/>
          <w:color w:val="auto"/>
          <w:sz w:val="24"/>
          <w:szCs w:val="32"/>
          <w:lang w:val="en-US" w:eastAsia="zh-CN"/>
        </w:rPr>
        <w:t>4月</w:t>
      </w:r>
      <w:r>
        <w:rPr>
          <w:rFonts w:hint="eastAsia" w:cs="Times New Roman"/>
          <w:color w:val="auto"/>
          <w:sz w:val="24"/>
          <w:szCs w:val="32"/>
          <w:lang w:val="en-US" w:eastAsia="zh-CN"/>
        </w:rPr>
        <w:t>11</w:t>
      </w:r>
      <w:r>
        <w:rPr>
          <w:rFonts w:hint="default" w:ascii="Times New Roman" w:hAnsi="Times New Roman" w:cs="Times New Roman"/>
          <w:color w:val="auto"/>
          <w:sz w:val="24"/>
          <w:szCs w:val="32"/>
          <w:lang w:val="en-US" w:eastAsia="zh-CN"/>
        </w:rPr>
        <w:t>日</w:t>
      </w:r>
    </w:p>
    <w:p w14:paraId="5185D1C9">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015DF325">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59838147">
      <w:pPr>
        <w:keepNext w:val="0"/>
        <w:keepLines w:val="0"/>
        <w:pageBreakBefore w:val="0"/>
        <w:widowControl w:val="0"/>
        <w:kinsoku/>
        <w:wordWrap w:val="0"/>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cs="Times New Roman"/>
          <w:color w:val="auto"/>
          <w:sz w:val="24"/>
          <w:szCs w:val="32"/>
          <w:lang w:val="en-US" w:eastAsia="zh-CN"/>
        </w:rPr>
      </w:pPr>
      <w:r>
        <w:drawing>
          <wp:inline distT="0" distB="0" distL="114300" distR="114300">
            <wp:extent cx="5270500" cy="7138670"/>
            <wp:effectExtent l="0" t="0" r="6350" b="5080"/>
            <wp:docPr id="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
                    <pic:cNvPicPr>
                      <a:picLocks noChangeAspect="1"/>
                    </pic:cNvPicPr>
                  </pic:nvPicPr>
                  <pic:blipFill>
                    <a:blip r:embed="rId51"/>
                    <a:stretch>
                      <a:fillRect/>
                    </a:stretch>
                  </pic:blipFill>
                  <pic:spPr>
                    <a:xfrm>
                      <a:off x="0" y="0"/>
                      <a:ext cx="5270500" cy="7138670"/>
                    </a:xfrm>
                    <a:prstGeom prst="rect">
                      <a:avLst/>
                    </a:prstGeom>
                    <a:noFill/>
                    <a:ln>
                      <a:noFill/>
                    </a:ln>
                  </pic:spPr>
                </pic:pic>
              </a:graphicData>
            </a:graphic>
          </wp:inline>
        </w:drawing>
      </w:r>
    </w:p>
    <w:p w14:paraId="50B1684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10F72958">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pPr>
    </w:p>
    <w:p w14:paraId="0C568C9C">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3D2ED4D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21C0E1C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eastAsia" w:cs="Times New Roman"/>
          <w:color w:val="auto"/>
          <w:sz w:val="24"/>
          <w:szCs w:val="32"/>
          <w:lang w:val="en-US" w:eastAsia="zh-CN"/>
        </w:rPr>
      </w:pPr>
    </w:p>
    <w:p w14:paraId="022545B9">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5269865" cy="7369810"/>
            <wp:effectExtent l="0" t="0" r="6985" b="2540"/>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52"/>
                    <a:stretch>
                      <a:fillRect/>
                    </a:stretch>
                  </pic:blipFill>
                  <pic:spPr>
                    <a:xfrm rot="10800000">
                      <a:off x="0" y="0"/>
                      <a:ext cx="5269865" cy="7369810"/>
                    </a:xfrm>
                    <a:prstGeom prst="rect">
                      <a:avLst/>
                    </a:prstGeom>
                    <a:noFill/>
                    <a:ln>
                      <a:noFill/>
                    </a:ln>
                  </pic:spPr>
                </pic:pic>
              </a:graphicData>
            </a:graphic>
          </wp:inline>
        </w:drawing>
      </w:r>
      <w:r>
        <w:rPr>
          <w:rFonts w:hint="eastAsia" w:cs="Times New Roman"/>
          <w:color w:val="auto"/>
          <w:sz w:val="24"/>
          <w:szCs w:val="32"/>
          <w:lang w:val="en-US" w:eastAsia="zh-CN"/>
        </w:rPr>
        <w:t xml:space="preserve"> </w:t>
      </w:r>
    </w:p>
    <w:p w14:paraId="35BD9BE3">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52"/>
          <w:szCs w:val="52"/>
        </w:rPr>
        <w:t>第三部分</w:t>
      </w:r>
    </w:p>
    <w:p w14:paraId="095F82F6">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2DCB874F">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p w14:paraId="2B6EE42B">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72"/>
          <w:szCs w:val="72"/>
        </w:rPr>
      </w:pPr>
    </w:p>
    <w:tbl>
      <w:tblPr>
        <w:tblStyle w:val="16"/>
        <w:tblW w:w="8625" w:type="dxa"/>
        <w:jc w:val="center"/>
        <w:tblLayout w:type="fixed"/>
        <w:tblCellMar>
          <w:top w:w="0" w:type="dxa"/>
          <w:left w:w="108" w:type="dxa"/>
          <w:bottom w:w="0" w:type="dxa"/>
          <w:right w:w="108" w:type="dxa"/>
        </w:tblCellMar>
      </w:tblPr>
      <w:tblGrid>
        <w:gridCol w:w="8625"/>
      </w:tblGrid>
      <w:tr w14:paraId="2F063E5D">
        <w:tblPrEx>
          <w:tblCellMar>
            <w:top w:w="0" w:type="dxa"/>
            <w:left w:w="108" w:type="dxa"/>
            <w:bottom w:w="0" w:type="dxa"/>
            <w:right w:w="108" w:type="dxa"/>
          </w:tblCellMar>
        </w:tblPrEx>
        <w:trPr>
          <w:trHeight w:val="1339" w:hRule="atLeast"/>
          <w:jc w:val="center"/>
        </w:trPr>
        <w:tc>
          <w:tcPr>
            <w:tcW w:w="8625" w:type="dxa"/>
            <w:noWrap w:val="0"/>
            <w:vAlign w:val="top"/>
          </w:tcPr>
          <w:p w14:paraId="1E9EAB1A">
            <w:pPr>
              <w:keepNext w:val="0"/>
              <w:keepLines w:val="0"/>
              <w:pageBreakBefore w:val="0"/>
              <w:widowControl w:val="0"/>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color w:val="auto"/>
                <w:spacing w:val="6"/>
                <w:w w:val="94"/>
                <w:kern w:val="0"/>
                <w:sz w:val="52"/>
                <w:szCs w:val="52"/>
              </w:rPr>
            </w:pPr>
          </w:p>
          <w:p w14:paraId="6472B180">
            <w:pPr>
              <w:keepNext w:val="0"/>
              <w:keepLines w:val="0"/>
              <w:pageBreakBefore w:val="0"/>
              <w:widowControl w:val="0"/>
              <w:kinsoku/>
              <w:wordWrap/>
              <w:overflowPunct/>
              <w:topLinePunct w:val="0"/>
              <w:autoSpaceDE w:val="0"/>
              <w:autoSpaceDN w:val="0"/>
              <w:bidi w:val="0"/>
              <w:adjustRightInd/>
              <w:snapToGrid/>
              <w:ind w:firstLine="0" w:firstLineChars="0"/>
              <w:jc w:val="center"/>
              <w:textAlignment w:val="auto"/>
              <w:rPr>
                <w:rFonts w:hint="default" w:ascii="Times New Roman" w:hAnsi="Times New Roman" w:cs="Times New Roman"/>
                <w:b/>
                <w:color w:val="auto"/>
                <w:spacing w:val="20"/>
                <w:sz w:val="52"/>
                <w:szCs w:val="52"/>
              </w:rPr>
            </w:pPr>
            <w:r>
              <w:rPr>
                <w:rFonts w:hint="default" w:ascii="Times New Roman" w:hAnsi="Times New Roman" w:cs="Times New Roman"/>
                <w:b/>
                <w:color w:val="auto"/>
                <w:spacing w:val="20"/>
                <w:sz w:val="48"/>
                <w:szCs w:val="48"/>
              </w:rPr>
              <w:t>其他需要说明的事项</w:t>
            </w:r>
          </w:p>
        </w:tc>
      </w:tr>
    </w:tbl>
    <w:p w14:paraId="2BF7F5E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color w:val="auto"/>
          <w:lang w:val="en-US" w:eastAsia="zh-CN"/>
        </w:rPr>
        <w:sectPr>
          <w:pgSz w:w="11906" w:h="16838"/>
          <w:pgMar w:top="1440" w:right="1800" w:bottom="1440" w:left="1800" w:header="851" w:footer="850" w:gutter="0"/>
          <w:pgBorders>
            <w:top w:val="none" w:sz="0" w:space="0"/>
            <w:left w:val="none" w:sz="0" w:space="0"/>
            <w:bottom w:val="none" w:sz="0" w:space="0"/>
            <w:right w:val="none" w:sz="0" w:space="0"/>
          </w:pgBorders>
          <w:cols w:space="720" w:num="1"/>
          <w:docGrid w:type="lines" w:linePitch="312" w:charSpace="0"/>
        </w:sectPr>
      </w:pPr>
    </w:p>
    <w:p w14:paraId="79D88BE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32"/>
          <w:szCs w:val="40"/>
        </w:rPr>
      </w:pPr>
      <w:r>
        <w:rPr>
          <w:rFonts w:hint="default" w:ascii="Times New Roman" w:hAnsi="Times New Roman" w:cs="Times New Roman"/>
          <w:b/>
          <w:bCs/>
          <w:color w:val="auto"/>
          <w:sz w:val="32"/>
          <w:szCs w:val="40"/>
        </w:rPr>
        <w:t>其他需要说明的事项</w:t>
      </w:r>
    </w:p>
    <w:p w14:paraId="22A824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24B90B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一、环境保护设施设计、施工和验收过程简况</w:t>
      </w:r>
    </w:p>
    <w:p w14:paraId="4FD6B2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1.1设计简况</w:t>
      </w:r>
    </w:p>
    <w:p w14:paraId="2A90D2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建设项目环境保护设施纳入初步设计</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环保设施设计符合环保设计规范要求</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未编制环境保护篇章</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落实了防治污染和生态破坏的措施以及环境保护设施投资概算。</w:t>
      </w:r>
    </w:p>
    <w:p w14:paraId="79C48B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1.2施工简况</w:t>
      </w:r>
    </w:p>
    <w:p w14:paraId="2180CD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环保设施纳入施工合同</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环境保护设施的进度和资金得到了保证</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项目建设过程中组织实施了环境影响报告表及其审批部门审批决定中提出的环境保护对策措施。</w:t>
      </w:r>
    </w:p>
    <w:p w14:paraId="467F14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1.3验收简况</w:t>
      </w:r>
    </w:p>
    <w:p w14:paraId="21D3C5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监测期间对企业的生产负荷进行现场核查，核查结果满足环保验收监测对生产工况的要求，企业各项污染治理设施运行正常，工况基本稳定</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具备</w:t>
      </w:r>
      <w:r>
        <w:rPr>
          <w:rFonts w:hint="default" w:ascii="Times New Roman" w:hAnsi="Times New Roman" w:cs="Times New Roman"/>
          <w:color w:val="auto"/>
          <w:sz w:val="24"/>
          <w:szCs w:val="32"/>
          <w:lang w:eastAsia="zh-CN"/>
        </w:rPr>
        <w:t>竣工</w:t>
      </w:r>
      <w:r>
        <w:rPr>
          <w:rFonts w:hint="default" w:ascii="Times New Roman" w:hAnsi="Times New Roman" w:cs="Times New Roman"/>
          <w:color w:val="auto"/>
          <w:sz w:val="24"/>
          <w:szCs w:val="32"/>
        </w:rPr>
        <w:t>环保验收条件</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通过竣工环保验收。</w:t>
      </w:r>
    </w:p>
    <w:p w14:paraId="23180D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二、其他环境保护措施实施情况</w:t>
      </w:r>
    </w:p>
    <w:p w14:paraId="173903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环境影响报告表及其审批部门审批决定中提出的除环保设施外的其他环境保护措施主要包括制度措施和配套措施等</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现将需要说明的措施内容和要求梳理如下</w:t>
      </w:r>
      <w:r>
        <w:rPr>
          <w:rFonts w:hint="default" w:ascii="Times New Roman" w:hAnsi="Times New Roman" w:cs="Times New Roman"/>
          <w:color w:val="auto"/>
          <w:sz w:val="24"/>
          <w:szCs w:val="32"/>
          <w:lang w:eastAsia="zh-CN"/>
        </w:rPr>
        <w:t>：</w:t>
      </w:r>
    </w:p>
    <w:p w14:paraId="7AFABD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2.1制度措施落实情况</w:t>
      </w:r>
    </w:p>
    <w:p w14:paraId="0C049F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1</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环保组织机构及规章制度</w:t>
      </w:r>
    </w:p>
    <w:p w14:paraId="49D719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项目由企业主要负责人负责环境管理</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包括对废气、废水和固体废弃物的管理，确保各项环保工作的正常开展</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保管项目的所有设备、工艺及各项技术资料，方便日常使用和查询。建立相关环境管理制度。</w:t>
      </w:r>
    </w:p>
    <w:p w14:paraId="498777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2</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环境风险防范措施</w:t>
      </w:r>
    </w:p>
    <w:p w14:paraId="6A92A9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val="en-US" w:eastAsia="zh-CN"/>
        </w:rPr>
        <w:t>无</w:t>
      </w:r>
      <w:r>
        <w:rPr>
          <w:rFonts w:hint="default" w:ascii="Times New Roman" w:hAnsi="Times New Roman" w:cs="Times New Roman"/>
          <w:color w:val="auto"/>
          <w:sz w:val="24"/>
          <w:szCs w:val="32"/>
        </w:rPr>
        <w:t>。</w:t>
      </w:r>
    </w:p>
    <w:p w14:paraId="6148A0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3</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环境监测计划</w:t>
      </w:r>
    </w:p>
    <w:p w14:paraId="4DE3D2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eastAsia" w:cs="Times New Roman"/>
          <w:color w:val="auto"/>
          <w:sz w:val="24"/>
          <w:szCs w:val="32"/>
          <w:lang w:val="en-US" w:eastAsia="zh-CN"/>
        </w:rPr>
        <w:t>无</w:t>
      </w:r>
      <w:r>
        <w:rPr>
          <w:rFonts w:hint="default" w:ascii="Times New Roman" w:hAnsi="Times New Roman" w:cs="Times New Roman"/>
          <w:color w:val="auto"/>
          <w:sz w:val="24"/>
          <w:szCs w:val="32"/>
        </w:rPr>
        <w:t>。</w:t>
      </w:r>
    </w:p>
    <w:p w14:paraId="4F476D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2.2配套措施落实情况</w:t>
      </w:r>
    </w:p>
    <w:p w14:paraId="2BC71F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1</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区域削减及淘汰落后产能</w:t>
      </w:r>
    </w:p>
    <w:p w14:paraId="18D6B4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无</w:t>
      </w:r>
      <w:r>
        <w:rPr>
          <w:rFonts w:hint="eastAsia" w:cs="Times New Roman"/>
          <w:color w:val="auto"/>
          <w:sz w:val="24"/>
          <w:szCs w:val="32"/>
          <w:lang w:eastAsia="zh-CN"/>
        </w:rPr>
        <w:t>。</w:t>
      </w:r>
    </w:p>
    <w:p w14:paraId="30C38F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（2）环境防护距离</w:t>
      </w:r>
    </w:p>
    <w:p w14:paraId="205850C4">
      <w:pPr>
        <w:pStyle w:val="9"/>
        <w:adjustRightInd w:val="0"/>
        <w:snapToGrid w:val="0"/>
        <w:spacing w:after="0" w:line="360" w:lineRule="auto"/>
        <w:ind w:left="0" w:leftChars="0" w:firstLine="480" w:firstLineChars="200"/>
        <w:jc w:val="left"/>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无</w:t>
      </w:r>
      <w:r>
        <w:rPr>
          <w:rFonts w:hint="default" w:ascii="Times New Roman" w:hAnsi="Times New Roman" w:eastAsia="宋体" w:cs="Times New Roman"/>
          <w:color w:val="auto"/>
          <w:sz w:val="24"/>
          <w:szCs w:val="24"/>
        </w:rPr>
        <w:t>。</w:t>
      </w:r>
    </w:p>
    <w:p w14:paraId="74DD86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p>
    <w:p w14:paraId="51D825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2.3其他措施落实情况</w:t>
      </w:r>
    </w:p>
    <w:p w14:paraId="311684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无</w:t>
      </w:r>
    </w:p>
    <w:p w14:paraId="370DD5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p>
    <w:p w14:paraId="597A1D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三、整改工作情况</w:t>
      </w:r>
    </w:p>
    <w:p w14:paraId="4F57EF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项目建设过程中未进行整改，验收监测期间未进行整改，基本符合竣工验收监测条件。</w:t>
      </w:r>
    </w:p>
    <w:p w14:paraId="56E6E8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p>
    <w:p w14:paraId="78ABBF3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p>
    <w:p w14:paraId="1F3AF7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default" w:ascii="Times New Roman" w:hAnsi="Times New Roman" w:cs="Times New Roman"/>
          <w:color w:val="auto"/>
          <w:sz w:val="24"/>
          <w:szCs w:val="32"/>
          <w:lang w:eastAsia="zh-CN"/>
        </w:rPr>
      </w:pPr>
      <w:r>
        <w:rPr>
          <w:rFonts w:hint="eastAsia" w:cs="Times New Roman"/>
          <w:color w:val="auto"/>
          <w:sz w:val="24"/>
          <w:szCs w:val="32"/>
          <w:lang w:eastAsia="zh-CN"/>
        </w:rPr>
        <w:t>霍邱韩瑞新能源发电有限公司</w:t>
      </w:r>
    </w:p>
    <w:p w14:paraId="3E3DA14B">
      <w:pPr>
        <w:autoSpaceDE/>
        <w:autoSpaceDN/>
        <w:spacing w:before="0" w:after="0" w:line="360" w:lineRule="auto"/>
        <w:ind w:left="0" w:right="0" w:firstLine="0" w:firstLineChars="0"/>
        <w:jc w:val="right"/>
        <w:rPr>
          <w:rFonts w:hint="eastAsia" w:cs="Times New Roman"/>
          <w:lang w:val="en-US" w:eastAsia="zh-CN"/>
        </w:rPr>
      </w:pPr>
      <w:r>
        <w:rPr>
          <w:rFonts w:hint="default" w:ascii="Times New Roman" w:hAnsi="Times New Roman" w:cs="Times New Roman"/>
          <w:color w:val="auto"/>
          <w:sz w:val="24"/>
          <w:szCs w:val="32"/>
          <w:lang w:val="en-US" w:eastAsia="zh-CN"/>
        </w:rPr>
        <w:t>202</w:t>
      </w:r>
      <w:r>
        <w:rPr>
          <w:rFonts w:hint="eastAsia" w:cs="Times New Roman"/>
          <w:color w:val="auto"/>
          <w:sz w:val="24"/>
          <w:szCs w:val="32"/>
          <w:lang w:val="en-US" w:eastAsia="zh-CN"/>
        </w:rPr>
        <w:t>5</w:t>
      </w:r>
      <w:r>
        <w:rPr>
          <w:rFonts w:hint="default" w:ascii="Times New Roman" w:hAnsi="Times New Roman" w:cs="Times New Roman"/>
          <w:color w:val="auto"/>
          <w:sz w:val="24"/>
          <w:szCs w:val="32"/>
          <w:lang w:val="en-US" w:eastAsia="zh-CN"/>
        </w:rPr>
        <w:t>年4月</w:t>
      </w:r>
      <w:r>
        <w:rPr>
          <w:rFonts w:hint="eastAsia" w:cs="Times New Roman"/>
          <w:color w:val="auto"/>
          <w:sz w:val="24"/>
          <w:szCs w:val="32"/>
          <w:lang w:val="en-US" w:eastAsia="zh-CN"/>
        </w:rPr>
        <w:t>11</w:t>
      </w:r>
      <w:r>
        <w:rPr>
          <w:rFonts w:hint="default" w:ascii="Times New Roman" w:hAnsi="Times New Roman" w:cs="Times New Roman"/>
          <w:color w:val="auto"/>
          <w:sz w:val="24"/>
          <w:szCs w:val="32"/>
          <w:lang w:val="en-US" w:eastAsia="zh-CN"/>
        </w:rPr>
        <w:t>日</w:t>
      </w:r>
    </w:p>
    <w:p w14:paraId="293CECDD">
      <w:pPr>
        <w:autoSpaceDE/>
        <w:autoSpaceDN/>
        <w:spacing w:before="0" w:after="0" w:line="360" w:lineRule="auto"/>
        <w:ind w:left="0" w:right="0" w:firstLine="0" w:firstLineChars="0"/>
        <w:jc w:val="left"/>
        <w:rPr>
          <w:rFonts w:hint="eastAsia" w:cs="Times New Roman"/>
          <w:lang w:val="en-US" w:eastAsia="zh-CN"/>
        </w:rPr>
      </w:pPr>
    </w:p>
    <w:p w14:paraId="1416415A">
      <w:pPr>
        <w:autoSpaceDE/>
        <w:autoSpaceDN/>
        <w:spacing w:before="0" w:after="0" w:line="360" w:lineRule="auto"/>
        <w:ind w:left="0" w:right="0" w:firstLine="0" w:firstLineChars="0"/>
        <w:jc w:val="left"/>
        <w:rPr>
          <w:rFonts w:hint="eastAsia" w:cs="Times New Roman"/>
          <w:lang w:val="en-US" w:eastAsia="zh-CN"/>
        </w:rPr>
      </w:pPr>
    </w:p>
    <w:p w14:paraId="030489A5">
      <w:pPr>
        <w:autoSpaceDE/>
        <w:autoSpaceDN/>
        <w:spacing w:before="0" w:after="0" w:line="360" w:lineRule="auto"/>
        <w:ind w:left="0" w:right="0" w:firstLine="0" w:firstLineChars="0"/>
        <w:jc w:val="left"/>
        <w:rPr>
          <w:rFonts w:hint="eastAsia" w:cs="Times New Roman"/>
          <w:lang w:val="en-US" w:eastAsia="zh-CN"/>
        </w:rPr>
      </w:pPr>
    </w:p>
    <w:p w14:paraId="70C158CA">
      <w:pPr>
        <w:autoSpaceDE/>
        <w:autoSpaceDN/>
        <w:spacing w:before="0" w:after="0" w:line="360" w:lineRule="auto"/>
        <w:ind w:left="0" w:right="0" w:firstLine="0" w:firstLineChars="0"/>
        <w:jc w:val="left"/>
        <w:rPr>
          <w:rFonts w:hint="eastAsia" w:cs="Times New Roman"/>
          <w:lang w:val="en-US" w:eastAsia="zh-CN"/>
        </w:rPr>
        <w:sectPr>
          <w:pgSz w:w="11910" w:h="16840"/>
          <w:pgMar w:top="1457" w:right="1525" w:bottom="1457" w:left="1525" w:header="0" w:footer="0" w:gutter="0"/>
          <w:pgBorders>
            <w:top w:val="none" w:sz="0" w:space="0"/>
            <w:left w:val="none" w:sz="0" w:space="0"/>
            <w:bottom w:val="none" w:sz="0" w:space="0"/>
            <w:right w:val="none" w:sz="0" w:space="0"/>
          </w:pgBorders>
          <w:pgNumType w:fmt="decimal"/>
          <w:cols w:space="720" w:num="1"/>
        </w:sectPr>
      </w:pPr>
    </w:p>
    <w:p w14:paraId="141CCCAF">
      <w:pPr>
        <w:autoSpaceDE/>
        <w:autoSpaceDN/>
        <w:spacing w:before="0" w:after="0" w:line="360" w:lineRule="auto"/>
        <w:ind w:left="0" w:right="0" w:firstLine="0" w:firstLineChars="0"/>
        <w:jc w:val="left"/>
        <w:rPr>
          <w:rFonts w:hint="default" w:eastAsia="宋体"/>
          <w:lang w:val="en-US" w:eastAsia="zh-CN"/>
        </w:rPr>
      </w:pPr>
      <w:r>
        <w:rPr>
          <w:rFonts w:hint="eastAsia"/>
          <w:lang w:val="en-US" w:eastAsia="zh-CN"/>
        </w:rPr>
        <w:t>首次公示如下，网址：http://www.ahqchj.com/news/10/241</w:t>
      </w:r>
    </w:p>
    <w:p w14:paraId="26B1FC44">
      <w:pPr>
        <w:autoSpaceDE/>
        <w:autoSpaceDN/>
        <w:spacing w:before="0" w:after="0" w:line="360" w:lineRule="auto"/>
        <w:ind w:left="0" w:right="0" w:firstLine="0" w:firstLineChars="0"/>
        <w:jc w:val="left"/>
      </w:pPr>
      <w:r>
        <w:rPr>
          <w:rFonts w:hint="eastAsia" w:eastAsia="宋体"/>
          <w:lang w:eastAsia="zh-CN"/>
        </w:rPr>
        <w:drawing>
          <wp:inline distT="0" distB="0" distL="114300" distR="114300">
            <wp:extent cx="8524875" cy="5222875"/>
            <wp:effectExtent l="0" t="0" r="9525" b="15875"/>
            <wp:docPr id="14" name="图片 14" descr="9a6387cd6634c8d01d72f4d1b7310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a6387cd6634c8d01d72f4d1b7310de"/>
                    <pic:cNvPicPr>
                      <a:picLocks noChangeAspect="1"/>
                    </pic:cNvPicPr>
                  </pic:nvPicPr>
                  <pic:blipFill>
                    <a:blip r:embed="rId53"/>
                    <a:stretch>
                      <a:fillRect/>
                    </a:stretch>
                  </pic:blipFill>
                  <pic:spPr>
                    <a:xfrm>
                      <a:off x="0" y="0"/>
                      <a:ext cx="8524875" cy="5222875"/>
                    </a:xfrm>
                    <a:prstGeom prst="rect">
                      <a:avLst/>
                    </a:prstGeom>
                  </pic:spPr>
                </pic:pic>
              </a:graphicData>
            </a:graphic>
          </wp:inline>
        </w:drawing>
      </w:r>
    </w:p>
    <w:p w14:paraId="5281B942">
      <w:pPr>
        <w:autoSpaceDE/>
        <w:autoSpaceDN/>
        <w:spacing w:before="0" w:after="0" w:line="360" w:lineRule="auto"/>
        <w:ind w:left="0" w:right="0" w:firstLine="0" w:firstLineChars="0"/>
        <w:jc w:val="left"/>
        <w:rPr>
          <w:rFonts w:hint="default" w:eastAsia="宋体"/>
          <w:lang w:val="en-US" w:eastAsia="zh-CN"/>
        </w:rPr>
      </w:pPr>
      <w:r>
        <w:rPr>
          <w:rFonts w:hint="eastAsia"/>
          <w:lang w:val="en-US" w:eastAsia="zh-CN"/>
        </w:rPr>
        <w:t>国家平台备案如下：</w:t>
      </w:r>
    </w:p>
    <w:p w14:paraId="4C6C382F">
      <w:pPr>
        <w:autoSpaceDE/>
        <w:autoSpaceDN/>
        <w:spacing w:before="0" w:after="0" w:line="360" w:lineRule="auto"/>
        <w:ind w:left="0" w:right="0" w:firstLine="0" w:firstLineChars="0"/>
        <w:jc w:val="left"/>
        <w:rPr>
          <w:rFonts w:hint="default" w:ascii="Times New Roman" w:hAnsi="Times New Roman" w:eastAsia="宋体" w:cs="Times New Roman"/>
          <w:lang w:val="en-US" w:eastAsia="zh-CN"/>
        </w:rPr>
      </w:pPr>
      <w:r>
        <w:drawing>
          <wp:inline distT="0" distB="0" distL="114300" distR="114300">
            <wp:extent cx="8822055" cy="3194685"/>
            <wp:effectExtent l="0" t="0" r="17145" b="571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54"/>
                    <a:stretch>
                      <a:fillRect/>
                    </a:stretch>
                  </pic:blipFill>
                  <pic:spPr>
                    <a:xfrm>
                      <a:off x="0" y="0"/>
                      <a:ext cx="8822055" cy="3194685"/>
                    </a:xfrm>
                    <a:prstGeom prst="rect">
                      <a:avLst/>
                    </a:prstGeom>
                    <a:noFill/>
                    <a:ln>
                      <a:noFill/>
                    </a:ln>
                  </pic:spPr>
                </pic:pic>
              </a:graphicData>
            </a:graphic>
          </wp:inline>
        </w:drawing>
      </w:r>
      <w:r>
        <w:rPr>
          <w:rFonts w:hint="eastAsia" w:cs="Times New Roman"/>
          <w:lang w:val="en-US" w:eastAsia="zh-CN"/>
        </w:rPr>
        <w:t xml:space="preserve"> </w:t>
      </w:r>
    </w:p>
    <w:sectPr>
      <w:pgSz w:w="16840" w:h="11910" w:orient="landscape"/>
      <w:pgMar w:top="1525" w:right="1457" w:bottom="1525" w:left="1457" w:header="0" w:footer="0" w:gutter="0"/>
      <w:pgBorders>
        <w:top w:val="none" w:sz="0" w:space="0"/>
        <w:left w:val="none" w:sz="0" w:space="0"/>
        <w:bottom w:val="none" w:sz="0" w:space="0"/>
        <w:right w:val="none" w:sz="0" w:space="0"/>
      </w:pgBorders>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im Sun+ 2">
    <w:altName w:val="黑体"/>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5B2A54">
    <w:pPr>
      <w:pStyle w:val="12"/>
      <w:rPr>
        <w:rFonts w:hint="default"/>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0B25BD">
                          <w:pPr>
                            <w:pStyle w:val="12"/>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wps:txbx>
                    <wps:bodyPr wrap="none" lIns="0" tIns="0" rIns="0" bIns="0" upright="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n0fIMkBAACa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oYSxy0O/PL92+XHr8vPr2S5&#10;zPr0AWpMewiYmIY7P+DWzH5AZ6Y9qGjzFwkRjKO656u6ckhE5Efr1XpdYUhgbL4gPnt8HiKkt9Jb&#10;ko2GRhxfUZWf3kMaU+eUXM35e21MGaFxfzkQM3tY7n3sMVtp2A8Tob1vz8inx8k31OGiU2LeORQ2&#10;L8lsxNnYz8YxRH3oyhblehBujwmbKL3lCiPsVBhHVthN65V34s97yXr8pb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mfR8gyQEAAJoDAAAOAAAAAAAAAAEAIAAAAB4BAABkcnMvZTJvRG9j&#10;LnhtbFBLBQYAAAAABgAGAFkBAABZBQAAAAA=&#10;">
              <v:fill on="f" focussize="0,0"/>
              <v:stroke on="f"/>
              <v:imagedata o:title=""/>
              <o:lock v:ext="edit" aspectratio="f"/>
              <v:textbox inset="0mm,0mm,0mm,0mm" style="mso-fit-shape-to-text:t;">
                <w:txbxContent>
                  <w:p w14:paraId="5B0B25BD">
                    <w:pPr>
                      <w:pStyle w:val="12"/>
                      <w:rPr>
                        <w:sz w:val="20"/>
                        <w:szCs w:val="20"/>
                      </w:rPr>
                    </w:pPr>
                    <w:r>
                      <w:rPr>
                        <w:sz w:val="20"/>
                        <w:szCs w:val="20"/>
                      </w:rPr>
                      <w:fldChar w:fldCharType="begin"/>
                    </w:r>
                    <w:r>
                      <w:rPr>
                        <w:sz w:val="20"/>
                        <w:szCs w:val="20"/>
                      </w:rPr>
                      <w:instrText xml:space="preserve"> PAGE  \* MERGEFORMAT </w:instrText>
                    </w:r>
                    <w:r>
                      <w:rPr>
                        <w:sz w:val="20"/>
                        <w:szCs w:val="20"/>
                      </w:rPr>
                      <w:fldChar w:fldCharType="separate"/>
                    </w:r>
                    <w:r>
                      <w:rPr>
                        <w:sz w:val="20"/>
                        <w:szCs w:val="20"/>
                      </w:rPr>
                      <w:t>1</w:t>
                    </w:r>
                    <w:r>
                      <w:rPr>
                        <w:sz w:val="20"/>
                        <w:szCs w:val="20"/>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66F343">
    <w:pPr>
      <w:pStyle w:val="6"/>
      <w:spacing w:line="240" w:lineRule="auto"/>
      <w:ind w:firstLine="0" w:firstLineChars="0"/>
      <w:jc w:val="center"/>
      <w:rPr>
        <w:rFonts w:hint="default" w:ascii="Times New Roman" w:hAnsi="Times New Roman" w:cs="Times New Roman"/>
        <w:sz w:val="20"/>
      </w:rP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FB2C5E5">
                          <w:pPr>
                            <w:pStyle w:val="12"/>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fG+dcgBAACb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UBJHLc48cvPH5dffy6/v5Pl&#10;KgvUB6gx7z5gZhre+QGTZz+gM/MeVLT5i4wIxhHrfJVXDomI/Gi9Wq8rDAmMzRfEZw/PQ4T0XnpL&#10;stHQiPMrsvLTR0hj6pySqzl/p40pMzTuHwdiZg/LvY89ZisN+2EitPftGfn0OPqGOtx0SswHh8pi&#10;f2k24mzsZ+MYoj50ZY1yPQi3x4RNlN5yhRF2KowzK+ym/cpL8fhesh7+qe1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L3xvnXIAQAAmwMAAA4AAAAAAAAAAQAgAAAAHgEAAGRycy9lMm9Eb2Mu&#10;eG1sUEsFBgAAAAAGAAYAWQEAAFgFAAAAAA==&#10;">
              <v:fill on="f" focussize="0,0"/>
              <v:stroke on="f"/>
              <v:imagedata o:title=""/>
              <o:lock v:ext="edit" aspectratio="f"/>
              <v:textbox inset="0mm,0mm,0mm,0mm" style="mso-fit-shape-to-text:t;">
                <w:txbxContent>
                  <w:p w14:paraId="4FB2C5E5">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948E10">
    <w:pPr>
      <w:pStyle w:val="6"/>
      <w:spacing w:line="14" w:lineRule="auto"/>
      <w:rPr>
        <w:sz w:val="20"/>
      </w:rP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33DC68">
                          <w:pPr>
                            <w:pStyle w:val="12"/>
                          </w:pPr>
                          <w:r>
                            <w:fldChar w:fldCharType="begin"/>
                          </w:r>
                          <w:r>
                            <w:instrText xml:space="preserve"> PAGE  \* MERGEFORMAT </w:instrText>
                          </w:r>
                          <w:r>
                            <w:fldChar w:fldCharType="separate"/>
                          </w:r>
                          <w:r>
                            <w:t>17</w:t>
                          </w:r>
                          <w:r>
                            <w:fldChar w:fldCharType="end"/>
                          </w:r>
                        </w:p>
                      </w:txbxContent>
                    </wps:txbx>
                    <wps:bodyPr wrap="none" lIns="0" tIns="0" rIns="0" bIns="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ZJ7p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rFTVhS4rjFiV++f7v8+HX5+ZUs&#10;X2eB+gA15j0EzEzDnR8wefYDOjPvQUWbv8iIYBzlPV/llUMiIj9ar9brCkMCY/MF8dnj8xAhvZXe&#10;kmw0NOL8iqz89B7SmDqn5GrO32tjygyN+8uBmNnDcu9jj9lKw36YCO19e0Y+PY6+oQ43nRLzzqGy&#10;eUtmI87GfjaOIepDV9Yo14Nwe0zYROktVxhhp8I4s8Ju2q+8FH/eS9bjP7X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VknukyQEAAJsDAAAOAAAAAAAAAAEAIAAAAB4BAABkcnMvZTJvRG9j&#10;LnhtbFBLBQYAAAAABgAGAFkBAABZBQAAAAA=&#10;">
              <v:fill on="f" focussize="0,0"/>
              <v:stroke on="f"/>
              <v:imagedata o:title=""/>
              <o:lock v:ext="edit" aspectratio="f"/>
              <v:textbox inset="0mm,0mm,0mm,0mm" style="mso-fit-shape-to-text:t;">
                <w:txbxContent>
                  <w:p w14:paraId="6233DC68">
                    <w:pPr>
                      <w:pStyle w:val="12"/>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AAD96">
    <w:pPr>
      <w:pStyle w:val="6"/>
      <w:spacing w:line="14" w:lineRule="auto"/>
      <w:rPr>
        <w:sz w:val="12"/>
      </w:rPr>
    </w:pPr>
    <w:r>
      <w:rPr>
        <w:sz w:val="12"/>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D130E24">
                          <w:pPr>
                            <w:pStyle w:val="12"/>
                          </w:pPr>
                          <w:r>
                            <w:fldChar w:fldCharType="begin"/>
                          </w:r>
                          <w:r>
                            <w:instrText xml:space="preserve"> PAGE  \* MERGEFORMAT </w:instrText>
                          </w:r>
                          <w:r>
                            <w:fldChar w:fldCharType="separate"/>
                          </w:r>
                          <w:r>
                            <w:t>33</w:t>
                          </w:r>
                          <w:r>
                            <w:fldChar w:fldCharType="end"/>
                          </w:r>
                        </w:p>
                      </w:txbxContent>
                    </wps:txbx>
                    <wps:bodyPr wrap="none" lIns="0" tIns="0" rIns="0" bIns="0" upright="0">
                      <a:spAutoFit/>
                    </wps:bodyPr>
                  </wps:wsp>
                </a:graphicData>
              </a:graphic>
            </wp:anchor>
          </w:drawing>
        </mc:Choice>
        <mc:Fallback>
          <w:pict>
            <v:shape id="文本框 1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CQIYMkBAACbAwAADgAAAGRycy9lMm9Eb2MueG1srVPNjtMwEL4j8Q6W&#10;79Rph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rFTVhR4rjFiV++f7v8+HX5+ZUs&#10;X2eB+gA15j0EzEzDnR8wefYDOjPvQUWbv8iIYBzlPV/llUMiIj9ar9brCkMCY/MF8dnj8xAhvZXe&#10;kmw0NOL8iqz89B7SmDqn5GrO32tjygyN+8uBmNnDcu9jj9lKw36YCO19e0Y+PY6+oQ43nRLzzqGy&#10;eUtmI87GfjaOIepDV9Yo14Nwe0zYROktVxhhp8I4s8Ju2q+8FH/eS9bjP7X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oJAhgyQEAAJsDAAAOAAAAAAAAAAEAIAAAAB4BAABkcnMvZTJvRG9j&#10;LnhtbFBLBQYAAAAABgAGAFkBAABZBQAAAAA=&#10;">
              <v:fill on="f" focussize="0,0"/>
              <v:stroke on="f"/>
              <v:imagedata o:title=""/>
              <o:lock v:ext="edit" aspectratio="f"/>
              <v:textbox inset="0mm,0mm,0mm,0mm" style="mso-fit-shape-to-text:t;">
                <w:txbxContent>
                  <w:p w14:paraId="4D130E24">
                    <w:pPr>
                      <w:pStyle w:val="12"/>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1AB8BB">
    <w:pPr>
      <w:pStyle w:val="6"/>
      <w:spacing w:line="14" w:lineRule="auto"/>
      <w:rPr>
        <w:sz w:val="12"/>
      </w:rPr>
    </w:pPr>
    <w:r>
      <w:rPr>
        <w:sz w:val="1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23A518E">
                          <w:pPr>
                            <w:pStyle w:val="12"/>
                          </w:pPr>
                          <w:r>
                            <w:fldChar w:fldCharType="begin"/>
                          </w:r>
                          <w:r>
                            <w:instrText xml:space="preserve"> PAGE  \* MERGEFORMAT </w:instrText>
                          </w:r>
                          <w:r>
                            <w:fldChar w:fldCharType="separate"/>
                          </w:r>
                          <w:r>
                            <w:t>39</w:t>
                          </w:r>
                          <w:r>
                            <w:fldChar w:fldCharType="end"/>
                          </w:r>
                        </w:p>
                      </w:txbxContent>
                    </wps:txbx>
                    <wps:bodyPr wrap="none" lIns="0" tIns="0" rIns="0" bIns="0" upright="0">
                      <a:spAutoFit/>
                    </wps:bodyPr>
                  </wps:wsp>
                </a:graphicData>
              </a:graphic>
            </wp:anchor>
          </w:drawing>
        </mc:Choice>
        <mc:Fallback>
          <w:pict>
            <v:shape id="文本框 1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J2g1MoBAACbAwAADgAAAGRycy9lMm9Eb2MueG1srVPNjtMwEL4j8Q6W&#10;79RpJ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GpJieMWJ375/u3y49fl51ey&#10;fJ0F6gPUmPcQMDMNd37AtZn9gM7Me1DR5i8yIhhHec9XeeWQiMiP1qv1usKQwNh8QXz2+DxESG+l&#10;tyQbDY04vyIrP72HNKbOKbma8/famDJD4/5yIGb2sNz72GO20rAfJkJ7356RT4+jb6jDTafEvHOo&#10;bN6S2YizsZ+NY4j60JU1yvUg3B4TNlF6yxVG2Kkwzqywm/YrL8Wf95L1+E9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7J2g1MoBAACbAwAADgAAAAAAAAABACAAAAAeAQAAZHJzL2Uyb0Rv&#10;Yy54bWxQSwUGAAAAAAYABgBZAQAAWgUAAAAA&#10;">
              <v:fill on="f" focussize="0,0"/>
              <v:stroke on="f"/>
              <v:imagedata o:title=""/>
              <o:lock v:ext="edit" aspectratio="f"/>
              <v:textbox inset="0mm,0mm,0mm,0mm" style="mso-fit-shape-to-text:t;">
                <w:txbxContent>
                  <w:p w14:paraId="123A518E">
                    <w:pPr>
                      <w:pStyle w:val="12"/>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1B0188">
    <w:pPr>
      <w:pStyle w:val="6"/>
      <w:keepNext w:val="0"/>
      <w:keepLines w:val="0"/>
      <w:pageBreakBefore w:val="0"/>
      <w:widowControl w:val="0"/>
      <w:tabs>
        <w:tab w:val="left" w:pos="7775"/>
      </w:tabs>
      <w:kinsoku/>
      <w:wordWrap/>
      <w:overflowPunct/>
      <w:topLinePunct w:val="0"/>
      <w:bidi w:val="0"/>
      <w:adjustRightInd/>
      <w:snapToGrid/>
      <w:spacing w:before="0" w:beforeLines="201" w:beforeAutospacing="0" w:line="15" w:lineRule="auto"/>
      <w:textAlignment w:val="auto"/>
      <w:rPr>
        <w:sz w:val="2"/>
      </w:rPr>
    </w:pPr>
    <w:r>
      <w:rPr>
        <w:sz w:val="2"/>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A5B4FE">
                          <w:pPr>
                            <w:pStyle w:val="12"/>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59A5B4FE">
                    <w:pPr>
                      <w:pStyle w:val="12"/>
                    </w:pPr>
                    <w:r>
                      <w:fldChar w:fldCharType="begin"/>
                    </w:r>
                    <w:r>
                      <w:instrText xml:space="preserve"> PAGE  \* MERGEFORMAT </w:instrText>
                    </w:r>
                    <w:r>
                      <w:fldChar w:fldCharType="separate"/>
                    </w:r>
                    <w:r>
                      <w:t>44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DA53D">
    <w:pPr>
      <w:pStyle w:val="13"/>
      <w:pBdr>
        <w:bottom w:val="none" w:color="auto" w:sz="0" w:space="1"/>
      </w:pBdr>
      <w:jc w:val="both"/>
      <w:rPr>
        <w:rFonts w:hint="eastAsia" w:ascii="宋体" w:hAnsi="宋体" w:cs="宋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8411C9"/>
    <w:multiLevelType w:val="multilevel"/>
    <w:tmpl w:val="258411C9"/>
    <w:lvl w:ilvl="0" w:tentative="0">
      <w:start w:val="1"/>
      <w:numFmt w:val="decimal"/>
      <w:suff w:val="space"/>
      <w:lvlText w:val="第 %1 章  "/>
      <w:lvlJc w:val="left"/>
      <w:pPr>
        <w:ind w:left="567" w:hanging="567"/>
      </w:pPr>
      <w:rPr>
        <w:rFonts w:hint="default" w:ascii="Times New Roman" w:hAnsi="Times New Roman" w:eastAsia="宋体"/>
        <w:b/>
        <w:i w:val="0"/>
        <w:sz w:val="32"/>
      </w:rPr>
    </w:lvl>
    <w:lvl w:ilvl="1" w:tentative="0">
      <w:start w:val="1"/>
      <w:numFmt w:val="decimal"/>
      <w:isLgl/>
      <w:lvlText w:val="%1.%2."/>
      <w:lvlJc w:val="left"/>
      <w:pPr>
        <w:tabs>
          <w:tab w:val="left" w:pos="737"/>
        </w:tabs>
        <w:ind w:left="737" w:hanging="737"/>
      </w:pPr>
      <w:rPr>
        <w:rFonts w:hint="default" w:ascii="Times New Roman" w:hAnsi="Times New Roman" w:eastAsia="宋体"/>
        <w:b w:val="0"/>
        <w:i w:val="0"/>
        <w:caps w:val="0"/>
        <w:strike w:val="0"/>
        <w:dstrike w:val="0"/>
        <w:vanish w:val="0"/>
        <w:sz w:val="28"/>
        <w:vertAlign w:val="baseline"/>
      </w:rPr>
    </w:lvl>
    <w:lvl w:ilvl="2" w:tentative="0">
      <w:start w:val="1"/>
      <w:numFmt w:val="decimal"/>
      <w:isLgl/>
      <w:lvlText w:val="%1.%2.%3."/>
      <w:lvlJc w:val="left"/>
      <w:pPr>
        <w:tabs>
          <w:tab w:val="left" w:pos="1080"/>
        </w:tabs>
        <w:ind w:left="227" w:hanging="227"/>
      </w:pPr>
      <w:rPr>
        <w:rFonts w:hint="eastAsia"/>
        <w:b w:val="0"/>
        <w:i w:val="0"/>
      </w:rPr>
    </w:lvl>
    <w:lvl w:ilvl="3" w:tentative="0">
      <w:start w:val="1"/>
      <w:numFmt w:val="decimal"/>
      <w:pStyle w:val="2"/>
      <w:isLgl/>
      <w:lvlText w:val="%1.%2.%3.%4."/>
      <w:lvlJc w:val="left"/>
      <w:pPr>
        <w:tabs>
          <w:tab w:val="left" w:pos="851"/>
        </w:tabs>
        <w:ind w:left="851" w:hanging="851"/>
      </w:pPr>
      <w:rPr>
        <w:rFonts w:hint="default" w:ascii="Times New Roman" w:hAnsi="Times New Roman"/>
        <w:b w:val="0"/>
        <w:i w:val="0"/>
        <w:sz w:val="24"/>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Q3NWVhNDdhOTk2ZGJkMWMzMzAxZmE5YzU0YTI1NDEifQ=="/>
  </w:docVars>
  <w:rsids>
    <w:rsidRoot w:val="00000000"/>
    <w:rsid w:val="003A0914"/>
    <w:rsid w:val="003A6B66"/>
    <w:rsid w:val="00423C6D"/>
    <w:rsid w:val="004B2C65"/>
    <w:rsid w:val="004B4F52"/>
    <w:rsid w:val="007958E0"/>
    <w:rsid w:val="00930024"/>
    <w:rsid w:val="00975D66"/>
    <w:rsid w:val="00B05F70"/>
    <w:rsid w:val="00B22ED5"/>
    <w:rsid w:val="00BD76AE"/>
    <w:rsid w:val="00C36B5B"/>
    <w:rsid w:val="00CB77BE"/>
    <w:rsid w:val="00D20B4D"/>
    <w:rsid w:val="00D70859"/>
    <w:rsid w:val="00F431B9"/>
    <w:rsid w:val="00F725AC"/>
    <w:rsid w:val="0115533A"/>
    <w:rsid w:val="014852B3"/>
    <w:rsid w:val="014A102B"/>
    <w:rsid w:val="016C55C9"/>
    <w:rsid w:val="01765BDE"/>
    <w:rsid w:val="017D59D9"/>
    <w:rsid w:val="0194674A"/>
    <w:rsid w:val="019D55FE"/>
    <w:rsid w:val="01AC2971"/>
    <w:rsid w:val="01C0309B"/>
    <w:rsid w:val="01CC5EDA"/>
    <w:rsid w:val="01E44FDB"/>
    <w:rsid w:val="01F57FFE"/>
    <w:rsid w:val="01FA65AD"/>
    <w:rsid w:val="01FB40D3"/>
    <w:rsid w:val="021653B1"/>
    <w:rsid w:val="0224362A"/>
    <w:rsid w:val="023F5EE9"/>
    <w:rsid w:val="025645F5"/>
    <w:rsid w:val="02567F10"/>
    <w:rsid w:val="025832D3"/>
    <w:rsid w:val="025D08EA"/>
    <w:rsid w:val="02636716"/>
    <w:rsid w:val="02704AC1"/>
    <w:rsid w:val="027D35E4"/>
    <w:rsid w:val="028B36A9"/>
    <w:rsid w:val="02900CBF"/>
    <w:rsid w:val="03065425"/>
    <w:rsid w:val="03195159"/>
    <w:rsid w:val="03451AAA"/>
    <w:rsid w:val="034A1C2A"/>
    <w:rsid w:val="03637B23"/>
    <w:rsid w:val="03661A20"/>
    <w:rsid w:val="036A1510"/>
    <w:rsid w:val="03AF1619"/>
    <w:rsid w:val="03E77005"/>
    <w:rsid w:val="03EE0393"/>
    <w:rsid w:val="03F67248"/>
    <w:rsid w:val="03FB03BA"/>
    <w:rsid w:val="04137DFA"/>
    <w:rsid w:val="042E69E2"/>
    <w:rsid w:val="0442248D"/>
    <w:rsid w:val="047A39D5"/>
    <w:rsid w:val="04814D63"/>
    <w:rsid w:val="048604A0"/>
    <w:rsid w:val="048C54B6"/>
    <w:rsid w:val="048D195A"/>
    <w:rsid w:val="04A7091C"/>
    <w:rsid w:val="04B74C29"/>
    <w:rsid w:val="04BC391D"/>
    <w:rsid w:val="04D01847"/>
    <w:rsid w:val="04ED5CD1"/>
    <w:rsid w:val="05184F9C"/>
    <w:rsid w:val="051E6A56"/>
    <w:rsid w:val="054B711F"/>
    <w:rsid w:val="05812CAB"/>
    <w:rsid w:val="058F525E"/>
    <w:rsid w:val="05997E8B"/>
    <w:rsid w:val="05D2339D"/>
    <w:rsid w:val="05D37841"/>
    <w:rsid w:val="05DD246D"/>
    <w:rsid w:val="05F6352F"/>
    <w:rsid w:val="05FE2212"/>
    <w:rsid w:val="061E65E2"/>
    <w:rsid w:val="062067FE"/>
    <w:rsid w:val="06297694"/>
    <w:rsid w:val="062A142B"/>
    <w:rsid w:val="062F07EF"/>
    <w:rsid w:val="06300BB7"/>
    <w:rsid w:val="06383B48"/>
    <w:rsid w:val="063F6C84"/>
    <w:rsid w:val="06BF1B73"/>
    <w:rsid w:val="06C453DB"/>
    <w:rsid w:val="06E8731C"/>
    <w:rsid w:val="06FD269B"/>
    <w:rsid w:val="07061550"/>
    <w:rsid w:val="070D6D82"/>
    <w:rsid w:val="07194B34"/>
    <w:rsid w:val="071D4AEC"/>
    <w:rsid w:val="07251048"/>
    <w:rsid w:val="072D2F81"/>
    <w:rsid w:val="072E0AA7"/>
    <w:rsid w:val="072E4E8B"/>
    <w:rsid w:val="073065CD"/>
    <w:rsid w:val="073C4A8E"/>
    <w:rsid w:val="076D5A73"/>
    <w:rsid w:val="078D1C71"/>
    <w:rsid w:val="07AA385D"/>
    <w:rsid w:val="07C5765D"/>
    <w:rsid w:val="07E5385B"/>
    <w:rsid w:val="07EC6998"/>
    <w:rsid w:val="07F2767A"/>
    <w:rsid w:val="07FB42EB"/>
    <w:rsid w:val="07FE66CB"/>
    <w:rsid w:val="082779D0"/>
    <w:rsid w:val="08297BEC"/>
    <w:rsid w:val="083B3352"/>
    <w:rsid w:val="083F40EC"/>
    <w:rsid w:val="08760957"/>
    <w:rsid w:val="087C3FB5"/>
    <w:rsid w:val="08835DA1"/>
    <w:rsid w:val="08B379D1"/>
    <w:rsid w:val="08E9146F"/>
    <w:rsid w:val="08F11672"/>
    <w:rsid w:val="08FB4EDE"/>
    <w:rsid w:val="08FC70AE"/>
    <w:rsid w:val="0905407E"/>
    <w:rsid w:val="09096A5A"/>
    <w:rsid w:val="09187C60"/>
    <w:rsid w:val="091A5787"/>
    <w:rsid w:val="09540C99"/>
    <w:rsid w:val="097E7AC3"/>
    <w:rsid w:val="098175B4"/>
    <w:rsid w:val="09981724"/>
    <w:rsid w:val="09A33E3F"/>
    <w:rsid w:val="09D678FF"/>
    <w:rsid w:val="09EF451D"/>
    <w:rsid w:val="0A051F93"/>
    <w:rsid w:val="0A0A1357"/>
    <w:rsid w:val="0A290D1C"/>
    <w:rsid w:val="0A41606B"/>
    <w:rsid w:val="0A4D7496"/>
    <w:rsid w:val="0A59408D"/>
    <w:rsid w:val="0A83110A"/>
    <w:rsid w:val="0AAA48E8"/>
    <w:rsid w:val="0AC267D5"/>
    <w:rsid w:val="0AD16319"/>
    <w:rsid w:val="0AD876A7"/>
    <w:rsid w:val="0ADA51CD"/>
    <w:rsid w:val="0AF7014E"/>
    <w:rsid w:val="0AFF4C34"/>
    <w:rsid w:val="0B064214"/>
    <w:rsid w:val="0B0B11BF"/>
    <w:rsid w:val="0B220922"/>
    <w:rsid w:val="0B2226D0"/>
    <w:rsid w:val="0B2428ED"/>
    <w:rsid w:val="0B301291"/>
    <w:rsid w:val="0B372620"/>
    <w:rsid w:val="0B5539B8"/>
    <w:rsid w:val="0B952387"/>
    <w:rsid w:val="0BA650B0"/>
    <w:rsid w:val="0BAD643E"/>
    <w:rsid w:val="0BC32105"/>
    <w:rsid w:val="0BD04822"/>
    <w:rsid w:val="0BF978D5"/>
    <w:rsid w:val="0C012C2E"/>
    <w:rsid w:val="0C142961"/>
    <w:rsid w:val="0C145107"/>
    <w:rsid w:val="0C232BA4"/>
    <w:rsid w:val="0C3703FE"/>
    <w:rsid w:val="0C5506F7"/>
    <w:rsid w:val="0C692CAD"/>
    <w:rsid w:val="0C6D4563"/>
    <w:rsid w:val="0C741652"/>
    <w:rsid w:val="0C825B1D"/>
    <w:rsid w:val="0C946912"/>
    <w:rsid w:val="0CA05FA3"/>
    <w:rsid w:val="0CAF4438"/>
    <w:rsid w:val="0CC223BD"/>
    <w:rsid w:val="0CDA7707"/>
    <w:rsid w:val="0CFF3AC2"/>
    <w:rsid w:val="0D2B61B4"/>
    <w:rsid w:val="0D4E1EA3"/>
    <w:rsid w:val="0D58062B"/>
    <w:rsid w:val="0D645222"/>
    <w:rsid w:val="0DB31D06"/>
    <w:rsid w:val="0DB37B8E"/>
    <w:rsid w:val="0DE05E34"/>
    <w:rsid w:val="0E146C48"/>
    <w:rsid w:val="0E2624D8"/>
    <w:rsid w:val="0E2A646C"/>
    <w:rsid w:val="0E2B5D40"/>
    <w:rsid w:val="0E323572"/>
    <w:rsid w:val="0E341099"/>
    <w:rsid w:val="0E543DF2"/>
    <w:rsid w:val="0E603C3C"/>
    <w:rsid w:val="0E6574A4"/>
    <w:rsid w:val="0E9E4764"/>
    <w:rsid w:val="0EA66C2E"/>
    <w:rsid w:val="0EB9159E"/>
    <w:rsid w:val="0EC11705"/>
    <w:rsid w:val="0EC248F6"/>
    <w:rsid w:val="0EC35F79"/>
    <w:rsid w:val="0EC817E1"/>
    <w:rsid w:val="0EC83BD7"/>
    <w:rsid w:val="0EDF667F"/>
    <w:rsid w:val="0F07055B"/>
    <w:rsid w:val="0F2B249C"/>
    <w:rsid w:val="0F3B6457"/>
    <w:rsid w:val="0F4075C9"/>
    <w:rsid w:val="0F59068B"/>
    <w:rsid w:val="0F8B2F3A"/>
    <w:rsid w:val="0F9E5148"/>
    <w:rsid w:val="0F9F2542"/>
    <w:rsid w:val="0FAB0EE6"/>
    <w:rsid w:val="0FC65D20"/>
    <w:rsid w:val="0FC93A62"/>
    <w:rsid w:val="0FE91A0F"/>
    <w:rsid w:val="0FEB39D9"/>
    <w:rsid w:val="0FF7412C"/>
    <w:rsid w:val="10121098"/>
    <w:rsid w:val="1021564D"/>
    <w:rsid w:val="10302668"/>
    <w:rsid w:val="10417A9D"/>
    <w:rsid w:val="104F21BA"/>
    <w:rsid w:val="10596B94"/>
    <w:rsid w:val="106F0166"/>
    <w:rsid w:val="10710382"/>
    <w:rsid w:val="107514F4"/>
    <w:rsid w:val="107B2FAF"/>
    <w:rsid w:val="10805125"/>
    <w:rsid w:val="10A047C3"/>
    <w:rsid w:val="10A65B52"/>
    <w:rsid w:val="10AD5132"/>
    <w:rsid w:val="10AF4A06"/>
    <w:rsid w:val="10D240C8"/>
    <w:rsid w:val="10E5667A"/>
    <w:rsid w:val="10F66AD9"/>
    <w:rsid w:val="1109680C"/>
    <w:rsid w:val="11205904"/>
    <w:rsid w:val="11252F1A"/>
    <w:rsid w:val="11360C84"/>
    <w:rsid w:val="113E3FDC"/>
    <w:rsid w:val="11404570"/>
    <w:rsid w:val="11496C09"/>
    <w:rsid w:val="114E06C3"/>
    <w:rsid w:val="11627AC5"/>
    <w:rsid w:val="116C773C"/>
    <w:rsid w:val="116F4196"/>
    <w:rsid w:val="11805965"/>
    <w:rsid w:val="11895257"/>
    <w:rsid w:val="11B05E39"/>
    <w:rsid w:val="11E42DD6"/>
    <w:rsid w:val="11E76422"/>
    <w:rsid w:val="11F36B75"/>
    <w:rsid w:val="123442B3"/>
    <w:rsid w:val="123D6042"/>
    <w:rsid w:val="12411FD6"/>
    <w:rsid w:val="12513A17"/>
    <w:rsid w:val="12635FD3"/>
    <w:rsid w:val="12723F3D"/>
    <w:rsid w:val="12BB58E4"/>
    <w:rsid w:val="12BC3F74"/>
    <w:rsid w:val="12CB3261"/>
    <w:rsid w:val="131232E2"/>
    <w:rsid w:val="13225964"/>
    <w:rsid w:val="132A4818"/>
    <w:rsid w:val="13525B1D"/>
    <w:rsid w:val="137E6912"/>
    <w:rsid w:val="13830C2E"/>
    <w:rsid w:val="13AE5DA4"/>
    <w:rsid w:val="13BD743A"/>
    <w:rsid w:val="13FF5CA5"/>
    <w:rsid w:val="14045069"/>
    <w:rsid w:val="140C03C2"/>
    <w:rsid w:val="140D6614"/>
    <w:rsid w:val="14103A0E"/>
    <w:rsid w:val="141554C8"/>
    <w:rsid w:val="14314E38"/>
    <w:rsid w:val="14375E6D"/>
    <w:rsid w:val="143A0A8B"/>
    <w:rsid w:val="143B7FF8"/>
    <w:rsid w:val="14411E19"/>
    <w:rsid w:val="145558C5"/>
    <w:rsid w:val="1461070D"/>
    <w:rsid w:val="14643D5A"/>
    <w:rsid w:val="14746827"/>
    <w:rsid w:val="147541B9"/>
    <w:rsid w:val="14915A41"/>
    <w:rsid w:val="14B60A59"/>
    <w:rsid w:val="14CD5DA3"/>
    <w:rsid w:val="14CD7B51"/>
    <w:rsid w:val="14E60C13"/>
    <w:rsid w:val="14ED01F3"/>
    <w:rsid w:val="14FB46BE"/>
    <w:rsid w:val="150D619F"/>
    <w:rsid w:val="15115C90"/>
    <w:rsid w:val="151C4634"/>
    <w:rsid w:val="15211C4B"/>
    <w:rsid w:val="15344EF4"/>
    <w:rsid w:val="15485429"/>
    <w:rsid w:val="157601E9"/>
    <w:rsid w:val="15763D45"/>
    <w:rsid w:val="15793835"/>
    <w:rsid w:val="15932B49"/>
    <w:rsid w:val="15981F0D"/>
    <w:rsid w:val="159863B1"/>
    <w:rsid w:val="15C31B31"/>
    <w:rsid w:val="15CC1BB7"/>
    <w:rsid w:val="15DD0268"/>
    <w:rsid w:val="15DD55EA"/>
    <w:rsid w:val="160B473B"/>
    <w:rsid w:val="16146821"/>
    <w:rsid w:val="161F618A"/>
    <w:rsid w:val="16216CC0"/>
    <w:rsid w:val="162D2B22"/>
    <w:rsid w:val="163360DA"/>
    <w:rsid w:val="163D0D06"/>
    <w:rsid w:val="16677B31"/>
    <w:rsid w:val="166B7621"/>
    <w:rsid w:val="1675366E"/>
    <w:rsid w:val="168406E3"/>
    <w:rsid w:val="16B5089D"/>
    <w:rsid w:val="16E96798"/>
    <w:rsid w:val="17237EFC"/>
    <w:rsid w:val="174C7453"/>
    <w:rsid w:val="174F2A9F"/>
    <w:rsid w:val="17681DB3"/>
    <w:rsid w:val="1795084B"/>
    <w:rsid w:val="17991F6C"/>
    <w:rsid w:val="179B7A92"/>
    <w:rsid w:val="17A54DB5"/>
    <w:rsid w:val="17B74BEC"/>
    <w:rsid w:val="17C31582"/>
    <w:rsid w:val="17CC0594"/>
    <w:rsid w:val="17CD1C16"/>
    <w:rsid w:val="18003D99"/>
    <w:rsid w:val="18016734"/>
    <w:rsid w:val="181D494B"/>
    <w:rsid w:val="18583B0E"/>
    <w:rsid w:val="18602A8A"/>
    <w:rsid w:val="1864257A"/>
    <w:rsid w:val="186936F3"/>
    <w:rsid w:val="18802678"/>
    <w:rsid w:val="18846779"/>
    <w:rsid w:val="18B76B4E"/>
    <w:rsid w:val="18C63235"/>
    <w:rsid w:val="18D05E62"/>
    <w:rsid w:val="18E216F1"/>
    <w:rsid w:val="190B50EC"/>
    <w:rsid w:val="190D42EB"/>
    <w:rsid w:val="19193365"/>
    <w:rsid w:val="192B19A6"/>
    <w:rsid w:val="193059E0"/>
    <w:rsid w:val="19AF7825"/>
    <w:rsid w:val="19B65058"/>
    <w:rsid w:val="19B80DD0"/>
    <w:rsid w:val="19BC1F42"/>
    <w:rsid w:val="19C86B39"/>
    <w:rsid w:val="19D01B03"/>
    <w:rsid w:val="19EA2F53"/>
    <w:rsid w:val="19F53DD2"/>
    <w:rsid w:val="19FE408F"/>
    <w:rsid w:val="1A0933D9"/>
    <w:rsid w:val="1A2E1B17"/>
    <w:rsid w:val="1A330456"/>
    <w:rsid w:val="1A3441CE"/>
    <w:rsid w:val="1A374039"/>
    <w:rsid w:val="1A3F329F"/>
    <w:rsid w:val="1A442663"/>
    <w:rsid w:val="1A484E94"/>
    <w:rsid w:val="1A5A1E87"/>
    <w:rsid w:val="1A5B175B"/>
    <w:rsid w:val="1A5B79AD"/>
    <w:rsid w:val="1A693E78"/>
    <w:rsid w:val="1A805D4E"/>
    <w:rsid w:val="1A8E38DF"/>
    <w:rsid w:val="1A9A04D5"/>
    <w:rsid w:val="1A9F3D3E"/>
    <w:rsid w:val="1AA7791E"/>
    <w:rsid w:val="1AB62E35"/>
    <w:rsid w:val="1ABF1CEA"/>
    <w:rsid w:val="1AC217DA"/>
    <w:rsid w:val="1ACB018D"/>
    <w:rsid w:val="1AE23C2A"/>
    <w:rsid w:val="1AF51BB0"/>
    <w:rsid w:val="1AFD2812"/>
    <w:rsid w:val="1B154000"/>
    <w:rsid w:val="1B214753"/>
    <w:rsid w:val="1B4D72F6"/>
    <w:rsid w:val="1B75684C"/>
    <w:rsid w:val="1B762CF0"/>
    <w:rsid w:val="1B83508A"/>
    <w:rsid w:val="1B8C2514"/>
    <w:rsid w:val="1BA07D6D"/>
    <w:rsid w:val="1BA15893"/>
    <w:rsid w:val="1BA17641"/>
    <w:rsid w:val="1BAA06E5"/>
    <w:rsid w:val="1BAB226E"/>
    <w:rsid w:val="1BD21EF1"/>
    <w:rsid w:val="1C5A276F"/>
    <w:rsid w:val="1C7A6810"/>
    <w:rsid w:val="1C9A47BD"/>
    <w:rsid w:val="1CD051B9"/>
    <w:rsid w:val="1CDF6673"/>
    <w:rsid w:val="1CF069FD"/>
    <w:rsid w:val="1CFD2DEB"/>
    <w:rsid w:val="1D126A49"/>
    <w:rsid w:val="1D503142"/>
    <w:rsid w:val="1D6372A4"/>
    <w:rsid w:val="1D686669"/>
    <w:rsid w:val="1D7768AC"/>
    <w:rsid w:val="1D880AB9"/>
    <w:rsid w:val="1D9C27B6"/>
    <w:rsid w:val="1DAD6772"/>
    <w:rsid w:val="1DB4365C"/>
    <w:rsid w:val="1DC359C6"/>
    <w:rsid w:val="1DC51D0D"/>
    <w:rsid w:val="1DD4763E"/>
    <w:rsid w:val="1DEC729A"/>
    <w:rsid w:val="1E2E78B2"/>
    <w:rsid w:val="1E3D5D47"/>
    <w:rsid w:val="1E403142"/>
    <w:rsid w:val="1E426EBA"/>
    <w:rsid w:val="1E4470D6"/>
    <w:rsid w:val="1E4A0EA8"/>
    <w:rsid w:val="1E4C5F8A"/>
    <w:rsid w:val="1E4F15D7"/>
    <w:rsid w:val="1E6E5F01"/>
    <w:rsid w:val="1E85149C"/>
    <w:rsid w:val="1E85324A"/>
    <w:rsid w:val="1EA71413"/>
    <w:rsid w:val="1EC75611"/>
    <w:rsid w:val="1EE77A61"/>
    <w:rsid w:val="1EEC5078"/>
    <w:rsid w:val="1EEF1F39"/>
    <w:rsid w:val="1EF108E0"/>
    <w:rsid w:val="1EFE1A69"/>
    <w:rsid w:val="1F006C9B"/>
    <w:rsid w:val="1F185E6D"/>
    <w:rsid w:val="1F38206B"/>
    <w:rsid w:val="1F525822"/>
    <w:rsid w:val="1F5A46D7"/>
    <w:rsid w:val="1F6D440A"/>
    <w:rsid w:val="1F7C464D"/>
    <w:rsid w:val="1F7F7C9A"/>
    <w:rsid w:val="1F973235"/>
    <w:rsid w:val="20120B0E"/>
    <w:rsid w:val="20126D60"/>
    <w:rsid w:val="20142AD8"/>
    <w:rsid w:val="20344F28"/>
    <w:rsid w:val="20387A9C"/>
    <w:rsid w:val="205E3D53"/>
    <w:rsid w:val="20735A50"/>
    <w:rsid w:val="207D067D"/>
    <w:rsid w:val="207E61A3"/>
    <w:rsid w:val="208B65E8"/>
    <w:rsid w:val="208F6602"/>
    <w:rsid w:val="2096173F"/>
    <w:rsid w:val="20A342D0"/>
    <w:rsid w:val="20B56069"/>
    <w:rsid w:val="20DA5ACF"/>
    <w:rsid w:val="20F16975"/>
    <w:rsid w:val="20F87891"/>
    <w:rsid w:val="21082ADE"/>
    <w:rsid w:val="21091F11"/>
    <w:rsid w:val="211663DC"/>
    <w:rsid w:val="212B00D9"/>
    <w:rsid w:val="212E7BC9"/>
    <w:rsid w:val="21661111"/>
    <w:rsid w:val="21701F90"/>
    <w:rsid w:val="21B26104"/>
    <w:rsid w:val="21C1459A"/>
    <w:rsid w:val="22024F9F"/>
    <w:rsid w:val="22031056"/>
    <w:rsid w:val="22034BB2"/>
    <w:rsid w:val="221943D6"/>
    <w:rsid w:val="22486A69"/>
    <w:rsid w:val="22573150"/>
    <w:rsid w:val="226715E5"/>
    <w:rsid w:val="226A4C31"/>
    <w:rsid w:val="226D64CF"/>
    <w:rsid w:val="22965A26"/>
    <w:rsid w:val="22A068A5"/>
    <w:rsid w:val="22D4654E"/>
    <w:rsid w:val="22F72B3A"/>
    <w:rsid w:val="22FB1D2D"/>
    <w:rsid w:val="232E3EB1"/>
    <w:rsid w:val="2334493E"/>
    <w:rsid w:val="233A2E2B"/>
    <w:rsid w:val="233E65F0"/>
    <w:rsid w:val="23452FA8"/>
    <w:rsid w:val="234C0C62"/>
    <w:rsid w:val="235002CB"/>
    <w:rsid w:val="23580F2E"/>
    <w:rsid w:val="23653BFA"/>
    <w:rsid w:val="23720241"/>
    <w:rsid w:val="238E331F"/>
    <w:rsid w:val="23955CDE"/>
    <w:rsid w:val="239F1239"/>
    <w:rsid w:val="23A1529F"/>
    <w:rsid w:val="23AB5501"/>
    <w:rsid w:val="23AE6D9F"/>
    <w:rsid w:val="23B567AE"/>
    <w:rsid w:val="23B87798"/>
    <w:rsid w:val="23DA5DE6"/>
    <w:rsid w:val="23FA04E1"/>
    <w:rsid w:val="23FC7B0B"/>
    <w:rsid w:val="24134E54"/>
    <w:rsid w:val="241430A6"/>
    <w:rsid w:val="24280900"/>
    <w:rsid w:val="2432177F"/>
    <w:rsid w:val="2432352D"/>
    <w:rsid w:val="24523BCF"/>
    <w:rsid w:val="245367E7"/>
    <w:rsid w:val="247D54F3"/>
    <w:rsid w:val="248157DA"/>
    <w:rsid w:val="24863878"/>
    <w:rsid w:val="248875F1"/>
    <w:rsid w:val="248C5333"/>
    <w:rsid w:val="249266C1"/>
    <w:rsid w:val="24977834"/>
    <w:rsid w:val="24B148B7"/>
    <w:rsid w:val="24D96AEA"/>
    <w:rsid w:val="24E862E1"/>
    <w:rsid w:val="24EF675B"/>
    <w:rsid w:val="24F15196"/>
    <w:rsid w:val="24F42ED8"/>
    <w:rsid w:val="24FB6014"/>
    <w:rsid w:val="24FB7DC2"/>
    <w:rsid w:val="250F2833"/>
    <w:rsid w:val="252C0A49"/>
    <w:rsid w:val="25311A36"/>
    <w:rsid w:val="253152E6"/>
    <w:rsid w:val="253F05F7"/>
    <w:rsid w:val="25457290"/>
    <w:rsid w:val="25473008"/>
    <w:rsid w:val="25553977"/>
    <w:rsid w:val="255A196A"/>
    <w:rsid w:val="257638ED"/>
    <w:rsid w:val="259721E1"/>
    <w:rsid w:val="259C15A5"/>
    <w:rsid w:val="25BA7C7E"/>
    <w:rsid w:val="25C94365"/>
    <w:rsid w:val="25DC4098"/>
    <w:rsid w:val="25DE1BBE"/>
    <w:rsid w:val="25F07709"/>
    <w:rsid w:val="25FA451E"/>
    <w:rsid w:val="263E1C39"/>
    <w:rsid w:val="26526108"/>
    <w:rsid w:val="26712A32"/>
    <w:rsid w:val="26850BC3"/>
    <w:rsid w:val="268564DD"/>
    <w:rsid w:val="269C3827"/>
    <w:rsid w:val="26A36964"/>
    <w:rsid w:val="26C15CF0"/>
    <w:rsid w:val="26D20D8B"/>
    <w:rsid w:val="26DB5337"/>
    <w:rsid w:val="26EF3957"/>
    <w:rsid w:val="270F3BC0"/>
    <w:rsid w:val="271909D4"/>
    <w:rsid w:val="271E0C0D"/>
    <w:rsid w:val="271E248E"/>
    <w:rsid w:val="272C0707"/>
    <w:rsid w:val="2739340E"/>
    <w:rsid w:val="27514612"/>
    <w:rsid w:val="275A1718"/>
    <w:rsid w:val="275B723E"/>
    <w:rsid w:val="27637EA1"/>
    <w:rsid w:val="277976C4"/>
    <w:rsid w:val="277D0F63"/>
    <w:rsid w:val="278934AE"/>
    <w:rsid w:val="278C73F8"/>
    <w:rsid w:val="27AC5CEC"/>
    <w:rsid w:val="27B626C7"/>
    <w:rsid w:val="27BD2818"/>
    <w:rsid w:val="27CB6172"/>
    <w:rsid w:val="27D112AE"/>
    <w:rsid w:val="27D843EB"/>
    <w:rsid w:val="27DF1C1D"/>
    <w:rsid w:val="27E45486"/>
    <w:rsid w:val="27E7338C"/>
    <w:rsid w:val="27F02B4A"/>
    <w:rsid w:val="27FA0805"/>
    <w:rsid w:val="28247630"/>
    <w:rsid w:val="28296913"/>
    <w:rsid w:val="283006CB"/>
    <w:rsid w:val="28327608"/>
    <w:rsid w:val="28333D17"/>
    <w:rsid w:val="28577A06"/>
    <w:rsid w:val="28773C04"/>
    <w:rsid w:val="287B7B98"/>
    <w:rsid w:val="289C366A"/>
    <w:rsid w:val="28BE1833"/>
    <w:rsid w:val="28F3425A"/>
    <w:rsid w:val="293935AF"/>
    <w:rsid w:val="293F5C3F"/>
    <w:rsid w:val="294100A6"/>
    <w:rsid w:val="29565F0F"/>
    <w:rsid w:val="295757E3"/>
    <w:rsid w:val="2959155B"/>
    <w:rsid w:val="295D729E"/>
    <w:rsid w:val="29656152"/>
    <w:rsid w:val="29934A6D"/>
    <w:rsid w:val="299E6116"/>
    <w:rsid w:val="29A50C45"/>
    <w:rsid w:val="29A520E4"/>
    <w:rsid w:val="29BD7D3C"/>
    <w:rsid w:val="29D357B2"/>
    <w:rsid w:val="29E02615"/>
    <w:rsid w:val="29FA4AED"/>
    <w:rsid w:val="2A043BBD"/>
    <w:rsid w:val="2A0E0598"/>
    <w:rsid w:val="2A0F7A7D"/>
    <w:rsid w:val="2A257690"/>
    <w:rsid w:val="2A2C0A1E"/>
    <w:rsid w:val="2A2F4C91"/>
    <w:rsid w:val="2A7A79DB"/>
    <w:rsid w:val="2AA7245F"/>
    <w:rsid w:val="2AAB5DE7"/>
    <w:rsid w:val="2ABF1892"/>
    <w:rsid w:val="2ACA0963"/>
    <w:rsid w:val="2AE61515"/>
    <w:rsid w:val="2B195446"/>
    <w:rsid w:val="2B2160A9"/>
    <w:rsid w:val="2B397896"/>
    <w:rsid w:val="2B5A74A2"/>
    <w:rsid w:val="2B6D7540"/>
    <w:rsid w:val="2B797C93"/>
    <w:rsid w:val="2B7A370B"/>
    <w:rsid w:val="2BBF5FEE"/>
    <w:rsid w:val="2BCA6741"/>
    <w:rsid w:val="2BD66E93"/>
    <w:rsid w:val="2BD829D4"/>
    <w:rsid w:val="2BF546C4"/>
    <w:rsid w:val="2BFF2294"/>
    <w:rsid w:val="2C175E10"/>
    <w:rsid w:val="2C22657D"/>
    <w:rsid w:val="2C2424E7"/>
    <w:rsid w:val="2C273B93"/>
    <w:rsid w:val="2C315B34"/>
    <w:rsid w:val="2C332538"/>
    <w:rsid w:val="2C53378E"/>
    <w:rsid w:val="2C6721E1"/>
    <w:rsid w:val="2C695F59"/>
    <w:rsid w:val="2C723060"/>
    <w:rsid w:val="2C8E3C12"/>
    <w:rsid w:val="2CA60F5C"/>
    <w:rsid w:val="2CC633AC"/>
    <w:rsid w:val="2CD155AB"/>
    <w:rsid w:val="2CD86C3B"/>
    <w:rsid w:val="2CE5183E"/>
    <w:rsid w:val="2CFB12A7"/>
    <w:rsid w:val="2CFC0B7C"/>
    <w:rsid w:val="2D1A65ED"/>
    <w:rsid w:val="2D2154E0"/>
    <w:rsid w:val="2D297497"/>
    <w:rsid w:val="2D2F4BE6"/>
    <w:rsid w:val="2D340315"/>
    <w:rsid w:val="2D35408E"/>
    <w:rsid w:val="2D4C1B03"/>
    <w:rsid w:val="2D502C75"/>
    <w:rsid w:val="2D60735C"/>
    <w:rsid w:val="2D6D7CCB"/>
    <w:rsid w:val="2D744BB6"/>
    <w:rsid w:val="2D79041E"/>
    <w:rsid w:val="2D7B7CF2"/>
    <w:rsid w:val="2D8A6187"/>
    <w:rsid w:val="2D8C1F00"/>
    <w:rsid w:val="2D937732"/>
    <w:rsid w:val="2DA82D5C"/>
    <w:rsid w:val="2DBB0A37"/>
    <w:rsid w:val="2DC86CB0"/>
    <w:rsid w:val="2DE27D71"/>
    <w:rsid w:val="2DFD2DFD"/>
    <w:rsid w:val="2E1D349F"/>
    <w:rsid w:val="2E1D6FFC"/>
    <w:rsid w:val="2E2F6D2F"/>
    <w:rsid w:val="2E4427DA"/>
    <w:rsid w:val="2E494294"/>
    <w:rsid w:val="2E4A2820"/>
    <w:rsid w:val="2E4B5B51"/>
    <w:rsid w:val="2E636B5E"/>
    <w:rsid w:val="2E692241"/>
    <w:rsid w:val="2E6D2153"/>
    <w:rsid w:val="2E894691"/>
    <w:rsid w:val="2E9A064C"/>
    <w:rsid w:val="2EA15E7F"/>
    <w:rsid w:val="2EAB4607"/>
    <w:rsid w:val="2EC277C1"/>
    <w:rsid w:val="2ECD7B84"/>
    <w:rsid w:val="2ED927F3"/>
    <w:rsid w:val="2ED93D2D"/>
    <w:rsid w:val="2EE129E1"/>
    <w:rsid w:val="2EE94C3D"/>
    <w:rsid w:val="2EEC591E"/>
    <w:rsid w:val="2F2457F2"/>
    <w:rsid w:val="2F2C0CD3"/>
    <w:rsid w:val="2F2E5676"/>
    <w:rsid w:val="2FAD2601"/>
    <w:rsid w:val="2FBC03C0"/>
    <w:rsid w:val="2FD22068"/>
    <w:rsid w:val="2FE04785"/>
    <w:rsid w:val="2FFF10AF"/>
    <w:rsid w:val="30071D11"/>
    <w:rsid w:val="301A5EE8"/>
    <w:rsid w:val="3029612C"/>
    <w:rsid w:val="30297EDA"/>
    <w:rsid w:val="3050190A"/>
    <w:rsid w:val="30766E97"/>
    <w:rsid w:val="30843362"/>
    <w:rsid w:val="309D61D2"/>
    <w:rsid w:val="30D047F9"/>
    <w:rsid w:val="30D836AE"/>
    <w:rsid w:val="30DC4F4C"/>
    <w:rsid w:val="30EC082B"/>
    <w:rsid w:val="30F070F6"/>
    <w:rsid w:val="30F206B8"/>
    <w:rsid w:val="30FD4EC2"/>
    <w:rsid w:val="310B3A83"/>
    <w:rsid w:val="310E0E7D"/>
    <w:rsid w:val="310E5321"/>
    <w:rsid w:val="311210A0"/>
    <w:rsid w:val="311D7312"/>
    <w:rsid w:val="311E18EB"/>
    <w:rsid w:val="31216E03"/>
    <w:rsid w:val="312D39F9"/>
    <w:rsid w:val="31321010"/>
    <w:rsid w:val="3148438F"/>
    <w:rsid w:val="31987B76"/>
    <w:rsid w:val="319B4E07"/>
    <w:rsid w:val="31A35A6A"/>
    <w:rsid w:val="31CB6D6E"/>
    <w:rsid w:val="31EB11BF"/>
    <w:rsid w:val="31F42EDE"/>
    <w:rsid w:val="31FC33CC"/>
    <w:rsid w:val="321150C9"/>
    <w:rsid w:val="322070BA"/>
    <w:rsid w:val="32342B66"/>
    <w:rsid w:val="32780CA4"/>
    <w:rsid w:val="32BB5035"/>
    <w:rsid w:val="32BF0681"/>
    <w:rsid w:val="32CF7C0B"/>
    <w:rsid w:val="32E26A66"/>
    <w:rsid w:val="32EB591A"/>
    <w:rsid w:val="33182487"/>
    <w:rsid w:val="331F7372"/>
    <w:rsid w:val="332350B4"/>
    <w:rsid w:val="332E1CAB"/>
    <w:rsid w:val="333035F4"/>
    <w:rsid w:val="33614337"/>
    <w:rsid w:val="338B0EAB"/>
    <w:rsid w:val="33BC2E13"/>
    <w:rsid w:val="33BE69DF"/>
    <w:rsid w:val="33DC5263"/>
    <w:rsid w:val="34026762"/>
    <w:rsid w:val="344C23E9"/>
    <w:rsid w:val="346A286F"/>
    <w:rsid w:val="347A51A8"/>
    <w:rsid w:val="348576A9"/>
    <w:rsid w:val="34B166F0"/>
    <w:rsid w:val="34E232B1"/>
    <w:rsid w:val="350727B3"/>
    <w:rsid w:val="35165AE2"/>
    <w:rsid w:val="351B1DBB"/>
    <w:rsid w:val="35245113"/>
    <w:rsid w:val="352E4DA6"/>
    <w:rsid w:val="35492DCC"/>
    <w:rsid w:val="35696FCA"/>
    <w:rsid w:val="35780FBB"/>
    <w:rsid w:val="357B103B"/>
    <w:rsid w:val="358956F9"/>
    <w:rsid w:val="35904557"/>
    <w:rsid w:val="359A3628"/>
    <w:rsid w:val="35B10405"/>
    <w:rsid w:val="35B2163E"/>
    <w:rsid w:val="35CF507F"/>
    <w:rsid w:val="35D15C9B"/>
    <w:rsid w:val="360D1B6A"/>
    <w:rsid w:val="36146F36"/>
    <w:rsid w:val="362B4280"/>
    <w:rsid w:val="363C023B"/>
    <w:rsid w:val="36526E0E"/>
    <w:rsid w:val="36575075"/>
    <w:rsid w:val="36634CF5"/>
    <w:rsid w:val="366F2FCA"/>
    <w:rsid w:val="36714388"/>
    <w:rsid w:val="367E6AA5"/>
    <w:rsid w:val="36820344"/>
    <w:rsid w:val="36865C76"/>
    <w:rsid w:val="368C11C2"/>
    <w:rsid w:val="369260AD"/>
    <w:rsid w:val="36A46A5A"/>
    <w:rsid w:val="36C941C4"/>
    <w:rsid w:val="36D32885"/>
    <w:rsid w:val="36D466C5"/>
    <w:rsid w:val="36D6243D"/>
    <w:rsid w:val="36EC3A0F"/>
    <w:rsid w:val="36EE3050"/>
    <w:rsid w:val="36F20B34"/>
    <w:rsid w:val="36F34D9D"/>
    <w:rsid w:val="36F7708B"/>
    <w:rsid w:val="374D7DEF"/>
    <w:rsid w:val="37515F68"/>
    <w:rsid w:val="37555A58"/>
    <w:rsid w:val="37661A13"/>
    <w:rsid w:val="378974B0"/>
    <w:rsid w:val="37C80C1D"/>
    <w:rsid w:val="37D342A0"/>
    <w:rsid w:val="37E7175A"/>
    <w:rsid w:val="37F45271"/>
    <w:rsid w:val="37F564A0"/>
    <w:rsid w:val="37F92887"/>
    <w:rsid w:val="380B0AF8"/>
    <w:rsid w:val="381C47C8"/>
    <w:rsid w:val="3826627C"/>
    <w:rsid w:val="384653A1"/>
    <w:rsid w:val="384D672F"/>
    <w:rsid w:val="38584DE7"/>
    <w:rsid w:val="387737AC"/>
    <w:rsid w:val="389E342F"/>
    <w:rsid w:val="38BD1B07"/>
    <w:rsid w:val="38BD38B5"/>
    <w:rsid w:val="38D62BC9"/>
    <w:rsid w:val="38DE1A7D"/>
    <w:rsid w:val="38DE382B"/>
    <w:rsid w:val="38EC5F48"/>
    <w:rsid w:val="38F848ED"/>
    <w:rsid w:val="38FA68B7"/>
    <w:rsid w:val="3934169D"/>
    <w:rsid w:val="394F0285"/>
    <w:rsid w:val="39677CC5"/>
    <w:rsid w:val="3971644D"/>
    <w:rsid w:val="397D5C65"/>
    <w:rsid w:val="398C14D9"/>
    <w:rsid w:val="398E5251"/>
    <w:rsid w:val="39A9208B"/>
    <w:rsid w:val="39B50A30"/>
    <w:rsid w:val="39C742BF"/>
    <w:rsid w:val="39CF1B60"/>
    <w:rsid w:val="3A0B0650"/>
    <w:rsid w:val="3A3F02FA"/>
    <w:rsid w:val="3A59585F"/>
    <w:rsid w:val="3A6C4C7F"/>
    <w:rsid w:val="3A8D375B"/>
    <w:rsid w:val="3AA01D49"/>
    <w:rsid w:val="3AA36ADA"/>
    <w:rsid w:val="3AA85CAB"/>
    <w:rsid w:val="3AB46F3A"/>
    <w:rsid w:val="3AB605BC"/>
    <w:rsid w:val="3B194FEF"/>
    <w:rsid w:val="3B225C51"/>
    <w:rsid w:val="3B273268"/>
    <w:rsid w:val="3B2A2492"/>
    <w:rsid w:val="3B351E28"/>
    <w:rsid w:val="3B4200A1"/>
    <w:rsid w:val="3B653D90"/>
    <w:rsid w:val="3B6C3370"/>
    <w:rsid w:val="3B762441"/>
    <w:rsid w:val="3B7A3CDF"/>
    <w:rsid w:val="3B7D732B"/>
    <w:rsid w:val="3B892174"/>
    <w:rsid w:val="3B8A37F6"/>
    <w:rsid w:val="3B8A5DD8"/>
    <w:rsid w:val="3B915279"/>
    <w:rsid w:val="3BF55114"/>
    <w:rsid w:val="3BFD046C"/>
    <w:rsid w:val="3BFF2436"/>
    <w:rsid w:val="3C12216A"/>
    <w:rsid w:val="3C1557B6"/>
    <w:rsid w:val="3C237ED3"/>
    <w:rsid w:val="3C3A6FCB"/>
    <w:rsid w:val="3C6D73A0"/>
    <w:rsid w:val="3C81109D"/>
    <w:rsid w:val="3C862210"/>
    <w:rsid w:val="3C8D17F0"/>
    <w:rsid w:val="3C97441D"/>
    <w:rsid w:val="3C9A5CBB"/>
    <w:rsid w:val="3C9E1C4F"/>
    <w:rsid w:val="3CAA05F4"/>
    <w:rsid w:val="3CBC20D5"/>
    <w:rsid w:val="3CD92C87"/>
    <w:rsid w:val="3CF74EBC"/>
    <w:rsid w:val="3D08531B"/>
    <w:rsid w:val="3D406863"/>
    <w:rsid w:val="3D734E8A"/>
    <w:rsid w:val="3D7B3D3F"/>
    <w:rsid w:val="3D820C29"/>
    <w:rsid w:val="3DA46DF1"/>
    <w:rsid w:val="3DB04678"/>
    <w:rsid w:val="3DB1150E"/>
    <w:rsid w:val="3DCC00F6"/>
    <w:rsid w:val="3DCE20C0"/>
    <w:rsid w:val="3DD0408A"/>
    <w:rsid w:val="3DDF42CD"/>
    <w:rsid w:val="3DFA5B6B"/>
    <w:rsid w:val="3E1D6BA4"/>
    <w:rsid w:val="3E5E6064"/>
    <w:rsid w:val="3E630A5B"/>
    <w:rsid w:val="3E66477A"/>
    <w:rsid w:val="3E6E11AD"/>
    <w:rsid w:val="3E75078E"/>
    <w:rsid w:val="3E8F7AA2"/>
    <w:rsid w:val="3E907C2F"/>
    <w:rsid w:val="3E9230EE"/>
    <w:rsid w:val="3E9A2D1E"/>
    <w:rsid w:val="3EA11583"/>
    <w:rsid w:val="3EC3599D"/>
    <w:rsid w:val="3EC62D97"/>
    <w:rsid w:val="3F0B1947"/>
    <w:rsid w:val="3F122481"/>
    <w:rsid w:val="3F312907"/>
    <w:rsid w:val="3F3C12AC"/>
    <w:rsid w:val="3F424B14"/>
    <w:rsid w:val="3F4563B2"/>
    <w:rsid w:val="3F64745F"/>
    <w:rsid w:val="3F6F342F"/>
    <w:rsid w:val="3F710F55"/>
    <w:rsid w:val="3F8A2017"/>
    <w:rsid w:val="3F95226A"/>
    <w:rsid w:val="3FAE03FB"/>
    <w:rsid w:val="3FB84DD6"/>
    <w:rsid w:val="3FBC67A0"/>
    <w:rsid w:val="3FC1012F"/>
    <w:rsid w:val="3FC76DC7"/>
    <w:rsid w:val="3FCB542C"/>
    <w:rsid w:val="402661E4"/>
    <w:rsid w:val="4032514F"/>
    <w:rsid w:val="40752CC7"/>
    <w:rsid w:val="40754B01"/>
    <w:rsid w:val="408178BE"/>
    <w:rsid w:val="40970E8F"/>
    <w:rsid w:val="40984CB3"/>
    <w:rsid w:val="40C15F0C"/>
    <w:rsid w:val="40C317AF"/>
    <w:rsid w:val="40E51BFB"/>
    <w:rsid w:val="410C362B"/>
    <w:rsid w:val="4110479E"/>
    <w:rsid w:val="41597EF3"/>
    <w:rsid w:val="4162324B"/>
    <w:rsid w:val="41764F49"/>
    <w:rsid w:val="418036D2"/>
    <w:rsid w:val="41A75102"/>
    <w:rsid w:val="41B96BE3"/>
    <w:rsid w:val="41BB0BAE"/>
    <w:rsid w:val="41BF1CE1"/>
    <w:rsid w:val="41FA16D6"/>
    <w:rsid w:val="421D53C4"/>
    <w:rsid w:val="423F17DF"/>
    <w:rsid w:val="42471DE8"/>
    <w:rsid w:val="42552B27"/>
    <w:rsid w:val="427F607F"/>
    <w:rsid w:val="42832050"/>
    <w:rsid w:val="429E4757"/>
    <w:rsid w:val="42BF46CD"/>
    <w:rsid w:val="42C577F2"/>
    <w:rsid w:val="42D31F27"/>
    <w:rsid w:val="42DE2DA6"/>
    <w:rsid w:val="42E3216A"/>
    <w:rsid w:val="43030A5E"/>
    <w:rsid w:val="43082945"/>
    <w:rsid w:val="432602A9"/>
    <w:rsid w:val="432804C5"/>
    <w:rsid w:val="4335673E"/>
    <w:rsid w:val="433C7ACC"/>
    <w:rsid w:val="435B43F6"/>
    <w:rsid w:val="436332AB"/>
    <w:rsid w:val="436D5ED7"/>
    <w:rsid w:val="43761230"/>
    <w:rsid w:val="4379487C"/>
    <w:rsid w:val="438356FB"/>
    <w:rsid w:val="438A0837"/>
    <w:rsid w:val="438D0328"/>
    <w:rsid w:val="438D0832"/>
    <w:rsid w:val="438F5E4E"/>
    <w:rsid w:val="43C006FD"/>
    <w:rsid w:val="43D9531B"/>
    <w:rsid w:val="43E73EDC"/>
    <w:rsid w:val="43EF2DB5"/>
    <w:rsid w:val="44103433"/>
    <w:rsid w:val="442E38B9"/>
    <w:rsid w:val="4439400C"/>
    <w:rsid w:val="444E1AA8"/>
    <w:rsid w:val="44771BEB"/>
    <w:rsid w:val="447D65EE"/>
    <w:rsid w:val="44823C05"/>
    <w:rsid w:val="44E81CBA"/>
    <w:rsid w:val="44F763A1"/>
    <w:rsid w:val="4514485C"/>
    <w:rsid w:val="453942C3"/>
    <w:rsid w:val="45486BFC"/>
    <w:rsid w:val="45813EBC"/>
    <w:rsid w:val="45A02594"/>
    <w:rsid w:val="45AD4CB1"/>
    <w:rsid w:val="45BE4365"/>
    <w:rsid w:val="45C02773"/>
    <w:rsid w:val="45E85CE9"/>
    <w:rsid w:val="45F40831"/>
    <w:rsid w:val="45FE550D"/>
    <w:rsid w:val="460744D3"/>
    <w:rsid w:val="46234F92"/>
    <w:rsid w:val="464452D1"/>
    <w:rsid w:val="46476EB4"/>
    <w:rsid w:val="46674E60"/>
    <w:rsid w:val="467557CF"/>
    <w:rsid w:val="46761EFF"/>
    <w:rsid w:val="468040D5"/>
    <w:rsid w:val="468C48C7"/>
    <w:rsid w:val="469A3487"/>
    <w:rsid w:val="469D2F78"/>
    <w:rsid w:val="46BA58D8"/>
    <w:rsid w:val="46BC33FE"/>
    <w:rsid w:val="46C6427C"/>
    <w:rsid w:val="46CE13F4"/>
    <w:rsid w:val="46EE10DD"/>
    <w:rsid w:val="471F5124"/>
    <w:rsid w:val="47290367"/>
    <w:rsid w:val="47343960"/>
    <w:rsid w:val="47513FE0"/>
    <w:rsid w:val="475F7374"/>
    <w:rsid w:val="477041E8"/>
    <w:rsid w:val="478A5118"/>
    <w:rsid w:val="47953C4F"/>
    <w:rsid w:val="47A143A2"/>
    <w:rsid w:val="47AA76FA"/>
    <w:rsid w:val="47B71E17"/>
    <w:rsid w:val="47BC742D"/>
    <w:rsid w:val="47CD163B"/>
    <w:rsid w:val="47D209FF"/>
    <w:rsid w:val="47D3233B"/>
    <w:rsid w:val="47D326A6"/>
    <w:rsid w:val="47D429C9"/>
    <w:rsid w:val="47EC7D13"/>
    <w:rsid w:val="480A0199"/>
    <w:rsid w:val="480C01AC"/>
    <w:rsid w:val="480D3502"/>
    <w:rsid w:val="4828061F"/>
    <w:rsid w:val="48445148"/>
    <w:rsid w:val="48482A6F"/>
    <w:rsid w:val="48517B76"/>
    <w:rsid w:val="486C0E54"/>
    <w:rsid w:val="486F26F2"/>
    <w:rsid w:val="487E46E3"/>
    <w:rsid w:val="488C6E00"/>
    <w:rsid w:val="489857A5"/>
    <w:rsid w:val="489B7043"/>
    <w:rsid w:val="48A038BC"/>
    <w:rsid w:val="48A04659"/>
    <w:rsid w:val="48CA7928"/>
    <w:rsid w:val="48CC36A0"/>
    <w:rsid w:val="48DC349C"/>
    <w:rsid w:val="48DD3AFF"/>
    <w:rsid w:val="48E409EA"/>
    <w:rsid w:val="48E46C3C"/>
    <w:rsid w:val="48E94697"/>
    <w:rsid w:val="48EC5AF0"/>
    <w:rsid w:val="490B241B"/>
    <w:rsid w:val="49107A31"/>
    <w:rsid w:val="49296D45"/>
    <w:rsid w:val="49396F88"/>
    <w:rsid w:val="493C0826"/>
    <w:rsid w:val="496975B7"/>
    <w:rsid w:val="4989333F"/>
    <w:rsid w:val="498B70B7"/>
    <w:rsid w:val="499A1FD3"/>
    <w:rsid w:val="49A34401"/>
    <w:rsid w:val="49B77EAC"/>
    <w:rsid w:val="49C5081B"/>
    <w:rsid w:val="49F66C27"/>
    <w:rsid w:val="49F90724"/>
    <w:rsid w:val="4A062BE2"/>
    <w:rsid w:val="4A2117CA"/>
    <w:rsid w:val="4A256A5C"/>
    <w:rsid w:val="4A3208CB"/>
    <w:rsid w:val="4A331C29"/>
    <w:rsid w:val="4A631DE2"/>
    <w:rsid w:val="4A677B24"/>
    <w:rsid w:val="4A6E2C61"/>
    <w:rsid w:val="4A712751"/>
    <w:rsid w:val="4A7130C1"/>
    <w:rsid w:val="4A715109"/>
    <w:rsid w:val="4A78588E"/>
    <w:rsid w:val="4A881849"/>
    <w:rsid w:val="4A981A8C"/>
    <w:rsid w:val="4A987CDE"/>
    <w:rsid w:val="4AA743C5"/>
    <w:rsid w:val="4AB368C6"/>
    <w:rsid w:val="4AD8632C"/>
    <w:rsid w:val="4AE178D7"/>
    <w:rsid w:val="4AE22DF0"/>
    <w:rsid w:val="4AE7656F"/>
    <w:rsid w:val="4AE922E8"/>
    <w:rsid w:val="4AF22B34"/>
    <w:rsid w:val="4B046663"/>
    <w:rsid w:val="4B0C247A"/>
    <w:rsid w:val="4B3043BA"/>
    <w:rsid w:val="4B3A2B43"/>
    <w:rsid w:val="4B53202F"/>
    <w:rsid w:val="4B5D6832"/>
    <w:rsid w:val="4B683B54"/>
    <w:rsid w:val="4B920BD1"/>
    <w:rsid w:val="4BC15012"/>
    <w:rsid w:val="4BCC6C97"/>
    <w:rsid w:val="4BDE719C"/>
    <w:rsid w:val="4BE17463"/>
    <w:rsid w:val="4BF70A34"/>
    <w:rsid w:val="4C0575F5"/>
    <w:rsid w:val="4C0A69B9"/>
    <w:rsid w:val="4C0D64AA"/>
    <w:rsid w:val="4C324162"/>
    <w:rsid w:val="4C3F26D9"/>
    <w:rsid w:val="4C6562E6"/>
    <w:rsid w:val="4C667968"/>
    <w:rsid w:val="4C6A56AA"/>
    <w:rsid w:val="4C982217"/>
    <w:rsid w:val="4CA23096"/>
    <w:rsid w:val="4CA6108C"/>
    <w:rsid w:val="4CAC181F"/>
    <w:rsid w:val="4CBB4158"/>
    <w:rsid w:val="4CCE3E8B"/>
    <w:rsid w:val="4CEE62DB"/>
    <w:rsid w:val="4CF45A8F"/>
    <w:rsid w:val="4CF66F3E"/>
    <w:rsid w:val="4CFD651E"/>
    <w:rsid w:val="4D1D44CA"/>
    <w:rsid w:val="4D3160FC"/>
    <w:rsid w:val="4D365861"/>
    <w:rsid w:val="4D563DEB"/>
    <w:rsid w:val="4D78603B"/>
    <w:rsid w:val="4DA1334D"/>
    <w:rsid w:val="4DA846DC"/>
    <w:rsid w:val="4DA851A0"/>
    <w:rsid w:val="4DA92202"/>
    <w:rsid w:val="4DAB1AD6"/>
    <w:rsid w:val="4DAB7D28"/>
    <w:rsid w:val="4DB841F3"/>
    <w:rsid w:val="4DD3727F"/>
    <w:rsid w:val="4E0B07C7"/>
    <w:rsid w:val="4E3165C4"/>
    <w:rsid w:val="4E4837C9"/>
    <w:rsid w:val="4E571C5E"/>
    <w:rsid w:val="4E726A98"/>
    <w:rsid w:val="4E9904C8"/>
    <w:rsid w:val="4E9B1B4B"/>
    <w:rsid w:val="4EA330F5"/>
    <w:rsid w:val="4EAD5D22"/>
    <w:rsid w:val="4EBC7D13"/>
    <w:rsid w:val="4EC72940"/>
    <w:rsid w:val="4ED666E1"/>
    <w:rsid w:val="4F0644E0"/>
    <w:rsid w:val="4F18319B"/>
    <w:rsid w:val="4F19091B"/>
    <w:rsid w:val="4F31425D"/>
    <w:rsid w:val="4F3B1580"/>
    <w:rsid w:val="4F42290E"/>
    <w:rsid w:val="4F587A3C"/>
    <w:rsid w:val="4F6E54B1"/>
    <w:rsid w:val="4F7F321A"/>
    <w:rsid w:val="4F9F1B0F"/>
    <w:rsid w:val="4FA709C3"/>
    <w:rsid w:val="4FAB1E17"/>
    <w:rsid w:val="4FC63961"/>
    <w:rsid w:val="4FD317B8"/>
    <w:rsid w:val="4FD70497"/>
    <w:rsid w:val="4FE94B38"/>
    <w:rsid w:val="4FEE214E"/>
    <w:rsid w:val="4FF5172F"/>
    <w:rsid w:val="500C09F5"/>
    <w:rsid w:val="50250266"/>
    <w:rsid w:val="502E69EF"/>
    <w:rsid w:val="504F7091"/>
    <w:rsid w:val="505814EA"/>
    <w:rsid w:val="505F4549"/>
    <w:rsid w:val="50615016"/>
    <w:rsid w:val="5066262C"/>
    <w:rsid w:val="5075461D"/>
    <w:rsid w:val="509C1CEE"/>
    <w:rsid w:val="50B52C6C"/>
    <w:rsid w:val="50C07F8E"/>
    <w:rsid w:val="50C76315"/>
    <w:rsid w:val="50C926E6"/>
    <w:rsid w:val="50CA4969"/>
    <w:rsid w:val="50F9524E"/>
    <w:rsid w:val="5100038B"/>
    <w:rsid w:val="51045DB0"/>
    <w:rsid w:val="510936E3"/>
    <w:rsid w:val="511907B4"/>
    <w:rsid w:val="513149E8"/>
    <w:rsid w:val="514E10F6"/>
    <w:rsid w:val="51791EEB"/>
    <w:rsid w:val="519311FF"/>
    <w:rsid w:val="51B97834"/>
    <w:rsid w:val="52350508"/>
    <w:rsid w:val="52412A09"/>
    <w:rsid w:val="52554706"/>
    <w:rsid w:val="52645829"/>
    <w:rsid w:val="527B72D6"/>
    <w:rsid w:val="528B637A"/>
    <w:rsid w:val="528D1E9B"/>
    <w:rsid w:val="5294522F"/>
    <w:rsid w:val="529E7E5B"/>
    <w:rsid w:val="52A86F2C"/>
    <w:rsid w:val="52D03D8D"/>
    <w:rsid w:val="52F514E3"/>
    <w:rsid w:val="52F83A10"/>
    <w:rsid w:val="52F97788"/>
    <w:rsid w:val="53000B16"/>
    <w:rsid w:val="530D4FE1"/>
    <w:rsid w:val="53204D14"/>
    <w:rsid w:val="532A71F9"/>
    <w:rsid w:val="536E5A80"/>
    <w:rsid w:val="537961D3"/>
    <w:rsid w:val="537A08C9"/>
    <w:rsid w:val="537D3F15"/>
    <w:rsid w:val="538C23AA"/>
    <w:rsid w:val="53B84F4D"/>
    <w:rsid w:val="53CC6C4A"/>
    <w:rsid w:val="53DF697E"/>
    <w:rsid w:val="53E05781"/>
    <w:rsid w:val="53FC24E5"/>
    <w:rsid w:val="540B7773"/>
    <w:rsid w:val="541511FA"/>
    <w:rsid w:val="541C54DC"/>
    <w:rsid w:val="5429409D"/>
    <w:rsid w:val="542B571F"/>
    <w:rsid w:val="542D1F28"/>
    <w:rsid w:val="542E16B3"/>
    <w:rsid w:val="542E4D92"/>
    <w:rsid w:val="542E520F"/>
    <w:rsid w:val="54332825"/>
    <w:rsid w:val="5438608E"/>
    <w:rsid w:val="544E58B1"/>
    <w:rsid w:val="54624EB9"/>
    <w:rsid w:val="547C241E"/>
    <w:rsid w:val="54907C78"/>
    <w:rsid w:val="54A11E85"/>
    <w:rsid w:val="54AF6350"/>
    <w:rsid w:val="54B576DE"/>
    <w:rsid w:val="54B962CC"/>
    <w:rsid w:val="54DA0EF3"/>
    <w:rsid w:val="54E029AD"/>
    <w:rsid w:val="54E0792E"/>
    <w:rsid w:val="54ED0C26"/>
    <w:rsid w:val="54FC3DE1"/>
    <w:rsid w:val="552C446C"/>
    <w:rsid w:val="55320D2F"/>
    <w:rsid w:val="55344AA7"/>
    <w:rsid w:val="55452810"/>
    <w:rsid w:val="55564A1D"/>
    <w:rsid w:val="555D5DAC"/>
    <w:rsid w:val="55630EE8"/>
    <w:rsid w:val="55AC6D33"/>
    <w:rsid w:val="55AD03B6"/>
    <w:rsid w:val="55B913DC"/>
    <w:rsid w:val="55C45E2B"/>
    <w:rsid w:val="55DD04A5"/>
    <w:rsid w:val="55E97640"/>
    <w:rsid w:val="55ED542A"/>
    <w:rsid w:val="56002BDB"/>
    <w:rsid w:val="56026953"/>
    <w:rsid w:val="56073F6A"/>
    <w:rsid w:val="561346BC"/>
    <w:rsid w:val="56466840"/>
    <w:rsid w:val="566029D6"/>
    <w:rsid w:val="56890E23"/>
    <w:rsid w:val="569665D4"/>
    <w:rsid w:val="56C1742A"/>
    <w:rsid w:val="56C53971"/>
    <w:rsid w:val="56D025AE"/>
    <w:rsid w:val="56D4209E"/>
    <w:rsid w:val="56D93B58"/>
    <w:rsid w:val="56EB388B"/>
    <w:rsid w:val="56F978F7"/>
    <w:rsid w:val="572C7ECD"/>
    <w:rsid w:val="57340D8E"/>
    <w:rsid w:val="57727B09"/>
    <w:rsid w:val="578B0FE6"/>
    <w:rsid w:val="578D2546"/>
    <w:rsid w:val="57A04676"/>
    <w:rsid w:val="57C57C38"/>
    <w:rsid w:val="57EC78BB"/>
    <w:rsid w:val="583757D3"/>
    <w:rsid w:val="583835A7"/>
    <w:rsid w:val="583B614D"/>
    <w:rsid w:val="5842572D"/>
    <w:rsid w:val="58450D79"/>
    <w:rsid w:val="58466FCB"/>
    <w:rsid w:val="585704E2"/>
    <w:rsid w:val="5881386E"/>
    <w:rsid w:val="58965F14"/>
    <w:rsid w:val="58B303D9"/>
    <w:rsid w:val="58BB2198"/>
    <w:rsid w:val="58C3061C"/>
    <w:rsid w:val="58DA2785"/>
    <w:rsid w:val="58E7018E"/>
    <w:rsid w:val="58F21EBB"/>
    <w:rsid w:val="590B1FC3"/>
    <w:rsid w:val="590B5B1F"/>
    <w:rsid w:val="59140BF0"/>
    <w:rsid w:val="59145684"/>
    <w:rsid w:val="591C41D0"/>
    <w:rsid w:val="592D1F39"/>
    <w:rsid w:val="592E25D7"/>
    <w:rsid w:val="59462FFB"/>
    <w:rsid w:val="59554FEC"/>
    <w:rsid w:val="59701E26"/>
    <w:rsid w:val="59771406"/>
    <w:rsid w:val="598A113A"/>
    <w:rsid w:val="59981AA8"/>
    <w:rsid w:val="59C81C62"/>
    <w:rsid w:val="59D24F4B"/>
    <w:rsid w:val="59E44CEE"/>
    <w:rsid w:val="5A094754"/>
    <w:rsid w:val="5A0C7DA1"/>
    <w:rsid w:val="5A19426B"/>
    <w:rsid w:val="5A3D1A35"/>
    <w:rsid w:val="5A4E660B"/>
    <w:rsid w:val="5A5A108A"/>
    <w:rsid w:val="5A5A6D5E"/>
    <w:rsid w:val="5A8738CB"/>
    <w:rsid w:val="5AA869E1"/>
    <w:rsid w:val="5AAB580B"/>
    <w:rsid w:val="5ADA39FB"/>
    <w:rsid w:val="5ADF54B5"/>
    <w:rsid w:val="5AFC1BC3"/>
    <w:rsid w:val="5B1909C7"/>
    <w:rsid w:val="5B2630E4"/>
    <w:rsid w:val="5B4B2B4A"/>
    <w:rsid w:val="5B61236E"/>
    <w:rsid w:val="5B834092"/>
    <w:rsid w:val="5BB95D06"/>
    <w:rsid w:val="5BD3501A"/>
    <w:rsid w:val="5BDE39BF"/>
    <w:rsid w:val="5C007491"/>
    <w:rsid w:val="5C076A71"/>
    <w:rsid w:val="5C0A47B4"/>
    <w:rsid w:val="5C0C052C"/>
    <w:rsid w:val="5C1318BA"/>
    <w:rsid w:val="5C2712C9"/>
    <w:rsid w:val="5C467332"/>
    <w:rsid w:val="5C4C26D6"/>
    <w:rsid w:val="5C60665C"/>
    <w:rsid w:val="5C694B67"/>
    <w:rsid w:val="5C6D7CB4"/>
    <w:rsid w:val="5C86208C"/>
    <w:rsid w:val="5C93062A"/>
    <w:rsid w:val="5C966047"/>
    <w:rsid w:val="5C974299"/>
    <w:rsid w:val="5C983C7A"/>
    <w:rsid w:val="5CA2679A"/>
    <w:rsid w:val="5CA72002"/>
    <w:rsid w:val="5CB032BF"/>
    <w:rsid w:val="5CD31049"/>
    <w:rsid w:val="5CFC40FC"/>
    <w:rsid w:val="5CFF708F"/>
    <w:rsid w:val="5D011713"/>
    <w:rsid w:val="5D0B07E3"/>
    <w:rsid w:val="5D276C9F"/>
    <w:rsid w:val="5D2D2508"/>
    <w:rsid w:val="5D3E4715"/>
    <w:rsid w:val="5D4B6E32"/>
    <w:rsid w:val="5D5A7075"/>
    <w:rsid w:val="5D8A795A"/>
    <w:rsid w:val="5D995DEF"/>
    <w:rsid w:val="5DBA7B13"/>
    <w:rsid w:val="5DC50992"/>
    <w:rsid w:val="5DCA244C"/>
    <w:rsid w:val="5DD76917"/>
    <w:rsid w:val="5DDC5CDC"/>
    <w:rsid w:val="5DEF3C61"/>
    <w:rsid w:val="5E125583"/>
    <w:rsid w:val="5E5D6E1D"/>
    <w:rsid w:val="5E744166"/>
    <w:rsid w:val="5E79177D"/>
    <w:rsid w:val="5E8C14B0"/>
    <w:rsid w:val="5EA54320"/>
    <w:rsid w:val="5EB30DAD"/>
    <w:rsid w:val="5EDF7832"/>
    <w:rsid w:val="5F245B8C"/>
    <w:rsid w:val="5F2636B2"/>
    <w:rsid w:val="5F2913F5"/>
    <w:rsid w:val="5F426012"/>
    <w:rsid w:val="5F473629"/>
    <w:rsid w:val="5F4E6765"/>
    <w:rsid w:val="5F6441DB"/>
    <w:rsid w:val="5F9E593F"/>
    <w:rsid w:val="5FA34D03"/>
    <w:rsid w:val="5FA80816"/>
    <w:rsid w:val="5FB40CBE"/>
    <w:rsid w:val="5FB94EA3"/>
    <w:rsid w:val="5FC171F3"/>
    <w:rsid w:val="5FE377F5"/>
    <w:rsid w:val="600532C8"/>
    <w:rsid w:val="60121E89"/>
    <w:rsid w:val="60535460"/>
    <w:rsid w:val="605C4EB2"/>
    <w:rsid w:val="60623AEF"/>
    <w:rsid w:val="60634492"/>
    <w:rsid w:val="606623D2"/>
    <w:rsid w:val="608179E4"/>
    <w:rsid w:val="60854409"/>
    <w:rsid w:val="60917251"/>
    <w:rsid w:val="60A52CFD"/>
    <w:rsid w:val="60B44CEE"/>
    <w:rsid w:val="60BD1DF5"/>
    <w:rsid w:val="60C211B9"/>
    <w:rsid w:val="60DF5DD5"/>
    <w:rsid w:val="60E76E71"/>
    <w:rsid w:val="60EC4488"/>
    <w:rsid w:val="60FB291D"/>
    <w:rsid w:val="6109328C"/>
    <w:rsid w:val="610E24C0"/>
    <w:rsid w:val="61113EEE"/>
    <w:rsid w:val="612C2AD6"/>
    <w:rsid w:val="61355E2F"/>
    <w:rsid w:val="61534507"/>
    <w:rsid w:val="617050B9"/>
    <w:rsid w:val="617635DD"/>
    <w:rsid w:val="617E77D6"/>
    <w:rsid w:val="61915DCF"/>
    <w:rsid w:val="61E11B13"/>
    <w:rsid w:val="62015D11"/>
    <w:rsid w:val="621A5025"/>
    <w:rsid w:val="621B0FA1"/>
    <w:rsid w:val="62214605"/>
    <w:rsid w:val="6234671C"/>
    <w:rsid w:val="624520A2"/>
    <w:rsid w:val="62614A02"/>
    <w:rsid w:val="62832BCA"/>
    <w:rsid w:val="62A212A2"/>
    <w:rsid w:val="62A274F4"/>
    <w:rsid w:val="62BB2332"/>
    <w:rsid w:val="62CE02E9"/>
    <w:rsid w:val="6308067C"/>
    <w:rsid w:val="63151C0C"/>
    <w:rsid w:val="63185A08"/>
    <w:rsid w:val="631D6B7A"/>
    <w:rsid w:val="631E25CB"/>
    <w:rsid w:val="632048BD"/>
    <w:rsid w:val="63416D0D"/>
    <w:rsid w:val="634467FD"/>
    <w:rsid w:val="634849F1"/>
    <w:rsid w:val="634A36E8"/>
    <w:rsid w:val="6384309D"/>
    <w:rsid w:val="639B000C"/>
    <w:rsid w:val="63A728E8"/>
    <w:rsid w:val="63B16153"/>
    <w:rsid w:val="63B75221"/>
    <w:rsid w:val="63BF7C32"/>
    <w:rsid w:val="63CC234F"/>
    <w:rsid w:val="63EB6C79"/>
    <w:rsid w:val="63F21DB5"/>
    <w:rsid w:val="63FD075A"/>
    <w:rsid w:val="64122457"/>
    <w:rsid w:val="64137F7D"/>
    <w:rsid w:val="644C0B81"/>
    <w:rsid w:val="64616F3B"/>
    <w:rsid w:val="646C1FB9"/>
    <w:rsid w:val="646D1D84"/>
    <w:rsid w:val="649317EA"/>
    <w:rsid w:val="64A15589"/>
    <w:rsid w:val="64C01EB3"/>
    <w:rsid w:val="64D23995"/>
    <w:rsid w:val="64D56443"/>
    <w:rsid w:val="64D74811"/>
    <w:rsid w:val="64E30385"/>
    <w:rsid w:val="64F06DCB"/>
    <w:rsid w:val="64F32289"/>
    <w:rsid w:val="64FD4EB5"/>
    <w:rsid w:val="65047FB7"/>
    <w:rsid w:val="6507117F"/>
    <w:rsid w:val="651915C4"/>
    <w:rsid w:val="65402FF4"/>
    <w:rsid w:val="654C7BEB"/>
    <w:rsid w:val="65576420"/>
    <w:rsid w:val="656F7435"/>
    <w:rsid w:val="65744A4C"/>
    <w:rsid w:val="6575307D"/>
    <w:rsid w:val="657A4758"/>
    <w:rsid w:val="657D1B52"/>
    <w:rsid w:val="65907D18"/>
    <w:rsid w:val="65A57E00"/>
    <w:rsid w:val="65AB2B63"/>
    <w:rsid w:val="65CB0B10"/>
    <w:rsid w:val="65D33E68"/>
    <w:rsid w:val="65D605FA"/>
    <w:rsid w:val="65E01616"/>
    <w:rsid w:val="65ED6CD8"/>
    <w:rsid w:val="65FC1EA7"/>
    <w:rsid w:val="66391F1D"/>
    <w:rsid w:val="665A00E6"/>
    <w:rsid w:val="668B029F"/>
    <w:rsid w:val="66BA48B6"/>
    <w:rsid w:val="66CA526B"/>
    <w:rsid w:val="66CB4B3F"/>
    <w:rsid w:val="66E55C01"/>
    <w:rsid w:val="66F95B50"/>
    <w:rsid w:val="670A38BA"/>
    <w:rsid w:val="672229B1"/>
    <w:rsid w:val="6739034F"/>
    <w:rsid w:val="675114E9"/>
    <w:rsid w:val="67527824"/>
    <w:rsid w:val="675608AD"/>
    <w:rsid w:val="6773320D"/>
    <w:rsid w:val="677D0530"/>
    <w:rsid w:val="67896ED4"/>
    <w:rsid w:val="67951C76"/>
    <w:rsid w:val="67BA708E"/>
    <w:rsid w:val="67CE2B39"/>
    <w:rsid w:val="68280030"/>
    <w:rsid w:val="6828049B"/>
    <w:rsid w:val="68354966"/>
    <w:rsid w:val="684B418A"/>
    <w:rsid w:val="685172DA"/>
    <w:rsid w:val="68544392"/>
    <w:rsid w:val="6865349E"/>
    <w:rsid w:val="686B27C8"/>
    <w:rsid w:val="68757459"/>
    <w:rsid w:val="687E630D"/>
    <w:rsid w:val="68953657"/>
    <w:rsid w:val="68B45EA0"/>
    <w:rsid w:val="68D0468F"/>
    <w:rsid w:val="690507DD"/>
    <w:rsid w:val="69117181"/>
    <w:rsid w:val="691B0000"/>
    <w:rsid w:val="692A1FF1"/>
    <w:rsid w:val="6930632B"/>
    <w:rsid w:val="694110E9"/>
    <w:rsid w:val="694766FF"/>
    <w:rsid w:val="698F00A6"/>
    <w:rsid w:val="69B67D29"/>
    <w:rsid w:val="69E2467A"/>
    <w:rsid w:val="69E35CE1"/>
    <w:rsid w:val="69EE301F"/>
    <w:rsid w:val="6A072332"/>
    <w:rsid w:val="6A107439"/>
    <w:rsid w:val="6A1A02B8"/>
    <w:rsid w:val="6A21549A"/>
    <w:rsid w:val="6A7379C8"/>
    <w:rsid w:val="6A8A71EB"/>
    <w:rsid w:val="6A9E67F3"/>
    <w:rsid w:val="6AA162E3"/>
    <w:rsid w:val="6ABC4ECB"/>
    <w:rsid w:val="6ADC731B"/>
    <w:rsid w:val="6AE52674"/>
    <w:rsid w:val="6AEA5EDC"/>
    <w:rsid w:val="6AFF0859"/>
    <w:rsid w:val="6B0F5943"/>
    <w:rsid w:val="6B1271E1"/>
    <w:rsid w:val="6B192617"/>
    <w:rsid w:val="6B347157"/>
    <w:rsid w:val="6B4C26F3"/>
    <w:rsid w:val="6B52582F"/>
    <w:rsid w:val="6B621F16"/>
    <w:rsid w:val="6BC24763"/>
    <w:rsid w:val="6BDB0067"/>
    <w:rsid w:val="6C022DB1"/>
    <w:rsid w:val="6C186A79"/>
    <w:rsid w:val="6C1D2B12"/>
    <w:rsid w:val="6C285D92"/>
    <w:rsid w:val="6C2E3BA6"/>
    <w:rsid w:val="6C376EFF"/>
    <w:rsid w:val="6C5F0204"/>
    <w:rsid w:val="6C755C79"/>
    <w:rsid w:val="6C81461E"/>
    <w:rsid w:val="6C8B724B"/>
    <w:rsid w:val="6C9F2CF6"/>
    <w:rsid w:val="6CA34594"/>
    <w:rsid w:val="6CB73B9C"/>
    <w:rsid w:val="6CBC11B2"/>
    <w:rsid w:val="6CBF0CA2"/>
    <w:rsid w:val="6CC4565B"/>
    <w:rsid w:val="6CD96208"/>
    <w:rsid w:val="6CDA3D2E"/>
    <w:rsid w:val="6CF7043C"/>
    <w:rsid w:val="6CF90658"/>
    <w:rsid w:val="6D036DE1"/>
    <w:rsid w:val="6D21370B"/>
    <w:rsid w:val="6D2E4A89"/>
    <w:rsid w:val="6D464F20"/>
    <w:rsid w:val="6D4A0EB4"/>
    <w:rsid w:val="6D4F0278"/>
    <w:rsid w:val="6D7E5723"/>
    <w:rsid w:val="6DC5053A"/>
    <w:rsid w:val="6DC742B3"/>
    <w:rsid w:val="6DCE20F9"/>
    <w:rsid w:val="6DD27BEC"/>
    <w:rsid w:val="6DD662A4"/>
    <w:rsid w:val="6DDB5FB0"/>
    <w:rsid w:val="6DDD7632"/>
    <w:rsid w:val="6DED1D5D"/>
    <w:rsid w:val="6DF332FA"/>
    <w:rsid w:val="6DF511F0"/>
    <w:rsid w:val="6DFA3304"/>
    <w:rsid w:val="6DFB5D0A"/>
    <w:rsid w:val="6E0077C5"/>
    <w:rsid w:val="6E0E1EE1"/>
    <w:rsid w:val="6E0E3C8F"/>
    <w:rsid w:val="6E1D4EA6"/>
    <w:rsid w:val="6E2E4332"/>
    <w:rsid w:val="6E453429"/>
    <w:rsid w:val="6E470F4F"/>
    <w:rsid w:val="6E4E22DE"/>
    <w:rsid w:val="6E5F036F"/>
    <w:rsid w:val="6E7361E8"/>
    <w:rsid w:val="6E810905"/>
    <w:rsid w:val="6E895A0C"/>
    <w:rsid w:val="6E975FB1"/>
    <w:rsid w:val="6EA42846"/>
    <w:rsid w:val="6EA97E5C"/>
    <w:rsid w:val="6EB14883"/>
    <w:rsid w:val="6EB83BFB"/>
    <w:rsid w:val="6ED547AD"/>
    <w:rsid w:val="6EDC0D74"/>
    <w:rsid w:val="6EF235B1"/>
    <w:rsid w:val="6F0230C8"/>
    <w:rsid w:val="6F07458E"/>
    <w:rsid w:val="6F0F4163"/>
    <w:rsid w:val="6F101C89"/>
    <w:rsid w:val="6F1E43A6"/>
    <w:rsid w:val="6F285225"/>
    <w:rsid w:val="6F616041"/>
    <w:rsid w:val="6F653D83"/>
    <w:rsid w:val="6F7A7850"/>
    <w:rsid w:val="6F912DCA"/>
    <w:rsid w:val="6F9C351D"/>
    <w:rsid w:val="6F9D176F"/>
    <w:rsid w:val="6F9E1043"/>
    <w:rsid w:val="6FA06B69"/>
    <w:rsid w:val="6FAC7C04"/>
    <w:rsid w:val="6FB652BF"/>
    <w:rsid w:val="6FD40F09"/>
    <w:rsid w:val="6FFF2F39"/>
    <w:rsid w:val="702A28D7"/>
    <w:rsid w:val="70553DF8"/>
    <w:rsid w:val="705636CC"/>
    <w:rsid w:val="706F133A"/>
    <w:rsid w:val="70756248"/>
    <w:rsid w:val="7076611F"/>
    <w:rsid w:val="70AE52B6"/>
    <w:rsid w:val="70B36D70"/>
    <w:rsid w:val="70BA3C5B"/>
    <w:rsid w:val="70BD374B"/>
    <w:rsid w:val="70E138DD"/>
    <w:rsid w:val="70E70404"/>
    <w:rsid w:val="70FF1FB5"/>
    <w:rsid w:val="712D267F"/>
    <w:rsid w:val="713F23B2"/>
    <w:rsid w:val="71442403"/>
    <w:rsid w:val="71463740"/>
    <w:rsid w:val="715A0618"/>
    <w:rsid w:val="718129CA"/>
    <w:rsid w:val="71881FAB"/>
    <w:rsid w:val="71C1726B"/>
    <w:rsid w:val="71CB1E97"/>
    <w:rsid w:val="71DE7E1D"/>
    <w:rsid w:val="71F66F14"/>
    <w:rsid w:val="72086C48"/>
    <w:rsid w:val="72111FA0"/>
    <w:rsid w:val="72135E5F"/>
    <w:rsid w:val="72220758"/>
    <w:rsid w:val="72275320"/>
    <w:rsid w:val="72367C59"/>
    <w:rsid w:val="72404633"/>
    <w:rsid w:val="72671BC0"/>
    <w:rsid w:val="726E73F3"/>
    <w:rsid w:val="72710C91"/>
    <w:rsid w:val="727B566C"/>
    <w:rsid w:val="728D7D7F"/>
    <w:rsid w:val="729329B5"/>
    <w:rsid w:val="72A746B3"/>
    <w:rsid w:val="72CB1475"/>
    <w:rsid w:val="72F316A6"/>
    <w:rsid w:val="72F773E8"/>
    <w:rsid w:val="731849B6"/>
    <w:rsid w:val="73243F55"/>
    <w:rsid w:val="733F2B3D"/>
    <w:rsid w:val="734F0FD2"/>
    <w:rsid w:val="738800E2"/>
    <w:rsid w:val="738B7B30"/>
    <w:rsid w:val="739E28D4"/>
    <w:rsid w:val="739F538A"/>
    <w:rsid w:val="73A40BF2"/>
    <w:rsid w:val="73D74B24"/>
    <w:rsid w:val="73E159A2"/>
    <w:rsid w:val="73E831D5"/>
    <w:rsid w:val="74051691"/>
    <w:rsid w:val="740C0C71"/>
    <w:rsid w:val="74177616"/>
    <w:rsid w:val="74367F1C"/>
    <w:rsid w:val="74394505"/>
    <w:rsid w:val="74551DCC"/>
    <w:rsid w:val="74600FBD"/>
    <w:rsid w:val="7460720F"/>
    <w:rsid w:val="74654825"/>
    <w:rsid w:val="74674E7F"/>
    <w:rsid w:val="746F2FAE"/>
    <w:rsid w:val="74A0585D"/>
    <w:rsid w:val="74C0380A"/>
    <w:rsid w:val="74D774D1"/>
    <w:rsid w:val="74E4574A"/>
    <w:rsid w:val="74EB6AD9"/>
    <w:rsid w:val="75064209"/>
    <w:rsid w:val="75134281"/>
    <w:rsid w:val="75391E29"/>
    <w:rsid w:val="75436915"/>
    <w:rsid w:val="754B7577"/>
    <w:rsid w:val="7553467E"/>
    <w:rsid w:val="7564688B"/>
    <w:rsid w:val="756E3266"/>
    <w:rsid w:val="75734D20"/>
    <w:rsid w:val="7573571D"/>
    <w:rsid w:val="757E5B9F"/>
    <w:rsid w:val="75A5137D"/>
    <w:rsid w:val="75BE243F"/>
    <w:rsid w:val="75D4756D"/>
    <w:rsid w:val="75DC14C2"/>
    <w:rsid w:val="75DF6994"/>
    <w:rsid w:val="75E17EDC"/>
    <w:rsid w:val="75FE283B"/>
    <w:rsid w:val="75FE45EA"/>
    <w:rsid w:val="7610431D"/>
    <w:rsid w:val="76123E95"/>
    <w:rsid w:val="763772F9"/>
    <w:rsid w:val="763D7808"/>
    <w:rsid w:val="76404C02"/>
    <w:rsid w:val="76432944"/>
    <w:rsid w:val="767147EA"/>
    <w:rsid w:val="76742AFE"/>
    <w:rsid w:val="76767703"/>
    <w:rsid w:val="76832D41"/>
    <w:rsid w:val="76E063E5"/>
    <w:rsid w:val="76F459ED"/>
    <w:rsid w:val="77106CCA"/>
    <w:rsid w:val="771F723E"/>
    <w:rsid w:val="7722255A"/>
    <w:rsid w:val="772A64E8"/>
    <w:rsid w:val="77366BE2"/>
    <w:rsid w:val="773A5758"/>
    <w:rsid w:val="77447530"/>
    <w:rsid w:val="7774408D"/>
    <w:rsid w:val="77B9763C"/>
    <w:rsid w:val="77C27899"/>
    <w:rsid w:val="77C47AB5"/>
    <w:rsid w:val="77D53A70"/>
    <w:rsid w:val="77D73344"/>
    <w:rsid w:val="77DE75C8"/>
    <w:rsid w:val="77E3447B"/>
    <w:rsid w:val="77EA6461"/>
    <w:rsid w:val="77EE068E"/>
    <w:rsid w:val="780305DD"/>
    <w:rsid w:val="78034139"/>
    <w:rsid w:val="780D4FB8"/>
    <w:rsid w:val="78141451"/>
    <w:rsid w:val="782162EC"/>
    <w:rsid w:val="784F643F"/>
    <w:rsid w:val="786C7F30"/>
    <w:rsid w:val="786F5C73"/>
    <w:rsid w:val="788A485A"/>
    <w:rsid w:val="78972AD3"/>
    <w:rsid w:val="78A376CA"/>
    <w:rsid w:val="78C935D5"/>
    <w:rsid w:val="78C95383"/>
    <w:rsid w:val="78CD4747"/>
    <w:rsid w:val="78EA52F9"/>
    <w:rsid w:val="79246F07"/>
    <w:rsid w:val="792C5912"/>
    <w:rsid w:val="79492020"/>
    <w:rsid w:val="79554E68"/>
    <w:rsid w:val="797D61E0"/>
    <w:rsid w:val="79B24069"/>
    <w:rsid w:val="79B31B8F"/>
    <w:rsid w:val="79BA116F"/>
    <w:rsid w:val="79C124FE"/>
    <w:rsid w:val="79DA35C0"/>
    <w:rsid w:val="79E93803"/>
    <w:rsid w:val="79F521A7"/>
    <w:rsid w:val="7A083C89"/>
    <w:rsid w:val="7A13262E"/>
    <w:rsid w:val="7A356A48"/>
    <w:rsid w:val="7A483543"/>
    <w:rsid w:val="7A613399"/>
    <w:rsid w:val="7A680BCB"/>
    <w:rsid w:val="7A6A04A0"/>
    <w:rsid w:val="7A6B47FD"/>
    <w:rsid w:val="7A7E03EF"/>
    <w:rsid w:val="7A835A05"/>
    <w:rsid w:val="7A8552D9"/>
    <w:rsid w:val="7A8A5863"/>
    <w:rsid w:val="7AB5598E"/>
    <w:rsid w:val="7AC322A6"/>
    <w:rsid w:val="7AC57DCC"/>
    <w:rsid w:val="7AC95B7E"/>
    <w:rsid w:val="7B094E98"/>
    <w:rsid w:val="7B0A57DF"/>
    <w:rsid w:val="7B196F7F"/>
    <w:rsid w:val="7B220D7A"/>
    <w:rsid w:val="7B2368A0"/>
    <w:rsid w:val="7B430CF1"/>
    <w:rsid w:val="7B537186"/>
    <w:rsid w:val="7B564EC8"/>
    <w:rsid w:val="7B5D0004"/>
    <w:rsid w:val="7B784E3E"/>
    <w:rsid w:val="7B786BEC"/>
    <w:rsid w:val="7B7C0D2F"/>
    <w:rsid w:val="7B7D2454"/>
    <w:rsid w:val="7B825CBD"/>
    <w:rsid w:val="7B8E4662"/>
    <w:rsid w:val="7B963516"/>
    <w:rsid w:val="7BA21EBB"/>
    <w:rsid w:val="7BC63DFB"/>
    <w:rsid w:val="7BDE7397"/>
    <w:rsid w:val="7BEF3694"/>
    <w:rsid w:val="7BFC0FB2"/>
    <w:rsid w:val="7BFF2E69"/>
    <w:rsid w:val="7C0466D2"/>
    <w:rsid w:val="7C0B7A60"/>
    <w:rsid w:val="7C0E7550"/>
    <w:rsid w:val="7C544A6F"/>
    <w:rsid w:val="7C5B5A59"/>
    <w:rsid w:val="7C6B49A3"/>
    <w:rsid w:val="7C72188D"/>
    <w:rsid w:val="7C977546"/>
    <w:rsid w:val="7C9A7F2E"/>
    <w:rsid w:val="7CC540B3"/>
    <w:rsid w:val="7CF112FA"/>
    <w:rsid w:val="7CF14EA8"/>
    <w:rsid w:val="7CFB7AD5"/>
    <w:rsid w:val="7D0E6639"/>
    <w:rsid w:val="7D1868D9"/>
    <w:rsid w:val="7D40373A"/>
    <w:rsid w:val="7D627B54"/>
    <w:rsid w:val="7D63567A"/>
    <w:rsid w:val="7D7B0C16"/>
    <w:rsid w:val="7DB452FD"/>
    <w:rsid w:val="7DBD303D"/>
    <w:rsid w:val="7DC74957"/>
    <w:rsid w:val="7DF05160"/>
    <w:rsid w:val="7DF12C86"/>
    <w:rsid w:val="7E2D7A48"/>
    <w:rsid w:val="7E2E7A36"/>
    <w:rsid w:val="7E370FE0"/>
    <w:rsid w:val="7E437985"/>
    <w:rsid w:val="7E667389"/>
    <w:rsid w:val="7E8458A8"/>
    <w:rsid w:val="7EA30424"/>
    <w:rsid w:val="7EA5419C"/>
    <w:rsid w:val="7EA73F2F"/>
    <w:rsid w:val="7EB443DF"/>
    <w:rsid w:val="7ED54355"/>
    <w:rsid w:val="7EE2719E"/>
    <w:rsid w:val="7EF835B7"/>
    <w:rsid w:val="7EFF7B93"/>
    <w:rsid w:val="7F264BB1"/>
    <w:rsid w:val="7F477001"/>
    <w:rsid w:val="7F621158"/>
    <w:rsid w:val="7F6D27E0"/>
    <w:rsid w:val="7F761695"/>
    <w:rsid w:val="7F8518D8"/>
    <w:rsid w:val="7F860339"/>
    <w:rsid w:val="7F990D04"/>
    <w:rsid w:val="7F9E3868"/>
    <w:rsid w:val="7FA51F7A"/>
    <w:rsid w:val="7FD85EAB"/>
    <w:rsid w:val="7FDF36DE"/>
    <w:rsid w:val="7FF25DF2"/>
    <w:rsid w:val="7FF76C79"/>
    <w:rsid w:val="7FFC429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360" w:lineRule="auto"/>
      <w:ind w:left="0" w:right="0" w:firstLine="400" w:firstLineChars="200"/>
      <w:jc w:val="both"/>
    </w:pPr>
    <w:rPr>
      <w:rFonts w:ascii="Times New Roman" w:hAnsi="Times New Roman" w:eastAsia="宋体" w:cs="宋体"/>
      <w:sz w:val="24"/>
      <w:szCs w:val="21"/>
      <w:lang w:val="zh-CN" w:eastAsia="zh-CN" w:bidi="zh-CN"/>
    </w:rPr>
  </w:style>
  <w:style w:type="paragraph" w:styleId="3">
    <w:name w:val="heading 1"/>
    <w:basedOn w:val="1"/>
    <w:next w:val="1"/>
    <w:link w:val="30"/>
    <w:qFormat/>
    <w:uiPriority w:val="1"/>
    <w:pPr>
      <w:spacing w:before="0" w:beforeAutospacing="0" w:after="0" w:afterAutospacing="0" w:line="240" w:lineRule="auto"/>
      <w:ind w:firstLine="0" w:firstLineChars="0"/>
      <w:jc w:val="center"/>
      <w:outlineLvl w:val="0"/>
    </w:pPr>
    <w:rPr>
      <w:rFonts w:hint="eastAsia" w:ascii="宋体" w:hAnsi="宋体" w:eastAsia="宋体" w:cs="宋体"/>
      <w:b/>
      <w:bCs/>
      <w:sz w:val="32"/>
      <w:szCs w:val="48"/>
      <w:lang w:val="en-US" w:bidi="ar"/>
    </w:rPr>
  </w:style>
  <w:style w:type="paragraph" w:styleId="4">
    <w:name w:val="heading 2"/>
    <w:basedOn w:val="1"/>
    <w:next w:val="1"/>
    <w:qFormat/>
    <w:uiPriority w:val="1"/>
    <w:pPr>
      <w:ind w:left="5"/>
      <w:outlineLvl w:val="2"/>
    </w:pPr>
    <w:rPr>
      <w:rFonts w:ascii="宋体" w:hAnsi="宋体" w:eastAsia="宋体" w:cs="宋体"/>
      <w:b/>
      <w:bCs/>
      <w:sz w:val="21"/>
      <w:szCs w:val="21"/>
      <w:lang w:val="zh-CN" w:eastAsia="zh-CN" w:bidi="zh-CN"/>
    </w:rPr>
  </w:style>
  <w:style w:type="paragraph" w:styleId="2">
    <w:name w:val="heading 4"/>
    <w:basedOn w:val="1"/>
    <w:next w:val="1"/>
    <w:unhideWhenUsed/>
    <w:qFormat/>
    <w:uiPriority w:val="0"/>
    <w:pPr>
      <w:keepNext/>
      <w:keepLines/>
      <w:numPr>
        <w:ilvl w:val="3"/>
        <w:numId w:val="1"/>
      </w:numPr>
      <w:spacing w:line="360" w:lineRule="auto"/>
      <w:ind w:left="0" w:firstLine="0" w:firstLineChars="0"/>
      <w:outlineLvl w:val="3"/>
    </w:pPr>
    <w:rPr>
      <w:rFonts w:ascii="Arial" w:hAnsi="Arial" w:eastAsia="宋体"/>
      <w:b/>
      <w:bCs/>
      <w:sz w:val="24"/>
      <w:szCs w:val="28"/>
    </w:rPr>
  </w:style>
  <w:style w:type="character" w:default="1" w:styleId="18">
    <w:name w:val="Default Paragraph Font"/>
    <w:semiHidden/>
    <w:unhideWhenUsed/>
    <w:qFormat/>
    <w:uiPriority w:val="1"/>
  </w:style>
  <w:style w:type="table" w:default="1" w:styleId="16">
    <w:name w:val="Normal Table"/>
    <w:semiHidden/>
    <w:qFormat/>
    <w:uiPriority w:val="0"/>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next w:val="7"/>
    <w:qFormat/>
    <w:uiPriority w:val="1"/>
    <w:rPr>
      <w:rFonts w:ascii="宋体" w:hAnsi="宋体" w:eastAsia="宋体" w:cs="宋体"/>
      <w:sz w:val="21"/>
      <w:szCs w:val="21"/>
      <w:lang w:val="zh-CN" w:eastAsia="zh-CN" w:bidi="zh-CN"/>
    </w:rPr>
  </w:style>
  <w:style w:type="paragraph" w:customStyle="1" w:styleId="7">
    <w:name w:val="xl27"/>
    <w:next w:val="1"/>
    <w:qFormat/>
    <w:uiPriority w:val="0"/>
    <w:pPr>
      <w:pBdr>
        <w:top w:val="none" w:color="auto" w:sz="0" w:space="0"/>
        <w:left w:val="none" w:color="auto" w:sz="0" w:space="0"/>
        <w:bottom w:val="none" w:color="auto" w:sz="0" w:space="0"/>
        <w:right w:val="none" w:color="auto" w:sz="0" w:space="0"/>
      </w:pBdr>
      <w:spacing w:before="100" w:beforeAutospacing="1" w:after="100" w:afterAutospacing="1"/>
      <w:jc w:val="center"/>
    </w:pPr>
    <w:rPr>
      <w:rFonts w:ascii="宋体" w:hAnsi="宋体" w:eastAsia="宋体" w:cs="宋体"/>
      <w:lang w:val="en-US" w:eastAsia="zh-CN" w:bidi="ar-SA"/>
    </w:rPr>
  </w:style>
  <w:style w:type="paragraph" w:styleId="8">
    <w:name w:val="Body Text Indent"/>
    <w:basedOn w:val="1"/>
    <w:next w:val="9"/>
    <w:qFormat/>
    <w:uiPriority w:val="0"/>
    <w:pPr>
      <w:spacing w:line="360" w:lineRule="auto"/>
      <w:ind w:firstLine="560" w:firstLineChars="200"/>
    </w:pPr>
    <w:rPr>
      <w:rFonts w:ascii="Times New Roman" w:hAnsi="Times New Roman" w:eastAsia="宋体"/>
      <w:sz w:val="24"/>
    </w:rPr>
  </w:style>
  <w:style w:type="paragraph" w:styleId="9">
    <w:name w:val="Body Text Indent 2"/>
    <w:basedOn w:val="1"/>
    <w:next w:val="10"/>
    <w:qFormat/>
    <w:uiPriority w:val="0"/>
    <w:pPr>
      <w:spacing w:line="360" w:lineRule="auto"/>
      <w:ind w:left="0" w:leftChars="0" w:firstLine="720" w:firstLineChars="200"/>
    </w:pPr>
    <w:rPr>
      <w:rFonts w:ascii="Times New Roman" w:hAnsi="Times New Roman" w:eastAsia="宋体"/>
      <w:sz w:val="24"/>
    </w:rPr>
  </w:style>
  <w:style w:type="paragraph" w:styleId="10">
    <w:name w:val="Body Text First Indent 2"/>
    <w:basedOn w:val="8"/>
    <w:next w:val="1"/>
    <w:qFormat/>
    <w:uiPriority w:val="0"/>
    <w:pPr>
      <w:spacing w:after="120" w:line="240" w:lineRule="auto"/>
      <w:ind w:left="420" w:leftChars="200" w:firstLine="420" w:firstLineChars="200"/>
    </w:pPr>
    <w:rPr>
      <w:sz w:val="21"/>
    </w:rPr>
  </w:style>
  <w:style w:type="paragraph" w:styleId="11">
    <w:name w:val="List 2"/>
    <w:basedOn w:val="1"/>
    <w:qFormat/>
    <w:uiPriority w:val="0"/>
    <w:pPr>
      <w:spacing w:line="360" w:lineRule="exact"/>
      <w:ind w:left="0" w:firstLine="0" w:firstLineChars="0"/>
      <w:jc w:val="center"/>
    </w:pPr>
    <w:rPr>
      <w:sz w:val="21"/>
    </w:rPr>
  </w:style>
  <w:style w:type="paragraph" w:styleId="12">
    <w:name w:val="footer"/>
    <w:basedOn w:val="1"/>
    <w:qFormat/>
    <w:uiPriority w:val="0"/>
    <w:pPr>
      <w:tabs>
        <w:tab w:val="center" w:pos="4153"/>
        <w:tab w:val="right" w:pos="8306"/>
      </w:tabs>
      <w:snapToGrid w:val="0"/>
      <w:spacing w:line="240" w:lineRule="auto"/>
      <w:ind w:firstLine="0" w:firstLineChars="0"/>
      <w:jc w:val="left"/>
    </w:pPr>
    <w:rPr>
      <w:rFonts w:ascii="Times New Roman" w:hAnsi="Times New Roman" w:eastAsia="宋体"/>
      <w:sz w:val="18"/>
    </w:rPr>
  </w:style>
  <w:style w:type="paragraph" w:styleId="13">
    <w:name w:val="header"/>
    <w:basedOn w:val="1"/>
    <w:next w:val="6"/>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5">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
    <w:name w:val="表头"/>
    <w:basedOn w:val="1"/>
    <w:next w:val="1"/>
    <w:qFormat/>
    <w:uiPriority w:val="0"/>
    <w:pPr>
      <w:overflowPunct w:val="0"/>
      <w:autoSpaceDE w:val="0"/>
      <w:autoSpaceDN w:val="0"/>
      <w:adjustRightInd w:val="0"/>
      <w:spacing w:line="240" w:lineRule="auto"/>
      <w:ind w:firstLine="0" w:firstLineChars="0"/>
      <w:jc w:val="center"/>
      <w:textAlignment w:val="baseline"/>
    </w:pPr>
    <w:rPr>
      <w:rFonts w:ascii="Times New Roman" w:hAnsi="Times New Roman" w:eastAsia="宋体"/>
      <w:b/>
      <w:bCs/>
      <w:sz w:val="24"/>
    </w:rPr>
  </w:style>
  <w:style w:type="paragraph" w:customStyle="1" w:styleId="20">
    <w:name w:val="Default"/>
    <w:basedOn w:val="21"/>
    <w:next w:val="22"/>
    <w:qFormat/>
    <w:uiPriority w:val="0"/>
    <w:pPr>
      <w:widowControl w:val="0"/>
      <w:autoSpaceDE w:val="0"/>
      <w:autoSpaceDN w:val="0"/>
      <w:adjustRightInd w:val="0"/>
    </w:pPr>
    <w:rPr>
      <w:rFonts w:ascii="Sim Sun+ 2" w:eastAsia="Sim Sun+ 2" w:cs="Sim Sun+ 2"/>
      <w:color w:val="000000"/>
      <w:sz w:val="24"/>
      <w:szCs w:val="24"/>
      <w:lang w:val="en-US" w:eastAsia="zh-CN" w:bidi="ar-SA"/>
    </w:rPr>
  </w:style>
  <w:style w:type="paragraph" w:customStyle="1" w:styleId="21">
    <w:name w:val="标题2"/>
    <w:basedOn w:val="1"/>
    <w:qFormat/>
    <w:uiPriority w:val="0"/>
    <w:rPr>
      <w:rFonts w:ascii="宋体" w:hAnsi="宋体"/>
      <w:b/>
      <w:kern w:val="0"/>
      <w:sz w:val="24"/>
      <w:szCs w:val="24"/>
    </w:rPr>
  </w:style>
  <w:style w:type="paragraph" w:customStyle="1" w:styleId="22">
    <w:name w:val="1正文段落"/>
    <w:basedOn w:val="1"/>
    <w:qFormat/>
    <w:uiPriority w:val="0"/>
    <w:pPr>
      <w:spacing w:line="360" w:lineRule="auto"/>
      <w:ind w:firstLine="480" w:firstLineChars="200"/>
      <w:jc w:val="both"/>
    </w:pPr>
    <w:rPr>
      <w:snapToGrid w:val="0"/>
    </w:rPr>
  </w:style>
  <w:style w:type="paragraph" w:customStyle="1" w:styleId="23">
    <w:name w:val="1正文"/>
    <w:basedOn w:val="1"/>
    <w:link w:val="31"/>
    <w:qFormat/>
    <w:uiPriority w:val="0"/>
    <w:pPr>
      <w:widowControl/>
      <w:spacing w:line="360" w:lineRule="exact"/>
      <w:ind w:firstLine="0" w:firstLineChars="0"/>
      <w:jc w:val="center"/>
    </w:pPr>
    <w:rPr>
      <w:kern w:val="0"/>
      <w:lang w:val="en-GB"/>
    </w:rPr>
  </w:style>
  <w:style w:type="paragraph" w:customStyle="1" w:styleId="24">
    <w:name w:val="1表格"/>
    <w:basedOn w:val="1"/>
    <w:link w:val="33"/>
    <w:qFormat/>
    <w:uiPriority w:val="0"/>
    <w:pPr>
      <w:snapToGrid w:val="0"/>
      <w:spacing w:line="360" w:lineRule="atLeast"/>
      <w:ind w:firstLine="0" w:firstLineChars="0"/>
      <w:jc w:val="center"/>
    </w:pPr>
    <w:rPr>
      <w:rFonts w:ascii="Times New Roman" w:hAnsi="Times New Roman" w:eastAsia="宋体" w:cs="Times New Roman"/>
      <w:sz w:val="21"/>
      <w:szCs w:val="21"/>
    </w:rPr>
  </w:style>
  <w:style w:type="paragraph" w:customStyle="1" w:styleId="25">
    <w:name w:val="表格"/>
    <w:basedOn w:val="1"/>
    <w:next w:val="1"/>
    <w:qFormat/>
    <w:uiPriority w:val="0"/>
    <w:pPr>
      <w:tabs>
        <w:tab w:val="left" w:pos="1485"/>
        <w:tab w:val="center" w:pos="4113"/>
      </w:tabs>
      <w:adjustRightInd w:val="0"/>
      <w:snapToGrid w:val="0"/>
      <w:spacing w:line="360" w:lineRule="exact"/>
      <w:jc w:val="center"/>
    </w:pPr>
    <w:rPr>
      <w:rFonts w:ascii="Times New Roman" w:hAnsi="Times New Roman" w:eastAsia="宋体" w:cs="Times New Roman"/>
      <w:kern w:val="0"/>
      <w:sz w:val="21"/>
      <w:szCs w:val="21"/>
    </w:rPr>
  </w:style>
  <w:style w:type="paragraph" w:customStyle="1" w:styleId="26">
    <w:name w:val="表文字"/>
    <w:qFormat/>
    <w:uiPriority w:val="0"/>
    <w:pPr>
      <w:adjustRightInd w:val="0"/>
      <w:snapToGrid w:val="0"/>
      <w:ind w:left="0" w:leftChars="0"/>
      <w:jc w:val="center"/>
    </w:pPr>
    <w:rPr>
      <w:rFonts w:ascii="Times New Roman" w:hAnsi="Times New Roman" w:eastAsia="宋体" w:cstheme="minorBidi"/>
      <w:kern w:val="2"/>
      <w:sz w:val="21"/>
      <w:szCs w:val="24"/>
      <w:lang w:val="en-US" w:eastAsia="zh-CN" w:bidi="ar-SA"/>
    </w:rPr>
  </w:style>
  <w:style w:type="paragraph" w:customStyle="1" w:styleId="27">
    <w:name w:val="1表头"/>
    <w:basedOn w:val="1"/>
    <w:next w:val="24"/>
    <w:qFormat/>
    <w:uiPriority w:val="0"/>
    <w:pPr>
      <w:widowControl/>
      <w:spacing w:line="240" w:lineRule="auto"/>
      <w:ind w:firstLine="0" w:firstLineChars="0"/>
      <w:jc w:val="center"/>
    </w:pPr>
    <w:rPr>
      <w:rFonts w:ascii="Times New Roman" w:hAnsi="Times New Roman" w:eastAsia="宋体" w:cs="Times New Roman"/>
      <w:b/>
      <w:color w:val="auto"/>
    </w:rPr>
  </w:style>
  <w:style w:type="paragraph" w:customStyle="1" w:styleId="28">
    <w:name w:val="正文1"/>
    <w:basedOn w:val="1"/>
    <w:qFormat/>
    <w:uiPriority w:val="0"/>
    <w:pPr>
      <w:spacing w:line="360" w:lineRule="auto"/>
      <w:ind w:firstLine="964" w:firstLineChars="200"/>
    </w:pPr>
    <w:rPr>
      <w:rFonts w:ascii="Times New Roman" w:hAnsi="Times New Roman" w:eastAsia="宋体"/>
    </w:rPr>
  </w:style>
  <w:style w:type="paragraph" w:customStyle="1" w:styleId="29">
    <w:name w:val="表格1"/>
    <w:basedOn w:val="1"/>
    <w:qFormat/>
    <w:uiPriority w:val="0"/>
    <w:pPr>
      <w:spacing w:line="360" w:lineRule="exact"/>
      <w:ind w:left="0" w:right="0" w:firstLine="0" w:firstLineChars="0"/>
      <w:jc w:val="center"/>
    </w:pPr>
    <w:rPr>
      <w:spacing w:val="-6"/>
      <w:sz w:val="21"/>
    </w:rPr>
  </w:style>
  <w:style w:type="character" w:customStyle="1" w:styleId="30">
    <w:name w:val="标题 1 Char"/>
    <w:link w:val="3"/>
    <w:qFormat/>
    <w:uiPriority w:val="1"/>
    <w:rPr>
      <w:rFonts w:ascii="Times New Roman" w:hAnsi="Times New Roman" w:eastAsia="宋体" w:cs="宋体"/>
      <w:b/>
      <w:bCs/>
      <w:sz w:val="32"/>
      <w:szCs w:val="28"/>
      <w:lang w:val="zh-CN" w:eastAsia="zh-CN" w:bidi="zh-CN"/>
    </w:rPr>
  </w:style>
  <w:style w:type="character" w:customStyle="1" w:styleId="31">
    <w:name w:val="1正文 Char"/>
    <w:link w:val="23"/>
    <w:qFormat/>
    <w:uiPriority w:val="0"/>
    <w:rPr>
      <w:kern w:val="0"/>
      <w:lang w:val="en-GB"/>
    </w:rPr>
  </w:style>
  <w:style w:type="table" w:customStyle="1" w:styleId="32">
    <w:name w:val="Table Normal"/>
    <w:semiHidden/>
    <w:unhideWhenUsed/>
    <w:qFormat/>
    <w:uiPriority w:val="2"/>
    <w:tblPr>
      <w:tblCellMar>
        <w:top w:w="0" w:type="dxa"/>
        <w:left w:w="0" w:type="dxa"/>
        <w:bottom w:w="0" w:type="dxa"/>
        <w:right w:w="0" w:type="dxa"/>
      </w:tblCellMar>
    </w:tblPr>
  </w:style>
  <w:style w:type="character" w:customStyle="1" w:styleId="33">
    <w:name w:val="1表格 Char1"/>
    <w:link w:val="24"/>
    <w:qFormat/>
    <w:uiPriority w:val="0"/>
    <w:rPr>
      <w:rFonts w:ascii="Times New Roman" w:hAnsi="Times New Roman" w:eastAsia="宋体" w:cs="Times New Roman"/>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jpe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78</Pages>
  <Words>65</Words>
  <Characters>68</Characters>
  <TotalTime>15</TotalTime>
  <ScaleCrop>false</ScaleCrop>
  <LinksUpToDate>false</LinksUpToDate>
  <CharactersWithSpaces>68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2022-10-08T00:45:00Z</dcterms:created>
  <dc:creator>静水流深,.</dc:creator>
  <cp:lastModifiedBy>常想一二</cp:lastModifiedBy>
  <cp:lastPrinted>2025-04-07T08:07:00Z</cp:lastPrinted>
  <dcterms:modified xsi:type="dcterms:W3CDTF">2026-03-17T03:18:43Z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2021-12-03T00:00:00Z</vt:filetime>
  </property>
  <property fmtid="{D5CDD505-2E9C-101B-9397-08002B2CF9AE}" pid="3" name="Creator">
    <vt:lpwstr>WPS 文字</vt:lpwstr>
  </property>
  <property fmtid="{D5CDD505-2E9C-101B-9397-08002B2CF9AE}" pid="4" name="LastSaved">
    <vt:filetime>2022-10-08T00:00:00Z</vt:filetime>
  </property>
  <property fmtid="{D5CDD505-2E9C-101B-9397-08002B2CF9AE}" pid="5" name="KSOProductBuildVer">
    <vt:lpwstr>2052-12.1.0.25225</vt:lpwstr>
  </property>
  <property fmtid="{D5CDD505-2E9C-101B-9397-08002B2CF9AE}" pid="6" name="ICV">
    <vt:lpwstr>8A5CD1B35D394D0E8B657A68E5CE6747_13</vt:lpwstr>
  </property>
  <property fmtid="{D5CDD505-2E9C-101B-9397-08002B2CF9AE}" pid="7" name="KSOTemplateDocerSaveRecord">
    <vt:lpwstr>eyJoZGlkIjoiMTE3ZjMzNjU4M2RiNDVmY2E1ZjFiZDljNmYwMWY1ZDAiLCJ1c2VySWQiOiI0NTI0OTM0OTQifQ==</vt:lpwstr>
  </property>
</Properties>
</file>