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04"/>
        <w:spacing w:line="480" w:lineRule="auto"/>
        <w:ind w:firstLine="0" w:firstLineChars="0"/>
        <w:jc w:val="center"/>
        <w:rPr>
          <w:rFonts w:hint="eastAsia" w:ascii="Times New Roman" w:hAnsi="Times New Roman"/>
          <w:b/>
          <w:bCs/>
          <w:color w:val="auto"/>
          <w:sz w:val="48"/>
          <w:szCs w:val="48"/>
        </w:rPr>
      </w:pPr>
    </w:p>
    <w:p>
      <w:pPr>
        <w:pStyle w:val="104"/>
        <w:spacing w:line="480" w:lineRule="auto"/>
        <w:ind w:firstLine="0" w:firstLineChars="0"/>
        <w:jc w:val="center"/>
        <w:rPr>
          <w:rFonts w:hint="eastAsia" w:ascii="Times New Roman" w:hAnsi="Times New Roman"/>
          <w:b/>
          <w:bCs/>
          <w:color w:val="auto"/>
          <w:sz w:val="48"/>
          <w:szCs w:val="48"/>
        </w:rPr>
      </w:pPr>
      <w:r>
        <w:rPr>
          <w:rFonts w:hint="eastAsia" w:ascii="Times New Roman" w:hAnsi="Times New Roman"/>
          <w:b/>
          <w:bCs/>
          <w:color w:val="auto"/>
          <w:sz w:val="48"/>
          <w:szCs w:val="48"/>
        </w:rPr>
        <w:t>灵璧县建设投资集团有限公司</w:t>
      </w:r>
    </w:p>
    <w:p>
      <w:pPr>
        <w:pStyle w:val="104"/>
        <w:spacing w:line="480" w:lineRule="auto"/>
        <w:ind w:firstLine="0" w:firstLineChars="0"/>
        <w:jc w:val="center"/>
        <w:rPr>
          <w:rFonts w:hint="eastAsia" w:ascii="Times New Roman" w:hAnsi="Times New Roman"/>
          <w:b/>
          <w:bCs/>
          <w:color w:val="auto"/>
          <w:sz w:val="48"/>
          <w:szCs w:val="48"/>
        </w:rPr>
      </w:pPr>
      <w:r>
        <w:rPr>
          <w:rFonts w:hint="eastAsia" w:ascii="Times New Roman" w:hAnsi="Times New Roman"/>
          <w:b/>
          <w:bCs/>
          <w:color w:val="auto"/>
          <w:sz w:val="48"/>
          <w:szCs w:val="48"/>
        </w:rPr>
        <w:t>灵璧县一般工业固废填埋处置工程</w:t>
      </w:r>
    </w:p>
    <w:p>
      <w:pPr>
        <w:pStyle w:val="104"/>
        <w:spacing w:line="480" w:lineRule="auto"/>
        <w:ind w:firstLine="0" w:firstLineChars="0"/>
        <w:jc w:val="center"/>
        <w:rPr>
          <w:rFonts w:ascii="Times New Roman" w:hAnsi="Times New Roman"/>
          <w:b/>
          <w:color w:val="auto"/>
          <w:sz w:val="44"/>
          <w:szCs w:val="44"/>
        </w:rPr>
      </w:pPr>
      <w:r>
        <w:rPr>
          <w:rFonts w:hint="eastAsia" w:ascii="Times New Roman" w:hAnsi="Times New Roman"/>
          <w:b/>
          <w:color w:val="auto"/>
          <w:sz w:val="44"/>
          <w:szCs w:val="44"/>
        </w:rPr>
        <w:t>竣工环境保护验收</w:t>
      </w:r>
      <w:r>
        <w:rPr>
          <w:rFonts w:hint="eastAsia"/>
          <w:b/>
          <w:color w:val="auto"/>
          <w:sz w:val="44"/>
          <w:szCs w:val="44"/>
          <w:lang w:eastAsia="zh-CN"/>
        </w:rPr>
        <w:t>监测</w:t>
      </w:r>
      <w:r>
        <w:rPr>
          <w:rFonts w:hint="eastAsia" w:ascii="Times New Roman" w:hAnsi="Times New Roman"/>
          <w:b/>
          <w:color w:val="auto"/>
          <w:sz w:val="44"/>
          <w:szCs w:val="44"/>
        </w:rPr>
        <w:t>报告</w:t>
      </w:r>
    </w:p>
    <w:p>
      <w:pPr>
        <w:autoSpaceDE w:val="0"/>
        <w:autoSpaceDN w:val="0"/>
        <w:adjustRightInd w:val="0"/>
        <w:jc w:val="left"/>
        <w:rPr>
          <w:rFonts w:ascii="Times New Roman" w:hAnsi="Times New Roman" w:eastAsia="仿宋" w:cs="仿宋"/>
          <w:color w:val="auto"/>
          <w:kern w:val="0"/>
          <w:sz w:val="28"/>
          <w:szCs w:val="28"/>
        </w:rPr>
      </w:pPr>
    </w:p>
    <w:p>
      <w:pPr>
        <w:autoSpaceDE w:val="0"/>
        <w:autoSpaceDN w:val="0"/>
        <w:adjustRightInd w:val="0"/>
        <w:jc w:val="left"/>
        <w:rPr>
          <w:rFonts w:ascii="Times New Roman" w:hAnsi="Times New Roman" w:eastAsia="仿宋" w:cs="仿宋"/>
          <w:color w:val="auto"/>
          <w:kern w:val="0"/>
          <w:sz w:val="28"/>
          <w:szCs w:val="28"/>
        </w:rPr>
      </w:pPr>
    </w:p>
    <w:p>
      <w:pPr>
        <w:autoSpaceDE w:val="0"/>
        <w:autoSpaceDN w:val="0"/>
        <w:adjustRightInd w:val="0"/>
        <w:jc w:val="center"/>
        <w:rPr>
          <w:rFonts w:ascii="Times New Roman" w:hAnsi="Times New Roman" w:eastAsia="仿宋" w:cs="仿宋"/>
          <w:color w:val="auto"/>
          <w:kern w:val="0"/>
          <w:sz w:val="30"/>
          <w:szCs w:val="30"/>
        </w:rPr>
      </w:pPr>
      <w:r>
        <w:rPr>
          <w:rFonts w:hint="eastAsia" w:ascii="Times New Roman" w:hAnsi="Times New Roman" w:eastAsia="仿宋" w:cs="仿宋"/>
          <w:color w:val="auto"/>
          <w:kern w:val="0"/>
          <w:sz w:val="30"/>
          <w:szCs w:val="30"/>
        </w:rPr>
        <w:t xml:space="preserve">          </w:t>
      </w:r>
    </w:p>
    <w:p>
      <w:pPr>
        <w:autoSpaceDE w:val="0"/>
        <w:autoSpaceDN w:val="0"/>
        <w:adjustRightInd w:val="0"/>
        <w:jc w:val="center"/>
        <w:rPr>
          <w:rFonts w:ascii="Times New Roman" w:hAnsi="Times New Roman" w:eastAsia="仿宋" w:cs="仿宋"/>
          <w:color w:val="auto"/>
          <w:kern w:val="0"/>
          <w:sz w:val="30"/>
          <w:szCs w:val="30"/>
        </w:rPr>
      </w:pPr>
    </w:p>
    <w:p>
      <w:pPr>
        <w:autoSpaceDE w:val="0"/>
        <w:autoSpaceDN w:val="0"/>
        <w:adjustRightInd w:val="0"/>
        <w:jc w:val="center"/>
        <w:rPr>
          <w:rFonts w:ascii="Times New Roman" w:hAnsi="Times New Roman" w:eastAsia="仿宋" w:cs="仿宋"/>
          <w:color w:val="auto"/>
          <w:kern w:val="0"/>
          <w:sz w:val="30"/>
          <w:szCs w:val="30"/>
        </w:rPr>
      </w:pPr>
    </w:p>
    <w:p>
      <w:pPr>
        <w:autoSpaceDE w:val="0"/>
        <w:autoSpaceDN w:val="0"/>
        <w:adjustRightInd w:val="0"/>
        <w:jc w:val="center"/>
        <w:rPr>
          <w:rFonts w:ascii="Times New Roman" w:hAnsi="Times New Roman" w:eastAsia="仿宋" w:cs="仿宋"/>
          <w:color w:val="auto"/>
          <w:kern w:val="0"/>
          <w:sz w:val="30"/>
          <w:szCs w:val="30"/>
        </w:rPr>
      </w:pPr>
      <w:r>
        <w:rPr>
          <w:rFonts w:ascii="Times New Roman" w:hAnsi="Times New Roman" w:eastAsia="仿宋" w:cs="仿宋"/>
          <w:color w:val="auto"/>
          <w:kern w:val="0"/>
          <w:sz w:val="28"/>
          <w:szCs w:val="28"/>
        </w:rPr>
        <mc:AlternateContent>
          <mc:Choice Requires="wps">
            <w:drawing>
              <wp:anchor distT="0" distB="0" distL="114300" distR="114300" simplePos="0" relativeHeight="251662336" behindDoc="0" locked="0" layoutInCell="1" allowOverlap="1">
                <wp:simplePos x="0" y="0"/>
                <wp:positionH relativeFrom="column">
                  <wp:posOffset>127000</wp:posOffset>
                </wp:positionH>
                <wp:positionV relativeFrom="paragraph">
                  <wp:posOffset>143510</wp:posOffset>
                </wp:positionV>
                <wp:extent cx="5039360" cy="2320925"/>
                <wp:effectExtent l="0" t="0" r="8890" b="3175"/>
                <wp:wrapNone/>
                <wp:docPr id="467" name="Text Box 105"/>
                <wp:cNvGraphicFramePr/>
                <a:graphic xmlns:a="http://schemas.openxmlformats.org/drawingml/2006/main">
                  <a:graphicData uri="http://schemas.microsoft.com/office/word/2010/wordprocessingShape">
                    <wps:wsp>
                      <wps:cNvSpPr txBox="1">
                        <a:spLocks noChangeArrowheads="1"/>
                      </wps:cNvSpPr>
                      <wps:spPr bwMode="auto">
                        <a:xfrm>
                          <a:off x="0" y="0"/>
                          <a:ext cx="5039360" cy="2320925"/>
                        </a:xfrm>
                        <a:prstGeom prst="rect">
                          <a:avLst/>
                        </a:prstGeom>
                        <a:solidFill>
                          <a:srgbClr val="FFFFFF"/>
                        </a:solidFill>
                        <a:ln>
                          <a:noFill/>
                        </a:ln>
                        <a:effectLst/>
                      </wps:spPr>
                      <wps:txbx>
                        <w:txbxContent>
                          <w:p>
                            <w:pPr>
                              <w:spacing w:beforeLines="100" w:afterLines="100" w:line="600" w:lineRule="exact"/>
                              <w:jc w:val="left"/>
                              <w:rPr>
                                <w:rFonts w:ascii="Times New Roman" w:hAnsi="Times New Roman" w:cs="Times New Roman"/>
                                <w:b/>
                                <w:sz w:val="32"/>
                                <w:szCs w:val="32"/>
                                <w:u w:val="single"/>
                              </w:rPr>
                            </w:pPr>
                            <w:r>
                              <w:rPr>
                                <w:rFonts w:hint="eastAsia" w:ascii="Times New Roman" w:hAnsi="Times New Roman" w:cs="Times New Roman"/>
                                <w:b/>
                                <w:sz w:val="32"/>
                                <w:szCs w:val="32"/>
                              </w:rPr>
                              <w:t>建设</w:t>
                            </w:r>
                            <w:r>
                              <w:rPr>
                                <w:rFonts w:ascii="Times New Roman" w:hAnsi="Times New Roman" w:cs="Times New Roman"/>
                                <w:b/>
                                <w:sz w:val="32"/>
                                <w:szCs w:val="32"/>
                              </w:rPr>
                              <w:t>单位：</w:t>
                            </w:r>
                            <w:r>
                              <w:rPr>
                                <w:rFonts w:hint="eastAsia" w:ascii="Times New Roman" w:hAnsi="Times New Roman" w:cs="Times New Roman"/>
                                <w:b/>
                                <w:sz w:val="32"/>
                                <w:szCs w:val="32"/>
                                <w:u w:val="single"/>
                              </w:rPr>
                              <w:t xml:space="preserve">       灵璧县建设投资集团有限公司</w:t>
                            </w:r>
                            <w:r>
                              <w:rPr>
                                <w:rFonts w:hint="eastAsia" w:ascii="Times New Roman" w:hAnsi="Times New Roman" w:cs="Times New Roman"/>
                                <w:b/>
                                <w:sz w:val="32"/>
                                <w:szCs w:val="32"/>
                                <w:u w:val="single"/>
                              </w:rPr>
                              <w:tab/>
                            </w:r>
                            <w:r>
                              <w:rPr>
                                <w:rFonts w:hint="eastAsia" w:ascii="Times New Roman" w:hAnsi="Times New Roman" w:cs="Times New Roman"/>
                                <w:b/>
                                <w:sz w:val="32"/>
                                <w:szCs w:val="32"/>
                                <w:u w:val="single"/>
                              </w:rPr>
                              <w:t xml:space="preserve">          </w:t>
                            </w:r>
                          </w:p>
                          <w:p>
                            <w:pPr>
                              <w:spacing w:line="1000" w:lineRule="exact"/>
                              <w:rPr>
                                <w:rFonts w:ascii="Times New Roman" w:hAnsi="Times New Roman" w:cs="Times New Roman"/>
                                <w:sz w:val="32"/>
                                <w:szCs w:val="32"/>
                                <w:u w:val="single"/>
                              </w:rPr>
                            </w:pPr>
                            <w:r>
                              <w:rPr>
                                <w:rFonts w:hint="eastAsia" w:ascii="Times New Roman" w:hAnsi="Times New Roman" w:cs="Times New Roman"/>
                                <w:b/>
                                <w:sz w:val="32"/>
                                <w:szCs w:val="32"/>
                              </w:rPr>
                              <w:t>编制</w:t>
                            </w:r>
                            <w:r>
                              <w:rPr>
                                <w:rFonts w:ascii="Times New Roman" w:hAnsi="Times New Roman" w:cs="Times New Roman"/>
                                <w:b/>
                                <w:sz w:val="32"/>
                                <w:szCs w:val="32"/>
                              </w:rPr>
                              <w:t>单位：</w:t>
                            </w:r>
                            <w:r>
                              <w:rPr>
                                <w:rFonts w:hint="eastAsia" w:ascii="Times New Roman" w:hAnsi="Times New Roman" w:cs="Times New Roman"/>
                                <w:b/>
                                <w:sz w:val="32"/>
                                <w:szCs w:val="32"/>
                                <w:u w:val="single"/>
                              </w:rPr>
                              <w:t xml:space="preserve">       </w:t>
                            </w:r>
                            <w:r>
                              <w:rPr>
                                <w:rFonts w:hint="eastAsia" w:ascii="Times New Roman" w:hAnsi="Times New Roman" w:cs="Times New Roman"/>
                                <w:b/>
                                <w:sz w:val="32"/>
                                <w:szCs w:val="32"/>
                                <w:u w:val="single"/>
                                <w:lang w:eastAsia="zh-CN"/>
                              </w:rPr>
                              <w:t>灵璧县建设投资集团有限公司</w:t>
                            </w:r>
                            <w:r>
                              <w:rPr>
                                <w:rFonts w:hint="eastAsia" w:ascii="Times New Roman" w:hAnsi="Times New Roman" w:cs="Times New Roman"/>
                                <w:b/>
                                <w:sz w:val="32"/>
                                <w:szCs w:val="32"/>
                                <w:u w:val="single"/>
                              </w:rPr>
                              <w:t xml:space="preserve">        </w:t>
                            </w:r>
                            <w:r>
                              <w:rPr>
                                <w:rFonts w:hint="eastAsia" w:ascii="Times New Roman" w:hAnsi="Times New Roman" w:cs="Times New Roman"/>
                                <w:sz w:val="32"/>
                                <w:szCs w:val="32"/>
                                <w:u w:val="single"/>
                              </w:rPr>
                              <w:t xml:space="preserve">     </w:t>
                            </w:r>
                          </w:p>
                          <w:p/>
                        </w:txbxContent>
                      </wps:txbx>
                      <wps:bodyPr rot="0" vert="horz" wrap="square" lIns="91440" tIns="45720" rIns="91440" bIns="45720" anchor="t" anchorCtr="0" upright="1">
                        <a:noAutofit/>
                      </wps:bodyPr>
                    </wps:wsp>
                  </a:graphicData>
                </a:graphic>
              </wp:anchor>
            </w:drawing>
          </mc:Choice>
          <mc:Fallback>
            <w:pict>
              <v:shape id="Text Box 105" o:spid="_x0000_s1026" o:spt="202" type="#_x0000_t202" style="position:absolute;left:0pt;margin-left:10pt;margin-top:11.3pt;height:182.75pt;width:396.8pt;z-index:251662336;mso-width-relative:page;mso-height-relative:page;" fillcolor="#FFFFFF" filled="t" stroked="f" coordsize="21600,21600" o:gfxdata="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H6P9&#10;6tYAAAAJAQAADwAAAAAAAAABACAAAAAiAAAAZHJzL2Rvd25yZXYueG1sUEsBAhQAFAAAAAgAh07i&#10;QHTn+TckAgAAUAQAAA4AAAAAAAAAAQAgAAAAJQEAAGRycy9lMm9Eb2MueG1sUEsFBgAAAAAGAAYA&#10;WQEAALsFAAAAAA==&#10;">
                <v:fill on="t" focussize="0,0"/>
                <v:stroke on="f"/>
                <v:imagedata o:title=""/>
                <o:lock v:ext="edit" aspectratio="f"/>
                <v:textbox>
                  <w:txbxContent>
                    <w:p>
                      <w:pPr>
                        <w:spacing w:beforeLines="100" w:afterLines="100" w:line="600" w:lineRule="exact"/>
                        <w:jc w:val="left"/>
                        <w:rPr>
                          <w:rFonts w:ascii="Times New Roman" w:hAnsi="Times New Roman" w:cs="Times New Roman"/>
                          <w:b/>
                          <w:sz w:val="32"/>
                          <w:szCs w:val="32"/>
                          <w:u w:val="single"/>
                        </w:rPr>
                      </w:pPr>
                      <w:r>
                        <w:rPr>
                          <w:rFonts w:hint="eastAsia" w:ascii="Times New Roman" w:hAnsi="Times New Roman" w:cs="Times New Roman"/>
                          <w:b/>
                          <w:sz w:val="32"/>
                          <w:szCs w:val="32"/>
                        </w:rPr>
                        <w:t>建设</w:t>
                      </w:r>
                      <w:r>
                        <w:rPr>
                          <w:rFonts w:ascii="Times New Roman" w:hAnsi="Times New Roman" w:cs="Times New Roman"/>
                          <w:b/>
                          <w:sz w:val="32"/>
                          <w:szCs w:val="32"/>
                        </w:rPr>
                        <w:t>单位：</w:t>
                      </w:r>
                      <w:r>
                        <w:rPr>
                          <w:rFonts w:hint="eastAsia" w:ascii="Times New Roman" w:hAnsi="Times New Roman" w:cs="Times New Roman"/>
                          <w:b/>
                          <w:sz w:val="32"/>
                          <w:szCs w:val="32"/>
                          <w:u w:val="single"/>
                        </w:rPr>
                        <w:t xml:space="preserve">       灵璧县建设投资集团有限公司</w:t>
                      </w:r>
                      <w:r>
                        <w:rPr>
                          <w:rFonts w:hint="eastAsia" w:ascii="Times New Roman" w:hAnsi="Times New Roman" w:cs="Times New Roman"/>
                          <w:b/>
                          <w:sz w:val="32"/>
                          <w:szCs w:val="32"/>
                          <w:u w:val="single"/>
                        </w:rPr>
                        <w:tab/>
                      </w:r>
                      <w:r>
                        <w:rPr>
                          <w:rFonts w:hint="eastAsia" w:ascii="Times New Roman" w:hAnsi="Times New Roman" w:cs="Times New Roman"/>
                          <w:b/>
                          <w:sz w:val="32"/>
                          <w:szCs w:val="32"/>
                          <w:u w:val="single"/>
                        </w:rPr>
                        <w:t xml:space="preserve">          </w:t>
                      </w:r>
                    </w:p>
                    <w:p>
                      <w:pPr>
                        <w:spacing w:line="1000" w:lineRule="exact"/>
                        <w:rPr>
                          <w:rFonts w:ascii="Times New Roman" w:hAnsi="Times New Roman" w:cs="Times New Roman"/>
                          <w:sz w:val="32"/>
                          <w:szCs w:val="32"/>
                          <w:u w:val="single"/>
                        </w:rPr>
                      </w:pPr>
                      <w:r>
                        <w:rPr>
                          <w:rFonts w:hint="eastAsia" w:ascii="Times New Roman" w:hAnsi="Times New Roman" w:cs="Times New Roman"/>
                          <w:b/>
                          <w:sz w:val="32"/>
                          <w:szCs w:val="32"/>
                        </w:rPr>
                        <w:t>编制</w:t>
                      </w:r>
                      <w:r>
                        <w:rPr>
                          <w:rFonts w:ascii="Times New Roman" w:hAnsi="Times New Roman" w:cs="Times New Roman"/>
                          <w:b/>
                          <w:sz w:val="32"/>
                          <w:szCs w:val="32"/>
                        </w:rPr>
                        <w:t>单位：</w:t>
                      </w:r>
                      <w:r>
                        <w:rPr>
                          <w:rFonts w:hint="eastAsia" w:ascii="Times New Roman" w:hAnsi="Times New Roman" w:cs="Times New Roman"/>
                          <w:b/>
                          <w:sz w:val="32"/>
                          <w:szCs w:val="32"/>
                          <w:u w:val="single"/>
                        </w:rPr>
                        <w:t xml:space="preserve">       </w:t>
                      </w:r>
                      <w:r>
                        <w:rPr>
                          <w:rFonts w:hint="eastAsia" w:ascii="Times New Roman" w:hAnsi="Times New Roman" w:cs="Times New Roman"/>
                          <w:b/>
                          <w:sz w:val="32"/>
                          <w:szCs w:val="32"/>
                          <w:u w:val="single"/>
                          <w:lang w:eastAsia="zh-CN"/>
                        </w:rPr>
                        <w:t>灵璧县建设投资集团有限公司</w:t>
                      </w:r>
                      <w:r>
                        <w:rPr>
                          <w:rFonts w:hint="eastAsia" w:ascii="Times New Roman" w:hAnsi="Times New Roman" w:cs="Times New Roman"/>
                          <w:b/>
                          <w:sz w:val="32"/>
                          <w:szCs w:val="32"/>
                          <w:u w:val="single"/>
                        </w:rPr>
                        <w:t xml:space="preserve">        </w:t>
                      </w:r>
                      <w:r>
                        <w:rPr>
                          <w:rFonts w:hint="eastAsia" w:ascii="Times New Roman" w:hAnsi="Times New Roman" w:cs="Times New Roman"/>
                          <w:sz w:val="32"/>
                          <w:szCs w:val="32"/>
                          <w:u w:val="single"/>
                        </w:rPr>
                        <w:t xml:space="preserve">     </w:t>
                      </w:r>
                    </w:p>
                    <w:p/>
                  </w:txbxContent>
                </v:textbox>
              </v:shape>
            </w:pict>
          </mc:Fallback>
        </mc:AlternateContent>
      </w:r>
    </w:p>
    <w:p>
      <w:pPr>
        <w:autoSpaceDE w:val="0"/>
        <w:autoSpaceDN w:val="0"/>
        <w:adjustRightInd w:val="0"/>
        <w:jc w:val="center"/>
        <w:rPr>
          <w:rFonts w:ascii="Times New Roman" w:hAnsi="Times New Roman" w:eastAsia="仿宋" w:cs="仿宋"/>
          <w:color w:val="auto"/>
          <w:kern w:val="0"/>
          <w:sz w:val="30"/>
          <w:szCs w:val="30"/>
        </w:rPr>
      </w:pPr>
    </w:p>
    <w:p>
      <w:pPr>
        <w:autoSpaceDE w:val="0"/>
        <w:autoSpaceDN w:val="0"/>
        <w:adjustRightInd w:val="0"/>
        <w:jc w:val="center"/>
        <w:rPr>
          <w:rFonts w:ascii="Times New Roman" w:hAnsi="Times New Roman" w:eastAsia="仿宋" w:cs="仿宋"/>
          <w:color w:val="auto"/>
          <w:kern w:val="0"/>
          <w:sz w:val="30"/>
          <w:szCs w:val="30"/>
        </w:rPr>
      </w:pPr>
    </w:p>
    <w:p>
      <w:pPr>
        <w:autoSpaceDE w:val="0"/>
        <w:autoSpaceDN w:val="0"/>
        <w:adjustRightInd w:val="0"/>
        <w:jc w:val="center"/>
        <w:rPr>
          <w:rFonts w:ascii="Times New Roman" w:hAnsi="Times New Roman" w:eastAsia="仿宋" w:cs="仿宋"/>
          <w:color w:val="auto"/>
          <w:kern w:val="0"/>
          <w:sz w:val="30"/>
          <w:szCs w:val="30"/>
        </w:rPr>
      </w:pPr>
    </w:p>
    <w:p>
      <w:pPr>
        <w:autoSpaceDE w:val="0"/>
        <w:autoSpaceDN w:val="0"/>
        <w:adjustRightInd w:val="0"/>
        <w:jc w:val="center"/>
        <w:rPr>
          <w:rFonts w:ascii="Times New Roman" w:hAnsi="Times New Roman" w:eastAsia="仿宋" w:cs="仿宋"/>
          <w:color w:val="auto"/>
          <w:kern w:val="0"/>
          <w:sz w:val="28"/>
          <w:szCs w:val="28"/>
        </w:rPr>
      </w:pPr>
      <w:r>
        <w:rPr>
          <w:rFonts w:hint="eastAsia" w:ascii="Times New Roman" w:hAnsi="Times New Roman" w:eastAsia="仿宋" w:cs="仿宋"/>
          <w:color w:val="auto"/>
          <w:kern w:val="0"/>
          <w:sz w:val="30"/>
          <w:szCs w:val="30"/>
        </w:rPr>
        <w:t>二零一七</w:t>
      </w:r>
      <w:r>
        <w:rPr>
          <w:rFonts w:hint="eastAsia" w:ascii="Times New Roman" w:hAnsi="Times New Roman" w:eastAsia="仿宋" w:cs="仿宋"/>
          <w:color w:val="auto"/>
          <w:kern w:val="0"/>
          <w:sz w:val="28"/>
          <w:szCs w:val="28"/>
        </w:rPr>
        <w:t>年</w:t>
      </w:r>
      <w:r>
        <w:rPr>
          <w:rFonts w:hint="eastAsia" w:ascii="Times New Roman" w:hAnsi="Times New Roman" w:eastAsia="仿宋" w:cs="仿宋"/>
          <w:color w:val="auto"/>
          <w:kern w:val="0"/>
          <w:sz w:val="30"/>
          <w:szCs w:val="30"/>
        </w:rPr>
        <w:t>十一</w:t>
      </w:r>
      <w:r>
        <w:rPr>
          <w:rFonts w:hint="eastAsia" w:ascii="Times New Roman" w:hAnsi="Times New Roman" w:eastAsia="仿宋" w:cs="仿宋"/>
          <w:color w:val="auto"/>
          <w:kern w:val="0"/>
          <w:sz w:val="28"/>
          <w:szCs w:val="28"/>
        </w:rPr>
        <w:t>月</w:t>
      </w:r>
    </w:p>
    <w:p>
      <w:pPr>
        <w:autoSpaceDE w:val="0"/>
        <w:autoSpaceDN w:val="0"/>
        <w:adjustRightInd w:val="0"/>
        <w:jc w:val="left"/>
        <w:rPr>
          <w:rFonts w:ascii="Times New Roman" w:hAnsi="Times New Roman" w:eastAsia="宋体" w:cs="宋体"/>
          <w:color w:val="auto"/>
          <w:kern w:val="0"/>
          <w:sz w:val="28"/>
          <w:szCs w:val="28"/>
        </w:rPr>
      </w:pPr>
    </w:p>
    <w:p>
      <w:pPr>
        <w:autoSpaceDE w:val="0"/>
        <w:autoSpaceDN w:val="0"/>
        <w:adjustRightInd w:val="0"/>
        <w:jc w:val="left"/>
        <w:rPr>
          <w:rFonts w:ascii="Times New Roman" w:hAnsi="Times New Roman" w:eastAsia="宋体" w:cs="宋体"/>
          <w:color w:val="auto"/>
          <w:kern w:val="0"/>
          <w:sz w:val="28"/>
          <w:szCs w:val="28"/>
        </w:rPr>
      </w:pPr>
    </w:p>
    <w:p>
      <w:pPr>
        <w:autoSpaceDE w:val="0"/>
        <w:autoSpaceDN w:val="0"/>
        <w:adjustRightInd w:val="0"/>
        <w:jc w:val="left"/>
        <w:rPr>
          <w:rFonts w:ascii="Times New Roman" w:hAnsi="Times New Roman" w:eastAsia="宋体" w:cs="宋体"/>
          <w:color w:val="auto"/>
          <w:kern w:val="0"/>
          <w:sz w:val="28"/>
          <w:szCs w:val="28"/>
        </w:rPr>
      </w:pPr>
    </w:p>
    <w:p>
      <w:pPr>
        <w:autoSpaceDE w:val="0"/>
        <w:autoSpaceDN w:val="0"/>
        <w:adjustRightInd w:val="0"/>
        <w:jc w:val="left"/>
        <w:rPr>
          <w:rFonts w:ascii="Times New Roman" w:hAnsi="Times New Roman" w:eastAsia="宋体" w:cs="宋体"/>
          <w:color w:val="auto"/>
          <w:kern w:val="0"/>
          <w:sz w:val="28"/>
          <w:szCs w:val="28"/>
        </w:rPr>
      </w:pPr>
    </w:p>
    <w:p>
      <w:pPr>
        <w:autoSpaceDE w:val="0"/>
        <w:autoSpaceDN w:val="0"/>
        <w:adjustRightInd w:val="0"/>
        <w:jc w:val="left"/>
        <w:rPr>
          <w:rFonts w:ascii="Times New Roman" w:hAnsi="Times New Roman" w:eastAsia="宋体" w:cs="宋体"/>
          <w:color w:val="auto"/>
          <w:kern w:val="0"/>
          <w:sz w:val="28"/>
          <w:szCs w:val="28"/>
        </w:rPr>
      </w:pPr>
    </w:p>
    <w:p>
      <w:pPr>
        <w:autoSpaceDE w:val="0"/>
        <w:autoSpaceDN w:val="0"/>
        <w:adjustRightInd w:val="0"/>
        <w:jc w:val="center"/>
        <w:rPr>
          <w:rFonts w:ascii="Times New Roman" w:hAnsi="Times New Roman" w:eastAsia="宋体" w:cs="Times New Roman"/>
          <w:b/>
          <w:color w:val="auto"/>
          <w:kern w:val="0"/>
          <w:sz w:val="28"/>
          <w:szCs w:val="28"/>
        </w:rPr>
      </w:pPr>
    </w:p>
    <w:p>
      <w:pPr>
        <w:autoSpaceDE w:val="0"/>
        <w:autoSpaceDN w:val="0"/>
        <w:adjustRightInd w:val="0"/>
        <w:jc w:val="center"/>
        <w:rPr>
          <w:rFonts w:ascii="Times New Roman" w:hAnsi="Times New Roman" w:eastAsia="宋体" w:cs="Times New Roman"/>
          <w:b/>
          <w:color w:val="auto"/>
          <w:kern w:val="0"/>
          <w:sz w:val="32"/>
          <w:szCs w:val="32"/>
        </w:rPr>
      </w:pPr>
      <w:r>
        <w:rPr>
          <w:rFonts w:ascii="Times New Roman" w:hAnsi="Times New Roman" w:eastAsia="宋体" w:cs="Times New Roman"/>
          <w:b/>
          <w:color w:val="auto"/>
          <w:kern w:val="0"/>
          <w:sz w:val="32"/>
          <w:szCs w:val="32"/>
        </w:rPr>
        <w:t>二O二</w:t>
      </w:r>
      <w:r>
        <w:rPr>
          <w:rFonts w:hint="eastAsia" w:ascii="Times New Roman" w:hAnsi="Times New Roman" w:eastAsia="宋体" w:cs="Times New Roman"/>
          <w:b/>
          <w:color w:val="auto"/>
          <w:kern w:val="0"/>
          <w:sz w:val="32"/>
          <w:szCs w:val="32"/>
          <w:lang w:eastAsia="zh-CN"/>
        </w:rPr>
        <w:t>一</w:t>
      </w:r>
      <w:r>
        <w:rPr>
          <w:rFonts w:ascii="Times New Roman" w:hAnsi="Times New Roman" w:eastAsia="宋体" w:cs="Times New Roman"/>
          <w:b/>
          <w:color w:val="auto"/>
          <w:kern w:val="0"/>
          <w:sz w:val="32"/>
          <w:szCs w:val="32"/>
        </w:rPr>
        <w:t>年</w:t>
      </w:r>
      <w:r>
        <w:rPr>
          <w:rFonts w:hint="eastAsia" w:ascii="Times New Roman" w:hAnsi="Times New Roman" w:eastAsia="宋体" w:cs="Times New Roman"/>
          <w:b/>
          <w:color w:val="auto"/>
          <w:kern w:val="0"/>
          <w:sz w:val="32"/>
          <w:szCs w:val="32"/>
          <w:lang w:eastAsia="zh-CN"/>
        </w:rPr>
        <w:t>四</w:t>
      </w:r>
      <w:r>
        <w:rPr>
          <w:rFonts w:ascii="Times New Roman" w:hAnsi="Times New Roman" w:eastAsia="宋体" w:cs="Times New Roman"/>
          <w:b/>
          <w:color w:val="auto"/>
          <w:kern w:val="0"/>
          <w:sz w:val="32"/>
          <w:szCs w:val="32"/>
        </w:rPr>
        <w:t>月</w:t>
      </w:r>
    </w:p>
    <w:p>
      <w:pPr>
        <w:autoSpaceDE w:val="0"/>
        <w:autoSpaceDN w:val="0"/>
        <w:adjustRightInd w:val="0"/>
        <w:jc w:val="both"/>
        <w:rPr>
          <w:rFonts w:ascii="Times New Roman" w:hAnsi="Times New Roman" w:eastAsia="宋体" w:cs="Times New Roman"/>
          <w:b/>
          <w:color w:val="auto"/>
          <w:kern w:val="0"/>
          <w:sz w:val="32"/>
          <w:szCs w:val="32"/>
        </w:rPr>
      </w:pPr>
    </w:p>
    <w:p>
      <w:pPr>
        <w:widowControl/>
        <w:jc w:val="left"/>
        <w:rPr>
          <w:rFonts w:hint="eastAsia" w:ascii="Times New Roman" w:hAnsi="Times New Roman" w:cs="Times New Roman"/>
          <w:color w:val="auto"/>
          <w:sz w:val="30"/>
          <w:szCs w:val="30"/>
        </w:rPr>
        <w:sectPr>
          <w:pgSz w:w="11906" w:h="16838"/>
          <w:pgMar w:top="1361" w:right="1361" w:bottom="1361" w:left="1361" w:header="851" w:footer="737" w:gutter="0"/>
          <w:pgBorders>
            <w:top w:val="none" w:sz="0" w:space="0"/>
            <w:left w:val="none" w:sz="0" w:space="0"/>
            <w:bottom w:val="none" w:sz="0" w:space="0"/>
            <w:right w:val="none" w:sz="0" w:space="0"/>
          </w:pgBorders>
          <w:pgNumType w:fmt="upperRoman" w:start="1"/>
          <w:cols w:space="0" w:num="1"/>
          <w:rtlGutter w:val="0"/>
          <w:docGrid w:type="lines" w:linePitch="312" w:charSpace="0"/>
        </w:sectPr>
      </w:pPr>
    </w:p>
    <w:p>
      <w:pPr>
        <w:widowControl/>
        <w:jc w:val="left"/>
        <w:rPr>
          <w:rFonts w:hint="eastAsia" w:ascii="Times New Roman" w:hAnsi="Times New Roman" w:cs="Times New Roman"/>
          <w:color w:val="auto"/>
          <w:sz w:val="30"/>
          <w:szCs w:val="30"/>
        </w:rPr>
      </w:pPr>
    </w:p>
    <w:p>
      <w:pPr>
        <w:widowControl/>
        <w:jc w:val="left"/>
        <w:rPr>
          <w:rFonts w:hint="eastAsia" w:ascii="Times New Roman" w:hAnsi="Times New Roman" w:cs="Times New Roman" w:eastAsiaTheme="minorEastAsia"/>
          <w:color w:val="auto"/>
          <w:sz w:val="30"/>
          <w:szCs w:val="30"/>
          <w:lang w:eastAsia="zh-CN"/>
        </w:rPr>
      </w:pPr>
      <w:r>
        <w:rPr>
          <w:rFonts w:hint="eastAsia" w:ascii="Times New Roman" w:hAnsi="Times New Roman" w:cs="Times New Roman"/>
          <w:color w:val="auto"/>
          <w:sz w:val="30"/>
          <w:szCs w:val="30"/>
        </w:rPr>
        <w:t>建设</w:t>
      </w:r>
      <w:r>
        <w:rPr>
          <w:rFonts w:ascii="Times New Roman" w:hAnsi="Times New Roman" w:cs="Times New Roman"/>
          <w:color w:val="auto"/>
          <w:sz w:val="30"/>
          <w:szCs w:val="30"/>
        </w:rPr>
        <w:t>单位</w:t>
      </w:r>
      <w:r>
        <w:rPr>
          <w:rFonts w:hint="eastAsia" w:ascii="Times New Roman" w:hAnsi="Times New Roman" w:cs="Times New Roman"/>
          <w:color w:val="auto"/>
          <w:sz w:val="30"/>
          <w:szCs w:val="30"/>
        </w:rPr>
        <w:t>法人代表</w:t>
      </w:r>
      <w:r>
        <w:rPr>
          <w:rFonts w:ascii="Times New Roman" w:hAnsi="Times New Roman" w:cs="Times New Roman"/>
          <w:color w:val="auto"/>
          <w:sz w:val="30"/>
          <w:szCs w:val="30"/>
        </w:rPr>
        <w:t>：</w:t>
      </w:r>
      <w:r>
        <w:rPr>
          <w:rFonts w:hint="eastAsia" w:ascii="Times New Roman" w:hAnsi="Times New Roman" w:cs="Times New Roman"/>
          <w:color w:val="auto"/>
          <w:sz w:val="30"/>
          <w:szCs w:val="30"/>
          <w:lang w:eastAsia="zh-CN"/>
        </w:rPr>
        <w:t>齐杰</w:t>
      </w:r>
    </w:p>
    <w:p>
      <w:pPr>
        <w:spacing w:line="360" w:lineRule="auto"/>
        <w:rPr>
          <w:rFonts w:ascii="Times New Roman" w:hAnsi="Times New Roman" w:cs="Times New Roman"/>
          <w:color w:val="auto"/>
          <w:sz w:val="30"/>
          <w:szCs w:val="30"/>
        </w:rPr>
      </w:pPr>
      <w:r>
        <w:rPr>
          <w:rFonts w:hint="eastAsia" w:ascii="Times New Roman" w:hAnsi="Times New Roman" w:cs="Times New Roman"/>
          <w:color w:val="auto"/>
          <w:sz w:val="30"/>
          <w:szCs w:val="30"/>
        </w:rPr>
        <w:t>编制单位法人代表</w:t>
      </w:r>
      <w:r>
        <w:rPr>
          <w:rFonts w:ascii="Times New Roman" w:hAnsi="Times New Roman" w:cs="Times New Roman"/>
          <w:color w:val="auto"/>
          <w:sz w:val="30"/>
          <w:szCs w:val="30"/>
        </w:rPr>
        <w:t>：</w:t>
      </w:r>
      <w:r>
        <w:rPr>
          <w:rFonts w:hint="eastAsia" w:ascii="Times New Roman" w:hAnsi="Times New Roman" w:cs="Times New Roman"/>
          <w:color w:val="auto"/>
          <w:sz w:val="30"/>
          <w:szCs w:val="30"/>
        </w:rPr>
        <w:t>贺斌</w:t>
      </w:r>
      <w:r>
        <w:rPr>
          <w:rFonts w:ascii="Times New Roman" w:hAnsi="Times New Roman" w:cs="Times New Roman"/>
          <w:color w:val="auto"/>
          <w:sz w:val="30"/>
          <w:szCs w:val="30"/>
        </w:rPr>
        <w:t xml:space="preserve"> </w:t>
      </w:r>
    </w:p>
    <w:p>
      <w:pPr>
        <w:spacing w:line="360" w:lineRule="auto"/>
        <w:rPr>
          <w:rFonts w:hint="eastAsia" w:ascii="Times New Roman" w:hAnsi="Times New Roman" w:cs="Times New Roman" w:eastAsiaTheme="minorEastAsia"/>
          <w:color w:val="auto"/>
          <w:sz w:val="30"/>
          <w:szCs w:val="30"/>
          <w:lang w:eastAsia="zh-CN"/>
        </w:rPr>
      </w:pPr>
      <w:r>
        <w:rPr>
          <w:rFonts w:hint="eastAsia" w:ascii="Times New Roman" w:hAnsi="Times New Roman" w:cs="Times New Roman"/>
          <w:color w:val="auto"/>
          <w:sz w:val="30"/>
          <w:szCs w:val="30"/>
        </w:rPr>
        <w:t>项目负责人：</w:t>
      </w:r>
    </w:p>
    <w:p>
      <w:pPr>
        <w:spacing w:line="360" w:lineRule="auto"/>
        <w:rPr>
          <w:rFonts w:hint="eastAsia" w:ascii="Times New Roman" w:hAnsi="Times New Roman" w:cs="Times New Roman" w:eastAsiaTheme="minorEastAsia"/>
          <w:color w:val="auto"/>
          <w:sz w:val="30"/>
          <w:szCs w:val="30"/>
          <w:lang w:val="en-US" w:eastAsia="zh-CN"/>
        </w:rPr>
      </w:pPr>
      <w:r>
        <w:rPr>
          <w:rFonts w:hint="eastAsia" w:ascii="Times New Roman" w:hAnsi="Times New Roman" w:cs="Times New Roman"/>
          <w:color w:val="auto"/>
          <w:sz w:val="30"/>
          <w:szCs w:val="30"/>
        </w:rPr>
        <w:t>报告编写人：</w:t>
      </w:r>
    </w:p>
    <w:p>
      <w:pPr>
        <w:spacing w:line="360" w:lineRule="auto"/>
        <w:rPr>
          <w:rFonts w:ascii="Times New Roman" w:hAnsi="Times New Roman" w:cs="Times New Roman"/>
          <w:color w:val="auto"/>
          <w:sz w:val="28"/>
          <w:szCs w:val="28"/>
        </w:rPr>
      </w:pPr>
    </w:p>
    <w:p>
      <w:pPr>
        <w:spacing w:line="360" w:lineRule="auto"/>
        <w:rPr>
          <w:rFonts w:ascii="Times New Roman" w:hAnsi="Times New Roman" w:cs="Times New Roman"/>
          <w:color w:val="auto"/>
          <w:sz w:val="28"/>
          <w:szCs w:val="28"/>
        </w:rPr>
      </w:pPr>
    </w:p>
    <w:p>
      <w:pPr>
        <w:spacing w:line="360" w:lineRule="auto"/>
        <w:rPr>
          <w:rFonts w:ascii="Times New Roman" w:hAnsi="Times New Roman" w:cs="Times New Roman"/>
          <w:color w:val="auto"/>
          <w:sz w:val="28"/>
          <w:szCs w:val="28"/>
        </w:rPr>
      </w:pPr>
    </w:p>
    <w:p>
      <w:pPr>
        <w:spacing w:line="360" w:lineRule="auto"/>
        <w:rPr>
          <w:rFonts w:ascii="Times New Roman" w:hAnsi="Times New Roman" w:cs="Times New Roman"/>
          <w:color w:val="auto"/>
          <w:sz w:val="28"/>
          <w:szCs w:val="28"/>
        </w:rPr>
      </w:pPr>
    </w:p>
    <w:p>
      <w:pPr>
        <w:spacing w:line="360" w:lineRule="auto"/>
        <w:rPr>
          <w:rFonts w:ascii="Times New Roman" w:hAnsi="Times New Roman" w:cs="Times New Roman"/>
          <w:color w:val="auto"/>
          <w:sz w:val="28"/>
          <w:szCs w:val="28"/>
        </w:rPr>
      </w:pPr>
    </w:p>
    <w:p>
      <w:pPr>
        <w:spacing w:line="360" w:lineRule="auto"/>
        <w:rPr>
          <w:rFonts w:ascii="Times New Roman" w:hAnsi="Times New Roman" w:cs="Times New Roman"/>
          <w:color w:val="auto"/>
          <w:sz w:val="28"/>
          <w:szCs w:val="28"/>
        </w:rPr>
      </w:pPr>
    </w:p>
    <w:p>
      <w:pPr>
        <w:spacing w:line="360" w:lineRule="auto"/>
        <w:rPr>
          <w:rFonts w:ascii="Times New Roman" w:hAnsi="Times New Roman" w:cs="Times New Roman"/>
          <w:color w:val="auto"/>
          <w:sz w:val="28"/>
          <w:szCs w:val="28"/>
        </w:rPr>
      </w:pPr>
    </w:p>
    <w:p>
      <w:pPr>
        <w:spacing w:line="360" w:lineRule="auto"/>
        <w:rPr>
          <w:rFonts w:ascii="Times New Roman" w:hAnsi="Times New Roman" w:cs="Times New Roman"/>
          <w:color w:val="auto"/>
          <w:sz w:val="28"/>
          <w:szCs w:val="28"/>
        </w:rPr>
      </w:pPr>
    </w:p>
    <w:p>
      <w:pPr>
        <w:spacing w:line="360" w:lineRule="auto"/>
        <w:rPr>
          <w:rFonts w:ascii="Times New Roman" w:hAnsi="Times New Roman" w:cs="Times New Roman"/>
          <w:color w:val="auto"/>
          <w:sz w:val="30"/>
          <w:szCs w:val="30"/>
        </w:rPr>
      </w:pPr>
    </w:p>
    <w:tbl>
      <w:tblPr>
        <w:tblStyle w:val="29"/>
        <w:tblW w:w="9180" w:type="dxa"/>
        <w:tblInd w:w="0" w:type="dxa"/>
        <w:tblLayout w:type="fixed"/>
        <w:tblCellMar>
          <w:top w:w="0" w:type="dxa"/>
          <w:left w:w="108" w:type="dxa"/>
          <w:bottom w:w="0" w:type="dxa"/>
          <w:right w:w="108" w:type="dxa"/>
        </w:tblCellMar>
      </w:tblPr>
      <w:tblGrid>
        <w:gridCol w:w="1242"/>
        <w:gridCol w:w="3261"/>
        <w:gridCol w:w="1134"/>
        <w:gridCol w:w="3543"/>
      </w:tblGrid>
      <w:tr>
        <w:tblPrEx>
          <w:tblCellMar>
            <w:top w:w="0" w:type="dxa"/>
            <w:left w:w="108" w:type="dxa"/>
            <w:bottom w:w="0" w:type="dxa"/>
            <w:right w:w="108" w:type="dxa"/>
          </w:tblCellMar>
        </w:tblPrEx>
        <w:tc>
          <w:tcPr>
            <w:tcW w:w="4503" w:type="dxa"/>
            <w:gridSpan w:val="2"/>
          </w:tcPr>
          <w:p>
            <w:pPr>
              <w:spacing w:line="360" w:lineRule="auto"/>
              <w:rPr>
                <w:rFonts w:hint="eastAsia" w:ascii="Times New Roman" w:hAnsi="Times New Roman" w:cs="Times New Roman" w:eastAsiaTheme="minorEastAsia"/>
                <w:color w:val="auto"/>
                <w:sz w:val="30"/>
                <w:szCs w:val="30"/>
                <w:lang w:eastAsia="zh-CN"/>
              </w:rPr>
            </w:pPr>
            <w:r>
              <w:rPr>
                <w:rFonts w:ascii="Times New Roman" w:hAnsi="Times New Roman" w:cs="Times New Roman"/>
                <w:color w:val="auto"/>
                <w:kern w:val="0"/>
                <w:sz w:val="30"/>
                <w:szCs w:val="30"/>
              </w:rPr>
              <w:t>建设单位：</w:t>
            </w:r>
            <w:r>
              <w:rPr>
                <w:rFonts w:hint="eastAsia" w:ascii="Times New Roman" w:hAnsi="Times New Roman" w:cs="Times New Roman"/>
                <w:color w:val="auto"/>
                <w:sz w:val="30"/>
                <w:szCs w:val="30"/>
                <w:lang w:eastAsia="zh-CN"/>
              </w:rPr>
              <w:t>灵璧县建设投资集团有限公司</w:t>
            </w:r>
          </w:p>
        </w:tc>
        <w:tc>
          <w:tcPr>
            <w:tcW w:w="4677" w:type="dxa"/>
            <w:gridSpan w:val="2"/>
          </w:tcPr>
          <w:p>
            <w:pPr>
              <w:spacing w:line="360" w:lineRule="auto"/>
              <w:rPr>
                <w:rFonts w:hint="eastAsia" w:ascii="Times New Roman" w:hAnsi="Times New Roman" w:cs="Times New Roman" w:eastAsiaTheme="minorEastAsia"/>
                <w:color w:val="auto"/>
                <w:kern w:val="0"/>
                <w:sz w:val="30"/>
                <w:szCs w:val="30"/>
                <w:lang w:val="en-US" w:eastAsia="zh-CN"/>
              </w:rPr>
            </w:pPr>
            <w:r>
              <w:rPr>
                <w:rFonts w:ascii="Times New Roman" w:hAnsi="Times New Roman" w:cs="Times New Roman"/>
                <w:color w:val="auto"/>
                <w:kern w:val="0"/>
                <w:sz w:val="30"/>
                <w:szCs w:val="30"/>
              </w:rPr>
              <w:t>编制单位：</w:t>
            </w:r>
            <w:r>
              <w:rPr>
                <w:rFonts w:hint="eastAsia" w:ascii="Times New Roman" w:hAnsi="Times New Roman" w:cs="Times New Roman"/>
                <w:color w:val="auto"/>
                <w:sz w:val="30"/>
                <w:szCs w:val="30"/>
                <w:lang w:eastAsia="zh-CN"/>
              </w:rPr>
              <w:t>灵璧县建设投资集团有限公司</w:t>
            </w:r>
          </w:p>
        </w:tc>
      </w:tr>
      <w:tr>
        <w:tblPrEx>
          <w:tblCellMar>
            <w:top w:w="0" w:type="dxa"/>
            <w:left w:w="108" w:type="dxa"/>
            <w:bottom w:w="0" w:type="dxa"/>
            <w:right w:w="108" w:type="dxa"/>
          </w:tblCellMar>
        </w:tblPrEx>
        <w:tc>
          <w:tcPr>
            <w:tcW w:w="1242" w:type="dxa"/>
          </w:tcPr>
          <w:p>
            <w:pPr>
              <w:spacing w:line="360" w:lineRule="auto"/>
              <w:rPr>
                <w:rFonts w:ascii="Times New Roman" w:hAnsi="Times New Roman" w:cs="Times New Roman"/>
                <w:color w:val="auto"/>
                <w:kern w:val="0"/>
                <w:sz w:val="30"/>
                <w:szCs w:val="30"/>
              </w:rPr>
            </w:pPr>
            <w:r>
              <w:rPr>
                <w:rFonts w:ascii="Times New Roman" w:hAnsi="Times New Roman" w:cs="Times New Roman"/>
                <w:color w:val="auto"/>
                <w:kern w:val="0"/>
                <w:sz w:val="30"/>
                <w:szCs w:val="30"/>
              </w:rPr>
              <w:t>电话：</w:t>
            </w:r>
          </w:p>
        </w:tc>
        <w:tc>
          <w:tcPr>
            <w:tcW w:w="3261" w:type="dxa"/>
          </w:tcPr>
          <w:p>
            <w:pPr>
              <w:spacing w:line="360" w:lineRule="auto"/>
              <w:jc w:val="left"/>
              <w:rPr>
                <w:rFonts w:ascii="Times New Roman" w:hAnsi="Times New Roman" w:cs="Times New Roman"/>
                <w:color w:val="auto"/>
                <w:kern w:val="0"/>
                <w:sz w:val="30"/>
                <w:szCs w:val="30"/>
              </w:rPr>
            </w:pPr>
            <w:r>
              <w:rPr>
                <w:rFonts w:hint="eastAsia" w:ascii="Times New Roman" w:hAnsi="Times New Roman" w:cs="Times New Roman"/>
                <w:color w:val="auto"/>
                <w:kern w:val="0"/>
                <w:sz w:val="30"/>
                <w:szCs w:val="30"/>
              </w:rPr>
              <w:t>18055716271</w:t>
            </w:r>
          </w:p>
        </w:tc>
        <w:tc>
          <w:tcPr>
            <w:tcW w:w="1134" w:type="dxa"/>
          </w:tcPr>
          <w:p>
            <w:pPr>
              <w:spacing w:line="360" w:lineRule="auto"/>
              <w:jc w:val="left"/>
              <w:rPr>
                <w:rFonts w:ascii="Times New Roman" w:hAnsi="Times New Roman" w:cs="Times New Roman"/>
                <w:color w:val="auto"/>
                <w:kern w:val="0"/>
                <w:sz w:val="30"/>
                <w:szCs w:val="30"/>
              </w:rPr>
            </w:pPr>
            <w:r>
              <w:rPr>
                <w:rFonts w:ascii="Times New Roman" w:hAnsi="Times New Roman" w:cs="Times New Roman"/>
                <w:color w:val="auto"/>
                <w:kern w:val="0"/>
                <w:sz w:val="30"/>
                <w:szCs w:val="30"/>
              </w:rPr>
              <w:t>电话：</w:t>
            </w:r>
          </w:p>
        </w:tc>
        <w:tc>
          <w:tcPr>
            <w:tcW w:w="3543" w:type="dxa"/>
            <w:vAlign w:val="top"/>
          </w:tcPr>
          <w:p>
            <w:pPr>
              <w:spacing w:line="360" w:lineRule="auto"/>
              <w:jc w:val="left"/>
              <w:rPr>
                <w:rFonts w:hint="default" w:ascii="Times New Roman" w:hAnsi="Times New Roman" w:cs="Times New Roman" w:eastAsiaTheme="minorEastAsia"/>
                <w:color w:val="auto"/>
                <w:kern w:val="0"/>
                <w:sz w:val="30"/>
                <w:szCs w:val="30"/>
                <w:lang w:val="en-US" w:eastAsia="zh-CN"/>
              </w:rPr>
            </w:pPr>
            <w:r>
              <w:rPr>
                <w:rFonts w:hint="eastAsia" w:ascii="Times New Roman" w:hAnsi="Times New Roman" w:cs="Times New Roman"/>
                <w:color w:val="auto"/>
                <w:kern w:val="0"/>
                <w:sz w:val="30"/>
                <w:szCs w:val="30"/>
              </w:rPr>
              <w:t>18055716271</w:t>
            </w:r>
          </w:p>
        </w:tc>
      </w:tr>
      <w:tr>
        <w:tblPrEx>
          <w:tblCellMar>
            <w:top w:w="0" w:type="dxa"/>
            <w:left w:w="108" w:type="dxa"/>
            <w:bottom w:w="0" w:type="dxa"/>
            <w:right w:w="108" w:type="dxa"/>
          </w:tblCellMar>
        </w:tblPrEx>
        <w:trPr>
          <w:trHeight w:val="90" w:hRule="atLeast"/>
        </w:trPr>
        <w:tc>
          <w:tcPr>
            <w:tcW w:w="1242" w:type="dxa"/>
          </w:tcPr>
          <w:p>
            <w:pPr>
              <w:spacing w:line="360" w:lineRule="auto"/>
              <w:rPr>
                <w:rFonts w:ascii="Times New Roman" w:hAnsi="Times New Roman" w:cs="Times New Roman"/>
                <w:color w:val="auto"/>
                <w:kern w:val="0"/>
                <w:sz w:val="30"/>
                <w:szCs w:val="30"/>
              </w:rPr>
            </w:pPr>
            <w:r>
              <w:rPr>
                <w:rFonts w:ascii="Times New Roman" w:hAnsi="Times New Roman" w:cs="Times New Roman"/>
                <w:color w:val="auto"/>
                <w:kern w:val="0"/>
                <w:sz w:val="30"/>
                <w:szCs w:val="30"/>
              </w:rPr>
              <w:t>传真：</w:t>
            </w:r>
          </w:p>
        </w:tc>
        <w:tc>
          <w:tcPr>
            <w:tcW w:w="3261" w:type="dxa"/>
          </w:tcPr>
          <w:p>
            <w:pPr>
              <w:spacing w:line="360" w:lineRule="auto"/>
              <w:jc w:val="left"/>
              <w:rPr>
                <w:rFonts w:ascii="Times New Roman" w:hAnsi="Times New Roman" w:cs="Times New Roman"/>
                <w:color w:val="auto"/>
                <w:kern w:val="0"/>
                <w:sz w:val="30"/>
                <w:szCs w:val="30"/>
              </w:rPr>
            </w:pPr>
            <w:r>
              <w:rPr>
                <w:rFonts w:ascii="Times New Roman" w:hAnsi="Times New Roman" w:cs="Times New Roman"/>
                <w:color w:val="auto"/>
                <w:kern w:val="0"/>
                <w:sz w:val="30"/>
                <w:szCs w:val="30"/>
              </w:rPr>
              <w:t>——</w:t>
            </w:r>
          </w:p>
        </w:tc>
        <w:tc>
          <w:tcPr>
            <w:tcW w:w="1134" w:type="dxa"/>
          </w:tcPr>
          <w:p>
            <w:pPr>
              <w:spacing w:line="360" w:lineRule="auto"/>
              <w:jc w:val="left"/>
              <w:rPr>
                <w:rFonts w:ascii="Times New Roman" w:hAnsi="Times New Roman" w:cs="Times New Roman"/>
                <w:color w:val="auto"/>
                <w:kern w:val="0"/>
                <w:sz w:val="30"/>
                <w:szCs w:val="30"/>
              </w:rPr>
            </w:pPr>
            <w:r>
              <w:rPr>
                <w:rFonts w:ascii="Times New Roman" w:hAnsi="Times New Roman" w:cs="Times New Roman"/>
                <w:color w:val="auto"/>
                <w:kern w:val="0"/>
                <w:sz w:val="30"/>
                <w:szCs w:val="30"/>
              </w:rPr>
              <w:t>传真：</w:t>
            </w:r>
          </w:p>
        </w:tc>
        <w:tc>
          <w:tcPr>
            <w:tcW w:w="3543" w:type="dxa"/>
            <w:vAlign w:val="top"/>
          </w:tcPr>
          <w:p>
            <w:pPr>
              <w:spacing w:line="360" w:lineRule="auto"/>
              <w:jc w:val="left"/>
              <w:rPr>
                <w:rFonts w:ascii="Times New Roman" w:hAnsi="Times New Roman" w:cs="Times New Roman"/>
                <w:color w:val="auto"/>
                <w:kern w:val="0"/>
                <w:sz w:val="30"/>
                <w:szCs w:val="30"/>
              </w:rPr>
            </w:pPr>
            <w:r>
              <w:rPr>
                <w:rFonts w:ascii="Times New Roman" w:hAnsi="Times New Roman" w:cs="Times New Roman"/>
                <w:color w:val="auto"/>
                <w:kern w:val="0"/>
                <w:sz w:val="30"/>
                <w:szCs w:val="30"/>
              </w:rPr>
              <w:t>——</w:t>
            </w:r>
          </w:p>
        </w:tc>
      </w:tr>
      <w:tr>
        <w:tblPrEx>
          <w:tblCellMar>
            <w:top w:w="0" w:type="dxa"/>
            <w:left w:w="108" w:type="dxa"/>
            <w:bottom w:w="0" w:type="dxa"/>
            <w:right w:w="108" w:type="dxa"/>
          </w:tblCellMar>
        </w:tblPrEx>
        <w:tc>
          <w:tcPr>
            <w:tcW w:w="1242" w:type="dxa"/>
          </w:tcPr>
          <w:p>
            <w:pPr>
              <w:spacing w:line="360" w:lineRule="auto"/>
              <w:rPr>
                <w:rFonts w:ascii="Times New Roman" w:hAnsi="Times New Roman" w:cs="Times New Roman"/>
                <w:color w:val="auto"/>
                <w:kern w:val="0"/>
                <w:sz w:val="30"/>
                <w:szCs w:val="30"/>
              </w:rPr>
            </w:pPr>
            <w:r>
              <w:rPr>
                <w:rFonts w:ascii="Times New Roman" w:hAnsi="Times New Roman" w:cs="Times New Roman"/>
                <w:color w:val="auto"/>
                <w:kern w:val="0"/>
                <w:sz w:val="30"/>
                <w:szCs w:val="30"/>
              </w:rPr>
              <w:t>邮编：</w:t>
            </w:r>
          </w:p>
        </w:tc>
        <w:tc>
          <w:tcPr>
            <w:tcW w:w="3261" w:type="dxa"/>
            <w:vAlign w:val="center"/>
          </w:tcPr>
          <w:p>
            <w:pPr>
              <w:spacing w:line="360" w:lineRule="auto"/>
              <w:jc w:val="left"/>
              <w:rPr>
                <w:rFonts w:hint="default" w:ascii="Times New Roman" w:hAnsi="Times New Roman" w:cs="Times New Roman" w:eastAsiaTheme="minorEastAsia"/>
                <w:color w:val="auto"/>
                <w:kern w:val="0"/>
                <w:sz w:val="30"/>
                <w:szCs w:val="30"/>
                <w:lang w:val="en-US" w:eastAsia="zh-CN"/>
              </w:rPr>
            </w:pPr>
            <w:r>
              <w:rPr>
                <w:rFonts w:hint="eastAsia" w:ascii="Times New Roman" w:hAnsi="Times New Roman" w:cs="Times New Roman"/>
                <w:color w:val="auto"/>
                <w:kern w:val="0"/>
                <w:sz w:val="30"/>
                <w:szCs w:val="30"/>
                <w:lang w:val="en-US" w:eastAsia="zh-CN"/>
              </w:rPr>
              <w:t>234200</w:t>
            </w:r>
          </w:p>
        </w:tc>
        <w:tc>
          <w:tcPr>
            <w:tcW w:w="1134" w:type="dxa"/>
          </w:tcPr>
          <w:p>
            <w:pPr>
              <w:spacing w:line="360" w:lineRule="auto"/>
              <w:jc w:val="left"/>
              <w:rPr>
                <w:rFonts w:ascii="Times New Roman" w:hAnsi="Times New Roman" w:cs="Times New Roman"/>
                <w:color w:val="auto"/>
                <w:kern w:val="0"/>
                <w:sz w:val="30"/>
                <w:szCs w:val="30"/>
              </w:rPr>
            </w:pPr>
            <w:r>
              <w:rPr>
                <w:rFonts w:ascii="Times New Roman" w:hAnsi="Times New Roman" w:cs="Times New Roman"/>
                <w:color w:val="auto"/>
                <w:kern w:val="0"/>
                <w:sz w:val="30"/>
                <w:szCs w:val="30"/>
              </w:rPr>
              <w:t>邮编：</w:t>
            </w:r>
          </w:p>
        </w:tc>
        <w:tc>
          <w:tcPr>
            <w:tcW w:w="3543" w:type="dxa"/>
            <w:vAlign w:val="center"/>
          </w:tcPr>
          <w:p>
            <w:pPr>
              <w:spacing w:line="360" w:lineRule="auto"/>
              <w:jc w:val="left"/>
              <w:rPr>
                <w:rFonts w:hint="default" w:ascii="Times New Roman" w:hAnsi="Times New Roman" w:cs="Times New Roman" w:eastAsiaTheme="minorEastAsia"/>
                <w:color w:val="auto"/>
                <w:kern w:val="0"/>
                <w:sz w:val="30"/>
                <w:szCs w:val="30"/>
                <w:lang w:val="en-US" w:eastAsia="zh-CN"/>
              </w:rPr>
            </w:pPr>
            <w:r>
              <w:rPr>
                <w:rFonts w:hint="eastAsia" w:ascii="Times New Roman" w:hAnsi="Times New Roman" w:cs="Times New Roman"/>
                <w:color w:val="auto"/>
                <w:kern w:val="0"/>
                <w:sz w:val="30"/>
                <w:szCs w:val="30"/>
                <w:lang w:val="en-US" w:eastAsia="zh-CN"/>
              </w:rPr>
              <w:t>234200</w:t>
            </w:r>
          </w:p>
        </w:tc>
      </w:tr>
      <w:tr>
        <w:tblPrEx>
          <w:tblCellMar>
            <w:top w:w="0" w:type="dxa"/>
            <w:left w:w="108" w:type="dxa"/>
            <w:bottom w:w="0" w:type="dxa"/>
            <w:right w:w="108" w:type="dxa"/>
          </w:tblCellMar>
        </w:tblPrEx>
        <w:tc>
          <w:tcPr>
            <w:tcW w:w="1242" w:type="dxa"/>
            <w:vAlign w:val="center"/>
          </w:tcPr>
          <w:p>
            <w:pPr>
              <w:spacing w:line="360" w:lineRule="auto"/>
              <w:rPr>
                <w:rFonts w:ascii="Times New Roman" w:hAnsi="Times New Roman" w:cs="Times New Roman"/>
                <w:color w:val="auto"/>
                <w:kern w:val="0"/>
                <w:sz w:val="30"/>
                <w:szCs w:val="30"/>
              </w:rPr>
            </w:pPr>
            <w:r>
              <w:rPr>
                <w:rFonts w:ascii="Times New Roman" w:hAnsi="Times New Roman" w:cs="Times New Roman"/>
                <w:color w:val="auto"/>
                <w:kern w:val="0"/>
                <w:sz w:val="30"/>
                <w:szCs w:val="30"/>
              </w:rPr>
              <w:t>地址：</w:t>
            </w:r>
          </w:p>
        </w:tc>
        <w:tc>
          <w:tcPr>
            <w:tcW w:w="3261" w:type="dxa"/>
            <w:vAlign w:val="center"/>
          </w:tcPr>
          <w:p>
            <w:pPr>
              <w:spacing w:line="360" w:lineRule="auto"/>
              <w:rPr>
                <w:rFonts w:ascii="Times New Roman" w:hAnsi="Times New Roman" w:cs="Times New Roman"/>
                <w:color w:val="auto"/>
                <w:kern w:val="0"/>
                <w:sz w:val="30"/>
                <w:szCs w:val="30"/>
              </w:rPr>
            </w:pPr>
            <w:r>
              <w:rPr>
                <w:rFonts w:hint="eastAsia" w:ascii="Times New Roman" w:hAnsi="Times New Roman" w:cs="Times New Roman"/>
                <w:color w:val="auto"/>
                <w:kern w:val="0"/>
                <w:sz w:val="30"/>
                <w:szCs w:val="30"/>
              </w:rPr>
              <w:t>安徽省灵璧县钟灵大道西段政务中心大楼2楼</w:t>
            </w:r>
          </w:p>
        </w:tc>
        <w:tc>
          <w:tcPr>
            <w:tcW w:w="1134" w:type="dxa"/>
            <w:vAlign w:val="center"/>
          </w:tcPr>
          <w:p>
            <w:pPr>
              <w:spacing w:line="360" w:lineRule="auto"/>
              <w:rPr>
                <w:rFonts w:ascii="Times New Roman" w:hAnsi="Times New Roman" w:cs="Times New Roman"/>
                <w:color w:val="auto"/>
                <w:kern w:val="0"/>
                <w:sz w:val="30"/>
                <w:szCs w:val="30"/>
              </w:rPr>
            </w:pPr>
            <w:r>
              <w:rPr>
                <w:rFonts w:ascii="Times New Roman" w:hAnsi="Times New Roman" w:cs="Times New Roman"/>
                <w:color w:val="auto"/>
                <w:kern w:val="0"/>
                <w:sz w:val="30"/>
                <w:szCs w:val="30"/>
              </w:rPr>
              <w:t>地址：</w:t>
            </w:r>
          </w:p>
        </w:tc>
        <w:tc>
          <w:tcPr>
            <w:tcW w:w="3543" w:type="dxa"/>
            <w:vAlign w:val="center"/>
          </w:tcPr>
          <w:p>
            <w:pPr>
              <w:spacing w:line="360" w:lineRule="auto"/>
              <w:rPr>
                <w:rFonts w:ascii="Times New Roman" w:hAnsi="Times New Roman" w:cs="Times New Roman"/>
                <w:color w:val="auto"/>
                <w:kern w:val="0"/>
                <w:sz w:val="30"/>
                <w:szCs w:val="30"/>
              </w:rPr>
            </w:pPr>
            <w:r>
              <w:rPr>
                <w:rFonts w:hint="eastAsia" w:ascii="Times New Roman" w:hAnsi="Times New Roman" w:cs="Times New Roman"/>
                <w:color w:val="auto"/>
                <w:kern w:val="0"/>
                <w:sz w:val="30"/>
                <w:szCs w:val="30"/>
              </w:rPr>
              <w:t>安徽省灵璧县钟灵大道西段政务中心大楼2楼</w:t>
            </w:r>
          </w:p>
        </w:tc>
      </w:tr>
    </w:tbl>
    <w:p>
      <w:pPr>
        <w:spacing w:line="360" w:lineRule="auto"/>
        <w:jc w:val="left"/>
        <w:rPr>
          <w:rFonts w:ascii="Times New Roman" w:hAnsi="Times New Roman" w:cs="Times New Roman"/>
          <w:color w:val="auto"/>
        </w:rPr>
      </w:pPr>
    </w:p>
    <w:p>
      <w:pPr>
        <w:pStyle w:val="68"/>
        <w:tabs>
          <w:tab w:val="left" w:pos="772"/>
          <w:tab w:val="center" w:pos="4156"/>
        </w:tabs>
        <w:spacing w:before="156" w:after="156" w:line="380" w:lineRule="exact"/>
        <w:rPr>
          <w:rFonts w:ascii="Times New Roman" w:hAnsi="Times New Roman" w:cs="Times New Roman" w:eastAsiaTheme="minorEastAsia"/>
          <w:color w:val="auto"/>
          <w:kern w:val="2"/>
          <w:sz w:val="21"/>
          <w:szCs w:val="22"/>
          <w:lang w:val="zh-CN"/>
        </w:rPr>
        <w:sectPr>
          <w:footerReference r:id="rId3" w:type="default"/>
          <w:pgSz w:w="11906" w:h="16838"/>
          <w:pgMar w:top="1361" w:right="1361" w:bottom="1361" w:left="1361" w:header="851" w:footer="737" w:gutter="0"/>
          <w:pgBorders>
            <w:top w:val="none" w:sz="0" w:space="0"/>
            <w:left w:val="none" w:sz="0" w:space="0"/>
            <w:bottom w:val="none" w:sz="0" w:space="0"/>
            <w:right w:val="none" w:sz="0" w:space="0"/>
          </w:pgBorders>
          <w:pgNumType w:fmt="upperRoman" w:start="1"/>
          <w:cols w:space="0" w:num="1"/>
          <w:rtlGutter w:val="0"/>
          <w:docGrid w:type="lines" w:linePitch="312" w:charSpace="0"/>
        </w:sectPr>
      </w:pPr>
    </w:p>
    <w:sdt>
      <w:sdtPr>
        <w:rPr>
          <w:rFonts w:ascii="Times New Roman" w:hAnsi="Times New Roman" w:cs="Times New Roman" w:eastAsiaTheme="minorEastAsia"/>
          <w:color w:val="auto"/>
          <w:kern w:val="2"/>
          <w:sz w:val="21"/>
          <w:szCs w:val="22"/>
          <w:lang w:val="zh-CN"/>
        </w:rPr>
        <w:id w:val="-1328978898"/>
        <w:docPartObj>
          <w:docPartGallery w:val="Table of Contents"/>
          <w:docPartUnique/>
        </w:docPartObj>
      </w:sdtPr>
      <w:sdtEndPr>
        <w:rPr>
          <w:rFonts w:ascii="Times New Roman" w:hAnsi="Times New Roman" w:cs="Times New Roman" w:eastAsiaTheme="minorEastAsia"/>
          <w:b/>
          <w:bCs/>
          <w:color w:val="auto"/>
          <w:kern w:val="2"/>
          <w:sz w:val="21"/>
          <w:szCs w:val="22"/>
          <w:lang w:val="zh-CN"/>
        </w:rPr>
      </w:sdtEndPr>
      <w:sdtContent>
        <w:p>
          <w:pPr>
            <w:pStyle w:val="68"/>
            <w:tabs>
              <w:tab w:val="left" w:pos="772"/>
              <w:tab w:val="center" w:pos="4156"/>
            </w:tabs>
            <w:spacing w:before="156" w:after="156" w:line="380" w:lineRule="exact"/>
            <w:rPr>
              <w:rFonts w:ascii="Times New Roman" w:hAnsi="Times New Roman" w:cs="Times New Roman"/>
              <w:color w:val="auto"/>
              <w:sz w:val="24"/>
              <w:szCs w:val="24"/>
            </w:rPr>
          </w:pPr>
          <w:r>
            <w:rPr>
              <w:rFonts w:ascii="Times New Roman" w:hAnsi="Times New Roman" w:cs="Times New Roman" w:eastAsiaTheme="minorEastAsia"/>
              <w:color w:val="auto"/>
              <w:kern w:val="2"/>
              <w:sz w:val="24"/>
              <w:szCs w:val="24"/>
              <w:lang w:val="zh-CN"/>
            </w:rPr>
            <w:tab/>
          </w:r>
          <w:r>
            <w:rPr>
              <w:rFonts w:ascii="Times New Roman" w:hAnsi="Times New Roman" w:cs="Times New Roman" w:eastAsiaTheme="minorEastAsia"/>
              <w:color w:val="auto"/>
              <w:kern w:val="2"/>
              <w:sz w:val="24"/>
              <w:szCs w:val="24"/>
              <w:lang w:val="zh-CN"/>
            </w:rPr>
            <w:tab/>
          </w:r>
          <w:r>
            <w:rPr>
              <w:rFonts w:ascii="Times New Roman" w:hAnsi="Times New Roman" w:cs="Times New Roman"/>
              <w:b/>
              <w:color w:val="auto"/>
              <w:lang w:val="zh-CN"/>
            </w:rPr>
            <w:t>目录</w:t>
          </w:r>
        </w:p>
        <w:p>
          <w:pPr>
            <w:pStyle w:val="20"/>
            <w:tabs>
              <w:tab w:val="right" w:leader="dot" w:pos="9184"/>
            </w:tabs>
          </w:pPr>
          <w:r>
            <w:rPr>
              <w:rFonts w:ascii="Times New Roman" w:hAnsi="Times New Roman" w:cs="Times New Roman"/>
              <w:color w:val="auto"/>
              <w:sz w:val="28"/>
              <w:szCs w:val="28"/>
            </w:rPr>
            <w:fldChar w:fldCharType="begin"/>
          </w:r>
          <w:r>
            <w:rPr>
              <w:rFonts w:ascii="Times New Roman" w:hAnsi="Times New Roman" w:cs="Times New Roman"/>
              <w:color w:val="auto"/>
              <w:sz w:val="28"/>
              <w:szCs w:val="28"/>
            </w:rPr>
            <w:instrText xml:space="preserve"> TOC \o "1-3" \h \z \u </w:instrText>
          </w:r>
          <w:r>
            <w:rPr>
              <w:rFonts w:ascii="Times New Roman" w:hAnsi="Times New Roman" w:cs="Times New Roman"/>
              <w:color w:val="auto"/>
              <w:sz w:val="28"/>
              <w:szCs w:val="28"/>
            </w:rPr>
            <w:fldChar w:fldCharType="separate"/>
          </w:r>
          <w:r>
            <w:rPr>
              <w:rFonts w:ascii="Times New Roman" w:hAnsi="Times New Roman" w:cs="Times New Roman"/>
              <w:color w:val="auto"/>
              <w:szCs w:val="28"/>
            </w:rPr>
            <w:fldChar w:fldCharType="begin"/>
          </w:r>
          <w:r>
            <w:rPr>
              <w:rFonts w:ascii="Times New Roman" w:hAnsi="Times New Roman" w:cs="Times New Roman"/>
              <w:szCs w:val="28"/>
            </w:rPr>
            <w:instrText xml:space="preserve"> HYPERLINK \l _Toc7445 </w:instrText>
          </w:r>
          <w:r>
            <w:rPr>
              <w:rFonts w:ascii="Times New Roman" w:hAnsi="Times New Roman" w:cs="Times New Roman"/>
              <w:szCs w:val="28"/>
            </w:rPr>
            <w:fldChar w:fldCharType="separate"/>
          </w:r>
          <w:r>
            <w:rPr>
              <w:rFonts w:ascii="Times New Roman" w:hAnsi="Times New Roman"/>
            </w:rPr>
            <w:t>一、</w:t>
          </w:r>
          <w:r>
            <w:rPr>
              <w:rFonts w:hint="eastAsia" w:ascii="Times New Roman" w:hAnsi="Times New Roman"/>
            </w:rPr>
            <w:t>前言</w:t>
          </w:r>
          <w:r>
            <w:tab/>
          </w:r>
          <w:r>
            <w:fldChar w:fldCharType="begin"/>
          </w:r>
          <w:r>
            <w:instrText xml:space="preserve"> PAGEREF _Toc7445 </w:instrText>
          </w:r>
          <w:r>
            <w:fldChar w:fldCharType="separate"/>
          </w:r>
          <w:r>
            <w:t>1</w:t>
          </w:r>
          <w:r>
            <w:fldChar w:fldCharType="end"/>
          </w:r>
          <w:r>
            <w:rPr>
              <w:rFonts w:ascii="Times New Roman" w:hAnsi="Times New Roman" w:cs="Times New Roman"/>
              <w:color w:val="auto"/>
              <w:szCs w:val="28"/>
            </w:rPr>
            <w:fldChar w:fldCharType="end"/>
          </w:r>
        </w:p>
        <w:p>
          <w:pPr>
            <w:pStyle w:val="20"/>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_Toc3745 </w:instrText>
          </w:r>
          <w:r>
            <w:rPr>
              <w:rFonts w:ascii="Times New Roman" w:hAnsi="Times New Roman" w:cs="Times New Roman"/>
              <w:bCs/>
              <w:szCs w:val="28"/>
              <w:lang w:val="zh-CN"/>
            </w:rPr>
            <w:fldChar w:fldCharType="separate"/>
          </w:r>
          <w:r>
            <w:rPr>
              <w:rFonts w:hint="eastAsia" w:ascii="Times New Roman" w:hAnsi="Times New Roman"/>
            </w:rPr>
            <w:t>二、验收依据</w:t>
          </w:r>
          <w:r>
            <w:tab/>
          </w:r>
          <w:r>
            <w:fldChar w:fldCharType="begin"/>
          </w:r>
          <w:r>
            <w:instrText xml:space="preserve"> PAGEREF _Toc3745 </w:instrText>
          </w:r>
          <w:r>
            <w:fldChar w:fldCharType="separate"/>
          </w:r>
          <w:r>
            <w:t>2</w:t>
          </w:r>
          <w:r>
            <w:fldChar w:fldCharType="end"/>
          </w:r>
          <w:r>
            <w:rPr>
              <w:rFonts w:ascii="Times New Roman" w:hAnsi="Times New Roman" w:cs="Times New Roman"/>
              <w:bCs/>
              <w:color w:val="auto"/>
              <w:szCs w:val="28"/>
              <w:lang w:val="zh-CN"/>
            </w:rPr>
            <w:fldChar w:fldCharType="end"/>
          </w:r>
        </w:p>
        <w:p>
          <w:pPr>
            <w:pStyle w:val="22"/>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_Toc7961 </w:instrText>
          </w:r>
          <w:r>
            <w:rPr>
              <w:rFonts w:ascii="Times New Roman" w:hAnsi="Times New Roman" w:cs="Times New Roman"/>
              <w:bCs/>
              <w:szCs w:val="28"/>
              <w:lang w:val="zh-CN"/>
            </w:rPr>
            <w:fldChar w:fldCharType="separate"/>
          </w:r>
          <w:r>
            <w:rPr>
              <w:rFonts w:hint="eastAsia" w:ascii="Times New Roman" w:hAnsi="Times New Roman"/>
            </w:rPr>
            <w:t>2.1建设项目环境保护相关法律、法规和规章制度</w:t>
          </w:r>
          <w:r>
            <w:tab/>
          </w:r>
          <w:r>
            <w:fldChar w:fldCharType="begin"/>
          </w:r>
          <w:r>
            <w:instrText xml:space="preserve"> PAGEREF _Toc7961 </w:instrText>
          </w:r>
          <w:r>
            <w:fldChar w:fldCharType="separate"/>
          </w:r>
          <w:r>
            <w:t>2</w:t>
          </w:r>
          <w:r>
            <w:fldChar w:fldCharType="end"/>
          </w:r>
          <w:r>
            <w:rPr>
              <w:rFonts w:ascii="Times New Roman" w:hAnsi="Times New Roman" w:cs="Times New Roman"/>
              <w:bCs/>
              <w:color w:val="auto"/>
              <w:szCs w:val="28"/>
              <w:lang w:val="zh-CN"/>
            </w:rPr>
            <w:fldChar w:fldCharType="end"/>
          </w:r>
        </w:p>
        <w:p>
          <w:pPr>
            <w:pStyle w:val="22"/>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_Toc29258 </w:instrText>
          </w:r>
          <w:r>
            <w:rPr>
              <w:rFonts w:ascii="Times New Roman" w:hAnsi="Times New Roman" w:cs="Times New Roman"/>
              <w:bCs/>
              <w:szCs w:val="28"/>
              <w:lang w:val="zh-CN"/>
            </w:rPr>
            <w:fldChar w:fldCharType="separate"/>
          </w:r>
          <w:r>
            <w:rPr>
              <w:rFonts w:hint="eastAsia" w:ascii="Times New Roman" w:hAnsi="Times New Roman"/>
            </w:rPr>
            <w:t>2.2</w:t>
          </w:r>
          <w:r>
            <w:rPr>
              <w:rFonts w:ascii="Times New Roman" w:hAnsi="Times New Roman"/>
            </w:rPr>
            <w:t>建设项目竣工环境保护验收技术规范</w:t>
          </w:r>
          <w:r>
            <w:tab/>
          </w:r>
          <w:r>
            <w:fldChar w:fldCharType="begin"/>
          </w:r>
          <w:r>
            <w:instrText xml:space="preserve"> PAGEREF _Toc29258 </w:instrText>
          </w:r>
          <w:r>
            <w:fldChar w:fldCharType="separate"/>
          </w:r>
          <w:r>
            <w:t>2</w:t>
          </w:r>
          <w:r>
            <w:fldChar w:fldCharType="end"/>
          </w:r>
          <w:r>
            <w:rPr>
              <w:rFonts w:ascii="Times New Roman" w:hAnsi="Times New Roman" w:cs="Times New Roman"/>
              <w:bCs/>
              <w:color w:val="auto"/>
              <w:szCs w:val="28"/>
              <w:lang w:val="zh-CN"/>
            </w:rPr>
            <w:fldChar w:fldCharType="end"/>
          </w:r>
        </w:p>
        <w:p>
          <w:pPr>
            <w:pStyle w:val="22"/>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_Toc3863 </w:instrText>
          </w:r>
          <w:r>
            <w:rPr>
              <w:rFonts w:ascii="Times New Roman" w:hAnsi="Times New Roman" w:cs="Times New Roman"/>
              <w:bCs/>
              <w:szCs w:val="28"/>
              <w:lang w:val="zh-CN"/>
            </w:rPr>
            <w:fldChar w:fldCharType="separate"/>
          </w:r>
          <w:r>
            <w:rPr>
              <w:rFonts w:hint="eastAsia" w:ascii="Times New Roman" w:hAnsi="Times New Roman"/>
            </w:rPr>
            <w:t>2.3</w:t>
          </w:r>
          <w:r>
            <w:rPr>
              <w:rFonts w:ascii="Times New Roman" w:hAnsi="Times New Roman"/>
            </w:rPr>
            <w:t>建设项目</w:t>
          </w:r>
          <w:r>
            <w:rPr>
              <w:rFonts w:hint="eastAsia" w:ascii="Times New Roman" w:hAnsi="Times New Roman"/>
            </w:rPr>
            <w:t>环境影响报告书及其批复部门批复决定</w:t>
          </w:r>
          <w:r>
            <w:tab/>
          </w:r>
          <w:r>
            <w:fldChar w:fldCharType="begin"/>
          </w:r>
          <w:r>
            <w:instrText xml:space="preserve"> PAGEREF _Toc3863 </w:instrText>
          </w:r>
          <w:r>
            <w:fldChar w:fldCharType="separate"/>
          </w:r>
          <w:r>
            <w:t>2</w:t>
          </w:r>
          <w:r>
            <w:fldChar w:fldCharType="end"/>
          </w:r>
          <w:r>
            <w:rPr>
              <w:rFonts w:ascii="Times New Roman" w:hAnsi="Times New Roman" w:cs="Times New Roman"/>
              <w:bCs/>
              <w:color w:val="auto"/>
              <w:szCs w:val="28"/>
              <w:lang w:val="zh-CN"/>
            </w:rPr>
            <w:fldChar w:fldCharType="end"/>
          </w:r>
        </w:p>
        <w:p>
          <w:pPr>
            <w:pStyle w:val="22"/>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_Toc18694 </w:instrText>
          </w:r>
          <w:r>
            <w:rPr>
              <w:rFonts w:ascii="Times New Roman" w:hAnsi="Times New Roman" w:cs="Times New Roman"/>
              <w:bCs/>
              <w:szCs w:val="28"/>
              <w:lang w:val="zh-CN"/>
            </w:rPr>
            <w:fldChar w:fldCharType="separate"/>
          </w:r>
          <w:r>
            <w:rPr>
              <w:rFonts w:hint="eastAsia" w:ascii="Times New Roman" w:hAnsi="Times New Roman"/>
            </w:rPr>
            <w:t>2.4相关评价标准</w:t>
          </w:r>
          <w:r>
            <w:tab/>
          </w:r>
          <w:r>
            <w:fldChar w:fldCharType="begin"/>
          </w:r>
          <w:r>
            <w:instrText xml:space="preserve"> PAGEREF _Toc18694 </w:instrText>
          </w:r>
          <w:r>
            <w:fldChar w:fldCharType="separate"/>
          </w:r>
          <w:r>
            <w:t>2</w:t>
          </w:r>
          <w:r>
            <w:fldChar w:fldCharType="end"/>
          </w:r>
          <w:r>
            <w:rPr>
              <w:rFonts w:ascii="Times New Roman" w:hAnsi="Times New Roman" w:cs="Times New Roman"/>
              <w:bCs/>
              <w:color w:val="auto"/>
              <w:szCs w:val="28"/>
              <w:lang w:val="zh-CN"/>
            </w:rPr>
            <w:fldChar w:fldCharType="end"/>
          </w:r>
        </w:p>
        <w:p>
          <w:pPr>
            <w:pStyle w:val="20"/>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_Toc12264 </w:instrText>
          </w:r>
          <w:r>
            <w:rPr>
              <w:rFonts w:ascii="Times New Roman" w:hAnsi="Times New Roman" w:cs="Times New Roman"/>
              <w:bCs/>
              <w:szCs w:val="28"/>
              <w:lang w:val="zh-CN"/>
            </w:rPr>
            <w:fldChar w:fldCharType="separate"/>
          </w:r>
          <w:r>
            <w:rPr>
              <w:rFonts w:hint="eastAsia" w:ascii="Times New Roman" w:hAnsi="Times New Roman"/>
            </w:rPr>
            <w:t>三、工程建设情况</w:t>
          </w:r>
          <w:r>
            <w:tab/>
          </w:r>
          <w:r>
            <w:fldChar w:fldCharType="begin"/>
          </w:r>
          <w:r>
            <w:instrText xml:space="preserve"> PAGEREF _Toc12264 </w:instrText>
          </w:r>
          <w:r>
            <w:fldChar w:fldCharType="separate"/>
          </w:r>
          <w:r>
            <w:t>4</w:t>
          </w:r>
          <w:r>
            <w:fldChar w:fldCharType="end"/>
          </w:r>
          <w:r>
            <w:rPr>
              <w:rFonts w:ascii="Times New Roman" w:hAnsi="Times New Roman" w:cs="Times New Roman"/>
              <w:bCs/>
              <w:color w:val="auto"/>
              <w:szCs w:val="28"/>
              <w:lang w:val="zh-CN"/>
            </w:rPr>
            <w:fldChar w:fldCharType="end"/>
          </w:r>
        </w:p>
        <w:p>
          <w:pPr>
            <w:pStyle w:val="22"/>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_Toc11301 </w:instrText>
          </w:r>
          <w:r>
            <w:rPr>
              <w:rFonts w:ascii="Times New Roman" w:hAnsi="Times New Roman" w:cs="Times New Roman"/>
              <w:bCs/>
              <w:szCs w:val="28"/>
              <w:lang w:val="zh-CN"/>
            </w:rPr>
            <w:fldChar w:fldCharType="separate"/>
          </w:r>
          <w:r>
            <w:rPr>
              <w:rFonts w:ascii="Times New Roman" w:hAnsi="Times New Roman"/>
            </w:rPr>
            <w:t>3.1</w:t>
          </w:r>
          <w:r>
            <w:rPr>
              <w:rFonts w:hint="eastAsia" w:ascii="Times New Roman" w:hAnsi="Times New Roman"/>
            </w:rPr>
            <w:t>地理位置及平面布置</w:t>
          </w:r>
          <w:r>
            <w:tab/>
          </w:r>
          <w:r>
            <w:fldChar w:fldCharType="begin"/>
          </w:r>
          <w:r>
            <w:instrText xml:space="preserve"> PAGEREF _Toc11301 </w:instrText>
          </w:r>
          <w:r>
            <w:fldChar w:fldCharType="separate"/>
          </w:r>
          <w:r>
            <w:t>4</w:t>
          </w:r>
          <w:r>
            <w:fldChar w:fldCharType="end"/>
          </w:r>
          <w:r>
            <w:rPr>
              <w:rFonts w:ascii="Times New Roman" w:hAnsi="Times New Roman" w:cs="Times New Roman"/>
              <w:bCs/>
              <w:color w:val="auto"/>
              <w:szCs w:val="28"/>
              <w:lang w:val="zh-CN"/>
            </w:rPr>
            <w:fldChar w:fldCharType="end"/>
          </w:r>
        </w:p>
        <w:p>
          <w:pPr>
            <w:pStyle w:val="22"/>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_Toc6132 </w:instrText>
          </w:r>
          <w:r>
            <w:rPr>
              <w:rFonts w:ascii="Times New Roman" w:hAnsi="Times New Roman" w:cs="Times New Roman"/>
              <w:bCs/>
              <w:szCs w:val="28"/>
              <w:lang w:val="zh-CN"/>
            </w:rPr>
            <w:fldChar w:fldCharType="separate"/>
          </w:r>
          <w:r>
            <w:rPr>
              <w:rFonts w:hint="eastAsia" w:ascii="Times New Roman" w:hAnsi="Times New Roman"/>
            </w:rPr>
            <w:t>3.</w:t>
          </w:r>
          <w:r>
            <w:rPr>
              <w:rFonts w:hint="eastAsia" w:ascii="Times New Roman" w:hAnsi="Times New Roman"/>
              <w:lang w:val="en-US" w:eastAsia="zh-CN"/>
            </w:rPr>
            <w:t>2</w:t>
          </w:r>
          <w:r>
            <w:rPr>
              <w:rFonts w:hint="eastAsia" w:ascii="Times New Roman" w:hAnsi="Times New Roman"/>
              <w:lang w:eastAsia="zh-CN"/>
            </w:rPr>
            <w:t>工程内容及规模</w:t>
          </w:r>
          <w:r>
            <w:tab/>
          </w:r>
          <w:r>
            <w:fldChar w:fldCharType="begin"/>
          </w:r>
          <w:r>
            <w:instrText xml:space="preserve"> PAGEREF _Toc6132 </w:instrText>
          </w:r>
          <w:r>
            <w:fldChar w:fldCharType="separate"/>
          </w:r>
          <w:r>
            <w:t>7</w:t>
          </w:r>
          <w:r>
            <w:fldChar w:fldCharType="end"/>
          </w:r>
          <w:r>
            <w:rPr>
              <w:rFonts w:ascii="Times New Roman" w:hAnsi="Times New Roman" w:cs="Times New Roman"/>
              <w:bCs/>
              <w:color w:val="auto"/>
              <w:szCs w:val="28"/>
              <w:lang w:val="zh-CN"/>
            </w:rPr>
            <w:fldChar w:fldCharType="end"/>
          </w:r>
        </w:p>
        <w:p>
          <w:pPr>
            <w:pStyle w:val="13"/>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_Toc6499 </w:instrText>
          </w:r>
          <w:r>
            <w:rPr>
              <w:rFonts w:ascii="Times New Roman" w:hAnsi="Times New Roman" w:cs="Times New Roman"/>
              <w:bCs/>
              <w:szCs w:val="28"/>
              <w:lang w:val="zh-CN"/>
            </w:rPr>
            <w:fldChar w:fldCharType="separate"/>
          </w:r>
          <w:r>
            <w:rPr>
              <w:rFonts w:hint="eastAsia" w:ascii="Times New Roman" w:hAnsi="Times New Roman"/>
              <w:bCs/>
              <w:szCs w:val="28"/>
              <w:lang w:val="en-US" w:eastAsia="zh-CN"/>
            </w:rPr>
            <w:t>3.2.1工程规模</w:t>
          </w:r>
          <w:r>
            <w:tab/>
          </w:r>
          <w:r>
            <w:fldChar w:fldCharType="begin"/>
          </w:r>
          <w:r>
            <w:instrText xml:space="preserve"> PAGEREF _Toc6499 </w:instrText>
          </w:r>
          <w:r>
            <w:fldChar w:fldCharType="separate"/>
          </w:r>
          <w:r>
            <w:t>7</w:t>
          </w:r>
          <w:r>
            <w:fldChar w:fldCharType="end"/>
          </w:r>
          <w:r>
            <w:rPr>
              <w:rFonts w:ascii="Times New Roman" w:hAnsi="Times New Roman" w:cs="Times New Roman"/>
              <w:bCs/>
              <w:color w:val="auto"/>
              <w:szCs w:val="28"/>
              <w:lang w:val="zh-CN"/>
            </w:rPr>
            <w:fldChar w:fldCharType="end"/>
          </w:r>
        </w:p>
        <w:p>
          <w:pPr>
            <w:pStyle w:val="13"/>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_Toc21299 </w:instrText>
          </w:r>
          <w:r>
            <w:rPr>
              <w:rFonts w:ascii="Times New Roman" w:hAnsi="Times New Roman" w:cs="Times New Roman"/>
              <w:bCs/>
              <w:szCs w:val="28"/>
              <w:lang w:val="zh-CN"/>
            </w:rPr>
            <w:fldChar w:fldCharType="separate"/>
          </w:r>
          <w:r>
            <w:rPr>
              <w:rFonts w:hint="eastAsia" w:ascii="Times New Roman" w:hAnsi="Times New Roman" w:cs="Times New Roman"/>
              <w:bCs/>
              <w:szCs w:val="28"/>
              <w:lang w:val="en-US" w:eastAsia="zh-CN"/>
            </w:rPr>
            <w:t>3.2.2工程内容</w:t>
          </w:r>
          <w:r>
            <w:tab/>
          </w:r>
          <w:r>
            <w:fldChar w:fldCharType="begin"/>
          </w:r>
          <w:r>
            <w:instrText xml:space="preserve"> PAGEREF _Toc21299 </w:instrText>
          </w:r>
          <w:r>
            <w:fldChar w:fldCharType="separate"/>
          </w:r>
          <w:r>
            <w:t>7</w:t>
          </w:r>
          <w:r>
            <w:fldChar w:fldCharType="end"/>
          </w:r>
          <w:r>
            <w:rPr>
              <w:rFonts w:ascii="Times New Roman" w:hAnsi="Times New Roman" w:cs="Times New Roman"/>
              <w:bCs/>
              <w:color w:val="auto"/>
              <w:szCs w:val="28"/>
              <w:lang w:val="zh-CN"/>
            </w:rPr>
            <w:fldChar w:fldCharType="end"/>
          </w:r>
        </w:p>
        <w:p>
          <w:pPr>
            <w:pStyle w:val="22"/>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_Toc1369 </w:instrText>
          </w:r>
          <w:r>
            <w:rPr>
              <w:rFonts w:ascii="Times New Roman" w:hAnsi="Times New Roman" w:cs="Times New Roman"/>
              <w:bCs/>
              <w:szCs w:val="28"/>
              <w:lang w:val="zh-CN"/>
            </w:rPr>
            <w:fldChar w:fldCharType="separate"/>
          </w:r>
          <w:r>
            <w:rPr>
              <w:rFonts w:hint="eastAsia" w:ascii="Times New Roman" w:hAnsi="Times New Roman"/>
            </w:rPr>
            <w:t>3.</w:t>
          </w:r>
          <w:r>
            <w:rPr>
              <w:rFonts w:hint="eastAsia" w:ascii="Times New Roman" w:hAnsi="Times New Roman"/>
              <w:lang w:val="en-US" w:eastAsia="zh-CN"/>
            </w:rPr>
            <w:t>3</w:t>
          </w:r>
          <w:r>
            <w:rPr>
              <w:rFonts w:hint="eastAsia" w:ascii="Times New Roman" w:hAnsi="Times New Roman"/>
              <w:lang w:eastAsia="zh-CN"/>
            </w:rPr>
            <w:t>主要</w:t>
          </w:r>
          <w:r>
            <w:rPr>
              <w:rFonts w:hint="eastAsia" w:ascii="Times New Roman" w:hAnsi="Times New Roman"/>
            </w:rPr>
            <w:t>设备</w:t>
          </w:r>
          <w:r>
            <w:tab/>
          </w:r>
          <w:r>
            <w:fldChar w:fldCharType="begin"/>
          </w:r>
          <w:r>
            <w:instrText xml:space="preserve"> PAGEREF _Toc1369 </w:instrText>
          </w:r>
          <w:r>
            <w:fldChar w:fldCharType="separate"/>
          </w:r>
          <w:r>
            <w:t>11</w:t>
          </w:r>
          <w:r>
            <w:fldChar w:fldCharType="end"/>
          </w:r>
          <w:r>
            <w:rPr>
              <w:rFonts w:ascii="Times New Roman" w:hAnsi="Times New Roman" w:cs="Times New Roman"/>
              <w:bCs/>
              <w:color w:val="auto"/>
              <w:szCs w:val="28"/>
              <w:lang w:val="zh-CN"/>
            </w:rPr>
            <w:fldChar w:fldCharType="end"/>
          </w:r>
        </w:p>
        <w:p>
          <w:pPr>
            <w:pStyle w:val="22"/>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_Toc16980 </w:instrText>
          </w:r>
          <w:r>
            <w:rPr>
              <w:rFonts w:ascii="Times New Roman" w:hAnsi="Times New Roman" w:cs="Times New Roman"/>
              <w:bCs/>
              <w:szCs w:val="28"/>
              <w:lang w:val="zh-CN"/>
            </w:rPr>
            <w:fldChar w:fldCharType="separate"/>
          </w:r>
          <w:r>
            <w:rPr>
              <w:rFonts w:hint="eastAsia" w:ascii="Times New Roman" w:hAnsi="Times New Roman"/>
            </w:rPr>
            <w:t>3</w:t>
          </w:r>
          <w:r>
            <w:rPr>
              <w:rFonts w:ascii="Times New Roman" w:hAnsi="Times New Roman"/>
            </w:rPr>
            <w:t>.</w:t>
          </w:r>
          <w:r>
            <w:rPr>
              <w:rFonts w:hint="eastAsia" w:ascii="Times New Roman" w:hAnsi="Times New Roman"/>
              <w:lang w:val="en-US" w:eastAsia="zh-CN"/>
            </w:rPr>
            <w:t>4</w:t>
          </w:r>
          <w:r>
            <w:rPr>
              <w:rFonts w:hint="eastAsia" w:ascii="Times New Roman" w:hAnsi="Times New Roman"/>
            </w:rPr>
            <w:t>水源及水平衡</w:t>
          </w:r>
          <w:r>
            <w:tab/>
          </w:r>
          <w:r>
            <w:fldChar w:fldCharType="begin"/>
          </w:r>
          <w:r>
            <w:instrText xml:space="preserve"> PAGEREF _Toc16980 </w:instrText>
          </w:r>
          <w:r>
            <w:fldChar w:fldCharType="separate"/>
          </w:r>
          <w:r>
            <w:t>11</w:t>
          </w:r>
          <w:r>
            <w:fldChar w:fldCharType="end"/>
          </w:r>
          <w:r>
            <w:rPr>
              <w:rFonts w:ascii="Times New Roman" w:hAnsi="Times New Roman" w:cs="Times New Roman"/>
              <w:bCs/>
              <w:color w:val="auto"/>
              <w:szCs w:val="28"/>
              <w:lang w:val="zh-CN"/>
            </w:rPr>
            <w:fldChar w:fldCharType="end"/>
          </w:r>
        </w:p>
        <w:p>
          <w:pPr>
            <w:pStyle w:val="22"/>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_Toc31374 </w:instrText>
          </w:r>
          <w:r>
            <w:rPr>
              <w:rFonts w:ascii="Times New Roman" w:hAnsi="Times New Roman" w:cs="Times New Roman"/>
              <w:bCs/>
              <w:szCs w:val="28"/>
              <w:lang w:val="zh-CN"/>
            </w:rPr>
            <w:fldChar w:fldCharType="separate"/>
          </w:r>
          <w:r>
            <w:rPr>
              <w:rFonts w:ascii="Times New Roman" w:hAnsi="Times New Roman"/>
            </w:rPr>
            <w:t>3.</w:t>
          </w:r>
          <w:r>
            <w:rPr>
              <w:rFonts w:hint="eastAsia" w:ascii="Times New Roman" w:hAnsi="Times New Roman"/>
              <w:lang w:val="en-US" w:eastAsia="zh-CN"/>
            </w:rPr>
            <w:t>5主要</w:t>
          </w:r>
          <w:r>
            <w:rPr>
              <w:rFonts w:ascii="Times New Roman" w:hAnsi="Times New Roman"/>
            </w:rPr>
            <w:t>生产工艺</w:t>
          </w:r>
          <w:r>
            <w:tab/>
          </w:r>
          <w:r>
            <w:fldChar w:fldCharType="begin"/>
          </w:r>
          <w:r>
            <w:instrText xml:space="preserve"> PAGEREF _Toc31374 </w:instrText>
          </w:r>
          <w:r>
            <w:fldChar w:fldCharType="separate"/>
          </w:r>
          <w:r>
            <w:t>11</w:t>
          </w:r>
          <w:r>
            <w:fldChar w:fldCharType="end"/>
          </w:r>
          <w:r>
            <w:rPr>
              <w:rFonts w:ascii="Times New Roman" w:hAnsi="Times New Roman" w:cs="Times New Roman"/>
              <w:bCs/>
              <w:color w:val="auto"/>
              <w:szCs w:val="28"/>
              <w:lang w:val="zh-CN"/>
            </w:rPr>
            <w:fldChar w:fldCharType="end"/>
          </w:r>
        </w:p>
        <w:p>
          <w:pPr>
            <w:pStyle w:val="13"/>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_Toc2057 </w:instrText>
          </w:r>
          <w:r>
            <w:rPr>
              <w:rFonts w:ascii="Times New Roman" w:hAnsi="Times New Roman" w:cs="Times New Roman"/>
              <w:bCs/>
              <w:szCs w:val="28"/>
              <w:lang w:val="zh-CN"/>
            </w:rPr>
            <w:fldChar w:fldCharType="separate"/>
          </w:r>
          <w:r>
            <w:rPr>
              <w:rFonts w:hint="eastAsia" w:ascii="Times New Roman" w:hAnsi="Times New Roman"/>
              <w:lang w:val="en-US" w:eastAsia="zh-CN"/>
            </w:rPr>
            <w:t>3.5.1施工工艺</w:t>
          </w:r>
          <w:r>
            <w:tab/>
          </w:r>
          <w:r>
            <w:fldChar w:fldCharType="begin"/>
          </w:r>
          <w:r>
            <w:instrText xml:space="preserve"> PAGEREF _Toc2057 </w:instrText>
          </w:r>
          <w:r>
            <w:fldChar w:fldCharType="separate"/>
          </w:r>
          <w:r>
            <w:t>11</w:t>
          </w:r>
          <w:r>
            <w:fldChar w:fldCharType="end"/>
          </w:r>
          <w:r>
            <w:rPr>
              <w:rFonts w:ascii="Times New Roman" w:hAnsi="Times New Roman" w:cs="Times New Roman"/>
              <w:bCs/>
              <w:color w:val="auto"/>
              <w:szCs w:val="28"/>
              <w:lang w:val="zh-CN"/>
            </w:rPr>
            <w:fldChar w:fldCharType="end"/>
          </w:r>
        </w:p>
        <w:p>
          <w:pPr>
            <w:pStyle w:val="13"/>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_Toc29201 </w:instrText>
          </w:r>
          <w:r>
            <w:rPr>
              <w:rFonts w:ascii="Times New Roman" w:hAnsi="Times New Roman" w:cs="Times New Roman"/>
              <w:bCs/>
              <w:szCs w:val="28"/>
              <w:lang w:val="zh-CN"/>
            </w:rPr>
            <w:fldChar w:fldCharType="separate"/>
          </w:r>
          <w:r>
            <w:rPr>
              <w:rFonts w:hint="eastAsia" w:ascii="Times New Roman" w:hAnsi="Times New Roman" w:eastAsia="宋体" w:cs="Times New Roman"/>
              <w:bCs/>
              <w:spacing w:val="10"/>
              <w:kern w:val="2"/>
              <w:szCs w:val="32"/>
              <w:lang w:val="en-US" w:eastAsia="zh-CN" w:bidi="ar-SA"/>
            </w:rPr>
            <w:t>3.5.2填埋工艺</w:t>
          </w:r>
          <w:r>
            <w:tab/>
          </w:r>
          <w:r>
            <w:fldChar w:fldCharType="begin"/>
          </w:r>
          <w:r>
            <w:instrText xml:space="preserve"> PAGEREF _Toc29201 </w:instrText>
          </w:r>
          <w:r>
            <w:fldChar w:fldCharType="separate"/>
          </w:r>
          <w:r>
            <w:t>12</w:t>
          </w:r>
          <w:r>
            <w:fldChar w:fldCharType="end"/>
          </w:r>
          <w:r>
            <w:rPr>
              <w:rFonts w:ascii="Times New Roman" w:hAnsi="Times New Roman" w:cs="Times New Roman"/>
              <w:bCs/>
              <w:color w:val="auto"/>
              <w:szCs w:val="28"/>
              <w:lang w:val="zh-CN"/>
            </w:rPr>
            <w:fldChar w:fldCharType="end"/>
          </w:r>
        </w:p>
        <w:p>
          <w:pPr>
            <w:pStyle w:val="22"/>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_Toc7621 </w:instrText>
          </w:r>
          <w:r>
            <w:rPr>
              <w:rFonts w:ascii="Times New Roman" w:hAnsi="Times New Roman" w:cs="Times New Roman"/>
              <w:bCs/>
              <w:szCs w:val="28"/>
              <w:lang w:val="zh-CN"/>
            </w:rPr>
            <w:fldChar w:fldCharType="separate"/>
          </w:r>
          <w:r>
            <w:rPr>
              <w:rFonts w:hint="eastAsia" w:ascii="Times New Roman" w:hAnsi="Times New Roman"/>
            </w:rPr>
            <w:t>3.</w:t>
          </w:r>
          <w:r>
            <w:rPr>
              <w:rFonts w:hint="eastAsia" w:ascii="Times New Roman" w:hAnsi="Times New Roman"/>
              <w:lang w:val="en-US" w:eastAsia="zh-CN"/>
            </w:rPr>
            <w:t>6</w:t>
          </w:r>
          <w:r>
            <w:rPr>
              <w:rFonts w:hint="eastAsia" w:ascii="Times New Roman" w:hAnsi="Times New Roman"/>
            </w:rPr>
            <w:t>项目变动情况</w:t>
          </w:r>
          <w:r>
            <w:tab/>
          </w:r>
          <w:r>
            <w:fldChar w:fldCharType="begin"/>
          </w:r>
          <w:r>
            <w:instrText xml:space="preserve"> PAGEREF _Toc7621 </w:instrText>
          </w:r>
          <w:r>
            <w:fldChar w:fldCharType="separate"/>
          </w:r>
          <w:r>
            <w:t>13</w:t>
          </w:r>
          <w:r>
            <w:fldChar w:fldCharType="end"/>
          </w:r>
          <w:r>
            <w:rPr>
              <w:rFonts w:ascii="Times New Roman" w:hAnsi="Times New Roman" w:cs="Times New Roman"/>
              <w:bCs/>
              <w:color w:val="auto"/>
              <w:szCs w:val="28"/>
              <w:lang w:val="zh-CN"/>
            </w:rPr>
            <w:fldChar w:fldCharType="end"/>
          </w:r>
        </w:p>
        <w:p>
          <w:pPr>
            <w:pStyle w:val="20"/>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_Toc14770 </w:instrText>
          </w:r>
          <w:r>
            <w:rPr>
              <w:rFonts w:ascii="Times New Roman" w:hAnsi="Times New Roman" w:cs="Times New Roman"/>
              <w:bCs/>
              <w:szCs w:val="28"/>
              <w:lang w:val="zh-CN"/>
            </w:rPr>
            <w:fldChar w:fldCharType="separate"/>
          </w:r>
          <w:r>
            <w:rPr>
              <w:rFonts w:ascii="Times New Roman" w:hAnsi="Times New Roman"/>
            </w:rPr>
            <w:t>四、环境保护设施</w:t>
          </w:r>
          <w:r>
            <w:tab/>
          </w:r>
          <w:r>
            <w:fldChar w:fldCharType="begin"/>
          </w:r>
          <w:r>
            <w:instrText xml:space="preserve"> PAGEREF _Toc14770 </w:instrText>
          </w:r>
          <w:r>
            <w:fldChar w:fldCharType="separate"/>
          </w:r>
          <w:r>
            <w:t>14</w:t>
          </w:r>
          <w:r>
            <w:fldChar w:fldCharType="end"/>
          </w:r>
          <w:r>
            <w:rPr>
              <w:rFonts w:ascii="Times New Roman" w:hAnsi="Times New Roman" w:cs="Times New Roman"/>
              <w:bCs/>
              <w:color w:val="auto"/>
              <w:szCs w:val="28"/>
              <w:lang w:val="zh-CN"/>
            </w:rPr>
            <w:fldChar w:fldCharType="end"/>
          </w:r>
        </w:p>
        <w:p>
          <w:pPr>
            <w:pStyle w:val="22"/>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_Toc13178 </w:instrText>
          </w:r>
          <w:r>
            <w:rPr>
              <w:rFonts w:ascii="Times New Roman" w:hAnsi="Times New Roman" w:cs="Times New Roman"/>
              <w:bCs/>
              <w:szCs w:val="28"/>
              <w:lang w:val="zh-CN"/>
            </w:rPr>
            <w:fldChar w:fldCharType="separate"/>
          </w:r>
          <w:r>
            <w:rPr>
              <w:rFonts w:hint="eastAsia" w:ascii="Times New Roman" w:hAnsi="Times New Roman"/>
              <w:lang w:val="en-US" w:eastAsia="zh-CN"/>
            </w:rPr>
            <w:t>4.1施工期污染物治理/处置设施</w:t>
          </w:r>
          <w:r>
            <w:tab/>
          </w:r>
          <w:r>
            <w:fldChar w:fldCharType="begin"/>
          </w:r>
          <w:r>
            <w:instrText xml:space="preserve"> PAGEREF _Toc13178 </w:instrText>
          </w:r>
          <w:r>
            <w:fldChar w:fldCharType="separate"/>
          </w:r>
          <w:r>
            <w:t>14</w:t>
          </w:r>
          <w:r>
            <w:fldChar w:fldCharType="end"/>
          </w:r>
          <w:r>
            <w:rPr>
              <w:rFonts w:ascii="Times New Roman" w:hAnsi="Times New Roman" w:cs="Times New Roman"/>
              <w:bCs/>
              <w:color w:val="auto"/>
              <w:szCs w:val="28"/>
              <w:lang w:val="zh-CN"/>
            </w:rPr>
            <w:fldChar w:fldCharType="end"/>
          </w:r>
        </w:p>
        <w:p>
          <w:pPr>
            <w:pStyle w:val="13"/>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_Toc7526 </w:instrText>
          </w:r>
          <w:r>
            <w:rPr>
              <w:rFonts w:ascii="Times New Roman" w:hAnsi="Times New Roman" w:cs="Times New Roman"/>
              <w:bCs/>
              <w:szCs w:val="28"/>
              <w:lang w:val="zh-CN"/>
            </w:rPr>
            <w:fldChar w:fldCharType="separate"/>
          </w:r>
          <w:r>
            <w:rPr>
              <w:rFonts w:ascii="Times New Roman" w:hAnsi="Times New Roman"/>
            </w:rPr>
            <w:t>4.1.1废水</w:t>
          </w:r>
          <w:r>
            <w:tab/>
          </w:r>
          <w:r>
            <w:fldChar w:fldCharType="begin"/>
          </w:r>
          <w:r>
            <w:instrText xml:space="preserve"> PAGEREF _Toc7526 </w:instrText>
          </w:r>
          <w:r>
            <w:fldChar w:fldCharType="separate"/>
          </w:r>
          <w:r>
            <w:t>14</w:t>
          </w:r>
          <w:r>
            <w:fldChar w:fldCharType="end"/>
          </w:r>
          <w:r>
            <w:rPr>
              <w:rFonts w:ascii="Times New Roman" w:hAnsi="Times New Roman" w:cs="Times New Roman"/>
              <w:bCs/>
              <w:color w:val="auto"/>
              <w:szCs w:val="28"/>
              <w:lang w:val="zh-CN"/>
            </w:rPr>
            <w:fldChar w:fldCharType="end"/>
          </w:r>
        </w:p>
        <w:p>
          <w:pPr>
            <w:pStyle w:val="13"/>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_Toc23051 </w:instrText>
          </w:r>
          <w:r>
            <w:rPr>
              <w:rFonts w:ascii="Times New Roman" w:hAnsi="Times New Roman" w:cs="Times New Roman"/>
              <w:bCs/>
              <w:szCs w:val="28"/>
              <w:lang w:val="zh-CN"/>
            </w:rPr>
            <w:fldChar w:fldCharType="separate"/>
          </w:r>
          <w:r>
            <w:rPr>
              <w:rFonts w:ascii="Times New Roman" w:hAnsi="Times New Roman"/>
            </w:rPr>
            <w:t>4.1.</w:t>
          </w:r>
          <w:r>
            <w:rPr>
              <w:rFonts w:hint="eastAsia" w:ascii="Times New Roman" w:hAnsi="Times New Roman"/>
              <w:lang w:val="en-US" w:eastAsia="zh-CN"/>
            </w:rPr>
            <w:t>2</w:t>
          </w:r>
          <w:r>
            <w:rPr>
              <w:rFonts w:ascii="Times New Roman" w:hAnsi="Times New Roman"/>
            </w:rPr>
            <w:t>废</w:t>
          </w:r>
          <w:r>
            <w:rPr>
              <w:rFonts w:hint="eastAsia" w:ascii="Times New Roman" w:hAnsi="Times New Roman"/>
              <w:lang w:eastAsia="zh-CN"/>
            </w:rPr>
            <w:t>气</w:t>
          </w:r>
          <w:r>
            <w:tab/>
          </w:r>
          <w:r>
            <w:fldChar w:fldCharType="begin"/>
          </w:r>
          <w:r>
            <w:instrText xml:space="preserve"> PAGEREF _Toc23051 </w:instrText>
          </w:r>
          <w:r>
            <w:fldChar w:fldCharType="separate"/>
          </w:r>
          <w:r>
            <w:t>14</w:t>
          </w:r>
          <w:r>
            <w:fldChar w:fldCharType="end"/>
          </w:r>
          <w:r>
            <w:rPr>
              <w:rFonts w:ascii="Times New Roman" w:hAnsi="Times New Roman" w:cs="Times New Roman"/>
              <w:bCs/>
              <w:color w:val="auto"/>
              <w:szCs w:val="28"/>
              <w:lang w:val="zh-CN"/>
            </w:rPr>
            <w:fldChar w:fldCharType="end"/>
          </w:r>
        </w:p>
        <w:p>
          <w:pPr>
            <w:pStyle w:val="13"/>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_Toc29776 </w:instrText>
          </w:r>
          <w:r>
            <w:rPr>
              <w:rFonts w:ascii="Times New Roman" w:hAnsi="Times New Roman" w:cs="Times New Roman"/>
              <w:bCs/>
              <w:szCs w:val="28"/>
              <w:lang w:val="zh-CN"/>
            </w:rPr>
            <w:fldChar w:fldCharType="separate"/>
          </w:r>
          <w:r>
            <w:rPr>
              <w:rFonts w:ascii="Times New Roman" w:hAnsi="Times New Roman"/>
            </w:rPr>
            <w:t>4.1.</w:t>
          </w:r>
          <w:r>
            <w:rPr>
              <w:rFonts w:hint="eastAsia" w:ascii="Times New Roman" w:hAnsi="Times New Roman"/>
              <w:lang w:val="en-US" w:eastAsia="zh-CN"/>
            </w:rPr>
            <w:t>3</w:t>
          </w:r>
          <w:r>
            <w:rPr>
              <w:rFonts w:hint="eastAsia" w:ascii="Times New Roman" w:hAnsi="Times New Roman"/>
              <w:lang w:eastAsia="zh-CN"/>
            </w:rPr>
            <w:t>噪声</w:t>
          </w:r>
          <w:r>
            <w:tab/>
          </w:r>
          <w:r>
            <w:fldChar w:fldCharType="begin"/>
          </w:r>
          <w:r>
            <w:instrText xml:space="preserve"> PAGEREF _Toc29776 </w:instrText>
          </w:r>
          <w:r>
            <w:fldChar w:fldCharType="separate"/>
          </w:r>
          <w:r>
            <w:t>14</w:t>
          </w:r>
          <w:r>
            <w:fldChar w:fldCharType="end"/>
          </w:r>
          <w:r>
            <w:rPr>
              <w:rFonts w:ascii="Times New Roman" w:hAnsi="Times New Roman" w:cs="Times New Roman"/>
              <w:bCs/>
              <w:color w:val="auto"/>
              <w:szCs w:val="28"/>
              <w:lang w:val="zh-CN"/>
            </w:rPr>
            <w:fldChar w:fldCharType="end"/>
          </w:r>
        </w:p>
        <w:p>
          <w:pPr>
            <w:pStyle w:val="13"/>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_Toc13972 </w:instrText>
          </w:r>
          <w:r>
            <w:rPr>
              <w:rFonts w:ascii="Times New Roman" w:hAnsi="Times New Roman" w:cs="Times New Roman"/>
              <w:bCs/>
              <w:szCs w:val="28"/>
              <w:lang w:val="zh-CN"/>
            </w:rPr>
            <w:fldChar w:fldCharType="separate"/>
          </w:r>
          <w:r>
            <w:rPr>
              <w:rFonts w:ascii="Times New Roman" w:hAnsi="Times New Roman"/>
            </w:rPr>
            <w:t>4.1.</w:t>
          </w:r>
          <w:r>
            <w:rPr>
              <w:rFonts w:hint="eastAsia" w:ascii="Times New Roman" w:hAnsi="Times New Roman"/>
              <w:lang w:val="en-US" w:eastAsia="zh-CN"/>
            </w:rPr>
            <w:t>4</w:t>
          </w:r>
          <w:r>
            <w:rPr>
              <w:rFonts w:hint="eastAsia" w:ascii="Times New Roman" w:hAnsi="Times New Roman"/>
              <w:lang w:eastAsia="zh-CN"/>
            </w:rPr>
            <w:t>固体废物</w:t>
          </w:r>
          <w:r>
            <w:tab/>
          </w:r>
          <w:r>
            <w:fldChar w:fldCharType="begin"/>
          </w:r>
          <w:r>
            <w:instrText xml:space="preserve"> PAGEREF _Toc13972 </w:instrText>
          </w:r>
          <w:r>
            <w:fldChar w:fldCharType="separate"/>
          </w:r>
          <w:r>
            <w:t>14</w:t>
          </w:r>
          <w:r>
            <w:fldChar w:fldCharType="end"/>
          </w:r>
          <w:r>
            <w:rPr>
              <w:rFonts w:ascii="Times New Roman" w:hAnsi="Times New Roman" w:cs="Times New Roman"/>
              <w:bCs/>
              <w:color w:val="auto"/>
              <w:szCs w:val="28"/>
              <w:lang w:val="zh-CN"/>
            </w:rPr>
            <w:fldChar w:fldCharType="end"/>
          </w:r>
        </w:p>
        <w:p>
          <w:pPr>
            <w:pStyle w:val="13"/>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_Toc30595 </w:instrText>
          </w:r>
          <w:r>
            <w:rPr>
              <w:rFonts w:ascii="Times New Roman" w:hAnsi="Times New Roman" w:cs="Times New Roman"/>
              <w:bCs/>
              <w:szCs w:val="28"/>
              <w:lang w:val="zh-CN"/>
            </w:rPr>
            <w:fldChar w:fldCharType="separate"/>
          </w:r>
          <w:r>
            <w:rPr>
              <w:rFonts w:hint="eastAsia" w:ascii="Times New Roman" w:hAnsi="Times New Roman" w:cs="Times New Roman"/>
              <w:lang w:val="en-US" w:eastAsia="zh-CN"/>
            </w:rPr>
            <w:t>4.1.5生态影响</w:t>
          </w:r>
          <w:r>
            <w:tab/>
          </w:r>
          <w:r>
            <w:fldChar w:fldCharType="begin"/>
          </w:r>
          <w:r>
            <w:instrText xml:space="preserve"> PAGEREF _Toc30595 </w:instrText>
          </w:r>
          <w:r>
            <w:fldChar w:fldCharType="separate"/>
          </w:r>
          <w:r>
            <w:t>14</w:t>
          </w:r>
          <w:r>
            <w:fldChar w:fldCharType="end"/>
          </w:r>
          <w:r>
            <w:rPr>
              <w:rFonts w:ascii="Times New Roman" w:hAnsi="Times New Roman" w:cs="Times New Roman"/>
              <w:bCs/>
              <w:color w:val="auto"/>
              <w:szCs w:val="28"/>
              <w:lang w:val="zh-CN"/>
            </w:rPr>
            <w:fldChar w:fldCharType="end"/>
          </w:r>
        </w:p>
        <w:p>
          <w:pPr>
            <w:pStyle w:val="22"/>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_Toc11447 </w:instrText>
          </w:r>
          <w:r>
            <w:rPr>
              <w:rFonts w:ascii="Times New Roman" w:hAnsi="Times New Roman" w:cs="Times New Roman"/>
              <w:bCs/>
              <w:szCs w:val="28"/>
              <w:lang w:val="zh-CN"/>
            </w:rPr>
            <w:fldChar w:fldCharType="separate"/>
          </w:r>
          <w:r>
            <w:rPr>
              <w:rFonts w:ascii="Times New Roman" w:hAnsi="Times New Roman"/>
            </w:rPr>
            <w:t>4.</w:t>
          </w:r>
          <w:r>
            <w:rPr>
              <w:rFonts w:hint="eastAsia" w:ascii="Times New Roman" w:hAnsi="Times New Roman"/>
              <w:lang w:val="en-US" w:eastAsia="zh-CN"/>
            </w:rPr>
            <w:t>2</w:t>
          </w:r>
          <w:r>
            <w:rPr>
              <w:rFonts w:hint="eastAsia" w:ascii="Times New Roman" w:hAnsi="Times New Roman"/>
              <w:lang w:eastAsia="zh-CN"/>
            </w:rPr>
            <w:t>营运期</w:t>
          </w:r>
          <w:r>
            <w:rPr>
              <w:rFonts w:ascii="Times New Roman" w:hAnsi="Times New Roman"/>
            </w:rPr>
            <w:t>污染物治理/处置设施</w:t>
          </w:r>
          <w:r>
            <w:tab/>
          </w:r>
          <w:r>
            <w:fldChar w:fldCharType="begin"/>
          </w:r>
          <w:r>
            <w:instrText xml:space="preserve"> PAGEREF _Toc11447 </w:instrText>
          </w:r>
          <w:r>
            <w:fldChar w:fldCharType="separate"/>
          </w:r>
          <w:r>
            <w:t>16</w:t>
          </w:r>
          <w:r>
            <w:fldChar w:fldCharType="end"/>
          </w:r>
          <w:r>
            <w:rPr>
              <w:rFonts w:ascii="Times New Roman" w:hAnsi="Times New Roman" w:cs="Times New Roman"/>
              <w:bCs/>
              <w:color w:val="auto"/>
              <w:szCs w:val="28"/>
              <w:lang w:val="zh-CN"/>
            </w:rPr>
            <w:fldChar w:fldCharType="end"/>
          </w:r>
        </w:p>
        <w:p>
          <w:pPr>
            <w:pStyle w:val="13"/>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_Toc14211 </w:instrText>
          </w:r>
          <w:r>
            <w:rPr>
              <w:rFonts w:ascii="Times New Roman" w:hAnsi="Times New Roman" w:cs="Times New Roman"/>
              <w:bCs/>
              <w:szCs w:val="28"/>
              <w:lang w:val="zh-CN"/>
            </w:rPr>
            <w:fldChar w:fldCharType="separate"/>
          </w:r>
          <w:r>
            <w:rPr>
              <w:rFonts w:ascii="Times New Roman" w:hAnsi="Times New Roman"/>
            </w:rPr>
            <w:t>4.</w:t>
          </w:r>
          <w:r>
            <w:rPr>
              <w:rFonts w:hint="eastAsia" w:ascii="Times New Roman" w:hAnsi="Times New Roman"/>
              <w:lang w:val="en-US" w:eastAsia="zh-CN"/>
            </w:rPr>
            <w:t>2</w:t>
          </w:r>
          <w:r>
            <w:rPr>
              <w:rFonts w:ascii="Times New Roman" w:hAnsi="Times New Roman"/>
            </w:rPr>
            <w:t>.1废水</w:t>
          </w:r>
          <w:r>
            <w:tab/>
          </w:r>
          <w:r>
            <w:fldChar w:fldCharType="begin"/>
          </w:r>
          <w:r>
            <w:instrText xml:space="preserve"> PAGEREF _Toc14211 </w:instrText>
          </w:r>
          <w:r>
            <w:fldChar w:fldCharType="separate"/>
          </w:r>
          <w:r>
            <w:t>16</w:t>
          </w:r>
          <w:r>
            <w:fldChar w:fldCharType="end"/>
          </w:r>
          <w:r>
            <w:rPr>
              <w:rFonts w:ascii="Times New Roman" w:hAnsi="Times New Roman" w:cs="Times New Roman"/>
              <w:bCs/>
              <w:color w:val="auto"/>
              <w:szCs w:val="28"/>
              <w:lang w:val="zh-CN"/>
            </w:rPr>
            <w:fldChar w:fldCharType="end"/>
          </w:r>
        </w:p>
        <w:p>
          <w:pPr>
            <w:pStyle w:val="13"/>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_Toc8337 </w:instrText>
          </w:r>
          <w:r>
            <w:rPr>
              <w:rFonts w:ascii="Times New Roman" w:hAnsi="Times New Roman" w:cs="Times New Roman"/>
              <w:bCs/>
              <w:szCs w:val="28"/>
              <w:lang w:val="zh-CN"/>
            </w:rPr>
            <w:fldChar w:fldCharType="separate"/>
          </w:r>
          <w:r>
            <w:rPr>
              <w:rFonts w:ascii="Times New Roman" w:hAnsi="Times New Roman"/>
              <w:szCs w:val="24"/>
            </w:rPr>
            <w:t>4.</w:t>
          </w:r>
          <w:r>
            <w:rPr>
              <w:rFonts w:hint="eastAsia" w:ascii="Times New Roman" w:hAnsi="Times New Roman"/>
              <w:szCs w:val="24"/>
              <w:lang w:val="en-US" w:eastAsia="zh-CN"/>
            </w:rPr>
            <w:t>2</w:t>
          </w:r>
          <w:r>
            <w:rPr>
              <w:rFonts w:ascii="Times New Roman" w:hAnsi="Times New Roman"/>
              <w:szCs w:val="24"/>
            </w:rPr>
            <w:t>.2</w:t>
          </w:r>
          <w:r>
            <w:rPr>
              <w:rFonts w:hint="eastAsia" w:ascii="Times New Roman" w:hAnsi="Times New Roman"/>
              <w:szCs w:val="24"/>
            </w:rPr>
            <w:t>废气</w:t>
          </w:r>
          <w:r>
            <w:tab/>
          </w:r>
          <w:r>
            <w:fldChar w:fldCharType="begin"/>
          </w:r>
          <w:r>
            <w:instrText xml:space="preserve"> PAGEREF _Toc8337 </w:instrText>
          </w:r>
          <w:r>
            <w:fldChar w:fldCharType="separate"/>
          </w:r>
          <w:r>
            <w:t>16</w:t>
          </w:r>
          <w:r>
            <w:fldChar w:fldCharType="end"/>
          </w:r>
          <w:r>
            <w:rPr>
              <w:rFonts w:ascii="Times New Roman" w:hAnsi="Times New Roman" w:cs="Times New Roman"/>
              <w:bCs/>
              <w:color w:val="auto"/>
              <w:szCs w:val="28"/>
              <w:lang w:val="zh-CN"/>
            </w:rPr>
            <w:fldChar w:fldCharType="end"/>
          </w:r>
        </w:p>
        <w:p>
          <w:pPr>
            <w:pStyle w:val="13"/>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_Toc28422 </w:instrText>
          </w:r>
          <w:r>
            <w:rPr>
              <w:rFonts w:ascii="Times New Roman" w:hAnsi="Times New Roman" w:cs="Times New Roman"/>
              <w:bCs/>
              <w:szCs w:val="28"/>
              <w:lang w:val="zh-CN"/>
            </w:rPr>
            <w:fldChar w:fldCharType="separate"/>
          </w:r>
          <w:r>
            <w:rPr>
              <w:rFonts w:ascii="Times New Roman" w:hAnsi="Times New Roman"/>
            </w:rPr>
            <w:t>4.</w:t>
          </w:r>
          <w:r>
            <w:rPr>
              <w:rFonts w:hint="eastAsia" w:ascii="Times New Roman" w:hAnsi="Times New Roman"/>
              <w:lang w:val="en-US" w:eastAsia="zh-CN"/>
            </w:rPr>
            <w:t>2</w:t>
          </w:r>
          <w:r>
            <w:rPr>
              <w:rFonts w:ascii="Times New Roman" w:hAnsi="Times New Roman"/>
            </w:rPr>
            <w:t>.3</w:t>
          </w:r>
          <w:r>
            <w:rPr>
              <w:rFonts w:hint="eastAsia" w:ascii="Times New Roman" w:hAnsi="Times New Roman"/>
            </w:rPr>
            <w:t>噪声</w:t>
          </w:r>
          <w:r>
            <w:tab/>
          </w:r>
          <w:r>
            <w:fldChar w:fldCharType="begin"/>
          </w:r>
          <w:r>
            <w:instrText xml:space="preserve"> PAGEREF _Toc28422 </w:instrText>
          </w:r>
          <w:r>
            <w:fldChar w:fldCharType="separate"/>
          </w:r>
          <w:r>
            <w:t>17</w:t>
          </w:r>
          <w:r>
            <w:fldChar w:fldCharType="end"/>
          </w:r>
          <w:r>
            <w:rPr>
              <w:rFonts w:ascii="Times New Roman" w:hAnsi="Times New Roman" w:cs="Times New Roman"/>
              <w:bCs/>
              <w:color w:val="auto"/>
              <w:szCs w:val="28"/>
              <w:lang w:val="zh-CN"/>
            </w:rPr>
            <w:fldChar w:fldCharType="end"/>
          </w:r>
        </w:p>
        <w:p>
          <w:pPr>
            <w:pStyle w:val="13"/>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_Toc13564 </w:instrText>
          </w:r>
          <w:r>
            <w:rPr>
              <w:rFonts w:ascii="Times New Roman" w:hAnsi="Times New Roman" w:cs="Times New Roman"/>
              <w:bCs/>
              <w:szCs w:val="28"/>
              <w:lang w:val="zh-CN"/>
            </w:rPr>
            <w:fldChar w:fldCharType="separate"/>
          </w:r>
          <w:r>
            <w:rPr>
              <w:rFonts w:hint="eastAsia" w:ascii="Times New Roman" w:hAnsi="Times New Roman"/>
            </w:rPr>
            <w:t>4</w:t>
          </w:r>
          <w:r>
            <w:rPr>
              <w:rFonts w:ascii="Times New Roman" w:hAnsi="Times New Roman"/>
            </w:rPr>
            <w:t>.</w:t>
          </w:r>
          <w:r>
            <w:rPr>
              <w:rFonts w:hint="eastAsia" w:ascii="Times New Roman" w:hAnsi="Times New Roman"/>
              <w:lang w:val="en-US" w:eastAsia="zh-CN"/>
            </w:rPr>
            <w:t>2</w:t>
          </w:r>
          <w:r>
            <w:rPr>
              <w:rFonts w:ascii="Times New Roman" w:hAnsi="Times New Roman"/>
            </w:rPr>
            <w:t>.4固体废物</w:t>
          </w:r>
          <w:r>
            <w:tab/>
          </w:r>
          <w:r>
            <w:fldChar w:fldCharType="begin"/>
          </w:r>
          <w:r>
            <w:instrText xml:space="preserve"> PAGEREF _Toc13564 </w:instrText>
          </w:r>
          <w:r>
            <w:fldChar w:fldCharType="separate"/>
          </w:r>
          <w:r>
            <w:t>17</w:t>
          </w:r>
          <w:r>
            <w:fldChar w:fldCharType="end"/>
          </w:r>
          <w:r>
            <w:rPr>
              <w:rFonts w:ascii="Times New Roman" w:hAnsi="Times New Roman" w:cs="Times New Roman"/>
              <w:bCs/>
              <w:color w:val="auto"/>
              <w:szCs w:val="28"/>
              <w:lang w:val="zh-CN"/>
            </w:rPr>
            <w:fldChar w:fldCharType="end"/>
          </w:r>
        </w:p>
        <w:p>
          <w:pPr>
            <w:pStyle w:val="22"/>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_Toc9352 </w:instrText>
          </w:r>
          <w:r>
            <w:rPr>
              <w:rFonts w:ascii="Times New Roman" w:hAnsi="Times New Roman" w:cs="Times New Roman"/>
              <w:bCs/>
              <w:szCs w:val="28"/>
              <w:lang w:val="zh-CN"/>
            </w:rPr>
            <w:fldChar w:fldCharType="separate"/>
          </w:r>
          <w:r>
            <w:rPr>
              <w:rFonts w:hint="eastAsia" w:ascii="Times New Roman" w:hAnsi="Times New Roman"/>
            </w:rPr>
            <w:t>4</w:t>
          </w:r>
          <w:r>
            <w:rPr>
              <w:rFonts w:ascii="Times New Roman" w:hAnsi="Times New Roman"/>
            </w:rPr>
            <w:t>.</w:t>
          </w:r>
          <w:r>
            <w:rPr>
              <w:rFonts w:hint="eastAsia" w:ascii="Times New Roman" w:hAnsi="Times New Roman"/>
              <w:lang w:val="en-US" w:eastAsia="zh-CN"/>
            </w:rPr>
            <w:t>3</w:t>
          </w:r>
          <w:r>
            <w:rPr>
              <w:rFonts w:hint="eastAsia" w:ascii="Times New Roman" w:hAnsi="Times New Roman"/>
            </w:rPr>
            <w:t>其他环境保护设施</w:t>
          </w:r>
          <w:r>
            <w:tab/>
          </w:r>
          <w:r>
            <w:fldChar w:fldCharType="begin"/>
          </w:r>
          <w:r>
            <w:instrText xml:space="preserve"> PAGEREF _Toc9352 </w:instrText>
          </w:r>
          <w:r>
            <w:fldChar w:fldCharType="separate"/>
          </w:r>
          <w:r>
            <w:t>17</w:t>
          </w:r>
          <w:r>
            <w:fldChar w:fldCharType="end"/>
          </w:r>
          <w:r>
            <w:rPr>
              <w:rFonts w:ascii="Times New Roman" w:hAnsi="Times New Roman" w:cs="Times New Roman"/>
              <w:bCs/>
              <w:color w:val="auto"/>
              <w:szCs w:val="28"/>
              <w:lang w:val="zh-CN"/>
            </w:rPr>
            <w:fldChar w:fldCharType="end"/>
          </w:r>
        </w:p>
        <w:p>
          <w:pPr>
            <w:pStyle w:val="13"/>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_Toc20814 </w:instrText>
          </w:r>
          <w:r>
            <w:rPr>
              <w:rFonts w:ascii="Times New Roman" w:hAnsi="Times New Roman" w:cs="Times New Roman"/>
              <w:bCs/>
              <w:szCs w:val="28"/>
              <w:lang w:val="zh-CN"/>
            </w:rPr>
            <w:fldChar w:fldCharType="separate"/>
          </w:r>
          <w:r>
            <w:rPr>
              <w:rFonts w:hint="eastAsia" w:ascii="Times New Roman" w:hAnsi="Times New Roman"/>
              <w:szCs w:val="24"/>
            </w:rPr>
            <w:t>4.</w:t>
          </w:r>
          <w:r>
            <w:rPr>
              <w:rFonts w:hint="eastAsia" w:ascii="Times New Roman" w:hAnsi="Times New Roman"/>
              <w:szCs w:val="24"/>
              <w:lang w:val="en-US" w:eastAsia="zh-CN"/>
            </w:rPr>
            <w:t>3</w:t>
          </w:r>
          <w:r>
            <w:rPr>
              <w:rFonts w:hint="eastAsia" w:ascii="Times New Roman" w:hAnsi="Times New Roman"/>
              <w:szCs w:val="24"/>
            </w:rPr>
            <w:t>.1</w:t>
          </w:r>
          <w:r>
            <w:rPr>
              <w:rFonts w:hint="eastAsia" w:ascii="Times New Roman" w:hAnsi="Times New Roman"/>
              <w:szCs w:val="24"/>
              <w:lang w:eastAsia="zh-CN"/>
            </w:rPr>
            <w:t>地下水防治措施</w:t>
          </w:r>
          <w:r>
            <w:tab/>
          </w:r>
          <w:r>
            <w:fldChar w:fldCharType="begin"/>
          </w:r>
          <w:r>
            <w:instrText xml:space="preserve"> PAGEREF _Toc20814 </w:instrText>
          </w:r>
          <w:r>
            <w:fldChar w:fldCharType="separate"/>
          </w:r>
          <w:r>
            <w:t>17</w:t>
          </w:r>
          <w:r>
            <w:fldChar w:fldCharType="end"/>
          </w:r>
          <w:r>
            <w:rPr>
              <w:rFonts w:ascii="Times New Roman" w:hAnsi="Times New Roman" w:cs="Times New Roman"/>
              <w:bCs/>
              <w:color w:val="auto"/>
              <w:szCs w:val="28"/>
              <w:lang w:val="zh-CN"/>
            </w:rPr>
            <w:fldChar w:fldCharType="end"/>
          </w:r>
        </w:p>
        <w:p>
          <w:pPr>
            <w:pStyle w:val="22"/>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_Toc22954 </w:instrText>
          </w:r>
          <w:r>
            <w:rPr>
              <w:rFonts w:ascii="Times New Roman" w:hAnsi="Times New Roman" w:cs="Times New Roman"/>
              <w:bCs/>
              <w:szCs w:val="28"/>
              <w:lang w:val="zh-CN"/>
            </w:rPr>
            <w:fldChar w:fldCharType="separate"/>
          </w:r>
          <w:r>
            <w:rPr>
              <w:rFonts w:ascii="Times New Roman" w:hAnsi="Times New Roman" w:cs="Times New Roman"/>
            </w:rPr>
            <w:t>4.</w:t>
          </w:r>
          <w:r>
            <w:rPr>
              <w:rFonts w:hint="eastAsia" w:ascii="Times New Roman" w:hAnsi="Times New Roman" w:cs="Times New Roman"/>
              <w:lang w:val="en-US" w:eastAsia="zh-CN"/>
            </w:rPr>
            <w:t>4</w:t>
          </w:r>
          <w:r>
            <w:rPr>
              <w:rFonts w:ascii="Times New Roman" w:hAnsi="Times New Roman" w:cs="Times New Roman"/>
            </w:rPr>
            <w:t>环境管理检查情况</w:t>
          </w:r>
          <w:r>
            <w:tab/>
          </w:r>
          <w:r>
            <w:fldChar w:fldCharType="begin"/>
          </w:r>
          <w:r>
            <w:instrText xml:space="preserve"> PAGEREF _Toc22954 </w:instrText>
          </w:r>
          <w:r>
            <w:fldChar w:fldCharType="separate"/>
          </w:r>
          <w:r>
            <w:t>21</w:t>
          </w:r>
          <w:r>
            <w:fldChar w:fldCharType="end"/>
          </w:r>
          <w:r>
            <w:rPr>
              <w:rFonts w:ascii="Times New Roman" w:hAnsi="Times New Roman" w:cs="Times New Roman"/>
              <w:bCs/>
              <w:color w:val="auto"/>
              <w:szCs w:val="28"/>
              <w:lang w:val="zh-CN"/>
            </w:rPr>
            <w:fldChar w:fldCharType="end"/>
          </w:r>
        </w:p>
        <w:p>
          <w:pPr>
            <w:pStyle w:val="13"/>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_Toc20925 </w:instrText>
          </w:r>
          <w:r>
            <w:rPr>
              <w:rFonts w:ascii="Times New Roman" w:hAnsi="Times New Roman" w:cs="Times New Roman"/>
              <w:bCs/>
              <w:szCs w:val="28"/>
              <w:lang w:val="zh-CN"/>
            </w:rPr>
            <w:fldChar w:fldCharType="separate"/>
          </w:r>
          <w:r>
            <w:rPr>
              <w:rFonts w:hint="eastAsia" w:ascii="Times New Roman" w:hAnsi="Times New Roman"/>
            </w:rPr>
            <w:t>4.</w:t>
          </w:r>
          <w:r>
            <w:rPr>
              <w:rFonts w:hint="eastAsia" w:ascii="Times New Roman" w:hAnsi="Times New Roman"/>
              <w:lang w:val="en-US" w:eastAsia="zh-CN"/>
            </w:rPr>
            <w:t>4</w:t>
          </w:r>
          <w:r>
            <w:rPr>
              <w:rFonts w:hint="eastAsia" w:ascii="Times New Roman" w:hAnsi="Times New Roman"/>
            </w:rPr>
            <w:t>.</w:t>
          </w:r>
          <w:r>
            <w:rPr>
              <w:rFonts w:hint="eastAsia" w:ascii="Times New Roman" w:hAnsi="Times New Roman"/>
              <w:lang w:val="en-US" w:eastAsia="zh-CN"/>
            </w:rPr>
            <w:t>1</w:t>
          </w:r>
          <w:r>
            <w:rPr>
              <w:rFonts w:hint="eastAsia" w:ascii="Times New Roman" w:hAnsi="Times New Roman"/>
            </w:rPr>
            <w:t>环境管理制度</w:t>
          </w:r>
          <w:r>
            <w:tab/>
          </w:r>
          <w:r>
            <w:fldChar w:fldCharType="begin"/>
          </w:r>
          <w:r>
            <w:instrText xml:space="preserve"> PAGEREF _Toc20925 </w:instrText>
          </w:r>
          <w:r>
            <w:fldChar w:fldCharType="separate"/>
          </w:r>
          <w:r>
            <w:t>21</w:t>
          </w:r>
          <w:r>
            <w:fldChar w:fldCharType="end"/>
          </w:r>
          <w:r>
            <w:rPr>
              <w:rFonts w:ascii="Times New Roman" w:hAnsi="Times New Roman" w:cs="Times New Roman"/>
              <w:bCs/>
              <w:color w:val="auto"/>
              <w:szCs w:val="28"/>
              <w:lang w:val="zh-CN"/>
            </w:rPr>
            <w:fldChar w:fldCharType="end"/>
          </w:r>
        </w:p>
        <w:p>
          <w:pPr>
            <w:pStyle w:val="13"/>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_Toc15997 </w:instrText>
          </w:r>
          <w:r>
            <w:rPr>
              <w:rFonts w:ascii="Times New Roman" w:hAnsi="Times New Roman" w:cs="Times New Roman"/>
              <w:bCs/>
              <w:szCs w:val="28"/>
              <w:lang w:val="zh-CN"/>
            </w:rPr>
            <w:fldChar w:fldCharType="separate"/>
          </w:r>
          <w:r>
            <w:rPr>
              <w:rFonts w:ascii="Times New Roman" w:hAnsi="Times New Roman"/>
            </w:rPr>
            <w:t>4.</w:t>
          </w:r>
          <w:r>
            <w:rPr>
              <w:rFonts w:hint="eastAsia" w:ascii="Times New Roman" w:hAnsi="Times New Roman"/>
              <w:lang w:val="en-US" w:eastAsia="zh-CN"/>
            </w:rPr>
            <w:t>4</w:t>
          </w:r>
          <w:r>
            <w:rPr>
              <w:rFonts w:ascii="Times New Roman" w:hAnsi="Times New Roman"/>
            </w:rPr>
            <w:t>.</w:t>
          </w:r>
          <w:r>
            <w:rPr>
              <w:rFonts w:hint="eastAsia" w:ascii="Times New Roman" w:hAnsi="Times New Roman"/>
            </w:rPr>
            <w:t>2</w:t>
          </w:r>
          <w:r>
            <w:rPr>
              <w:rFonts w:ascii="Times New Roman" w:hAnsi="Times New Roman"/>
            </w:rPr>
            <w:t>环境监测计划</w:t>
          </w:r>
          <w:r>
            <w:tab/>
          </w:r>
          <w:r>
            <w:fldChar w:fldCharType="begin"/>
          </w:r>
          <w:r>
            <w:instrText xml:space="preserve"> PAGEREF _Toc15997 </w:instrText>
          </w:r>
          <w:r>
            <w:fldChar w:fldCharType="separate"/>
          </w:r>
          <w:r>
            <w:t>21</w:t>
          </w:r>
          <w:r>
            <w:fldChar w:fldCharType="end"/>
          </w:r>
          <w:r>
            <w:rPr>
              <w:rFonts w:ascii="Times New Roman" w:hAnsi="Times New Roman" w:cs="Times New Roman"/>
              <w:bCs/>
              <w:color w:val="auto"/>
              <w:szCs w:val="28"/>
              <w:lang w:val="zh-CN"/>
            </w:rPr>
            <w:fldChar w:fldCharType="end"/>
          </w:r>
        </w:p>
        <w:p>
          <w:pPr>
            <w:pStyle w:val="13"/>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_Toc8191 </w:instrText>
          </w:r>
          <w:r>
            <w:rPr>
              <w:rFonts w:ascii="Times New Roman" w:hAnsi="Times New Roman" w:cs="Times New Roman"/>
              <w:bCs/>
              <w:szCs w:val="28"/>
              <w:lang w:val="zh-CN"/>
            </w:rPr>
            <w:fldChar w:fldCharType="separate"/>
          </w:r>
          <w:r>
            <w:rPr>
              <w:rFonts w:hint="eastAsia" w:ascii="Times New Roman" w:hAnsi="Times New Roman"/>
            </w:rPr>
            <w:t>4.</w:t>
          </w:r>
          <w:r>
            <w:rPr>
              <w:rFonts w:hint="eastAsia" w:ascii="Times New Roman" w:hAnsi="Times New Roman"/>
              <w:lang w:val="en-US" w:eastAsia="zh-CN"/>
            </w:rPr>
            <w:t>4</w:t>
          </w:r>
          <w:r>
            <w:rPr>
              <w:rFonts w:hint="eastAsia" w:ascii="Times New Roman" w:hAnsi="Times New Roman"/>
            </w:rPr>
            <w:t>.3环境防护距离检查情况</w:t>
          </w:r>
          <w:r>
            <w:tab/>
          </w:r>
          <w:r>
            <w:fldChar w:fldCharType="begin"/>
          </w:r>
          <w:r>
            <w:instrText xml:space="preserve"> PAGEREF _Toc8191 </w:instrText>
          </w:r>
          <w:r>
            <w:fldChar w:fldCharType="separate"/>
          </w:r>
          <w:r>
            <w:t>22</w:t>
          </w:r>
          <w:r>
            <w:fldChar w:fldCharType="end"/>
          </w:r>
          <w:r>
            <w:rPr>
              <w:rFonts w:ascii="Times New Roman" w:hAnsi="Times New Roman" w:cs="Times New Roman"/>
              <w:bCs/>
              <w:color w:val="auto"/>
              <w:szCs w:val="28"/>
              <w:lang w:val="zh-CN"/>
            </w:rPr>
            <w:fldChar w:fldCharType="end"/>
          </w:r>
        </w:p>
        <w:p>
          <w:pPr>
            <w:pStyle w:val="22"/>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_Toc20515 </w:instrText>
          </w:r>
          <w:r>
            <w:rPr>
              <w:rFonts w:ascii="Times New Roman" w:hAnsi="Times New Roman" w:cs="Times New Roman"/>
              <w:bCs/>
              <w:szCs w:val="28"/>
              <w:lang w:val="zh-CN"/>
            </w:rPr>
            <w:fldChar w:fldCharType="separate"/>
          </w:r>
          <w:r>
            <w:rPr>
              <w:rFonts w:ascii="Times New Roman" w:hAnsi="Times New Roman" w:cs="Times New Roman"/>
              <w:highlight w:val="none"/>
            </w:rPr>
            <w:t>4.</w:t>
          </w:r>
          <w:r>
            <w:rPr>
              <w:rFonts w:hint="eastAsia" w:ascii="Times New Roman" w:hAnsi="Times New Roman" w:cs="Times New Roman"/>
              <w:highlight w:val="none"/>
              <w:lang w:val="en-US" w:eastAsia="zh-CN"/>
            </w:rPr>
            <w:t>5</w:t>
          </w:r>
          <w:r>
            <w:rPr>
              <w:rFonts w:ascii="Times New Roman" w:hAnsi="Times New Roman" w:cs="Times New Roman"/>
              <w:highlight w:val="none"/>
            </w:rPr>
            <w:t>环保设施投资及环保措施落实情况</w:t>
          </w:r>
          <w:r>
            <w:tab/>
          </w:r>
          <w:r>
            <w:fldChar w:fldCharType="begin"/>
          </w:r>
          <w:r>
            <w:instrText xml:space="preserve"> PAGEREF _Toc20515 </w:instrText>
          </w:r>
          <w:r>
            <w:fldChar w:fldCharType="separate"/>
          </w:r>
          <w:r>
            <w:t>24</w:t>
          </w:r>
          <w:r>
            <w:fldChar w:fldCharType="end"/>
          </w:r>
          <w:r>
            <w:rPr>
              <w:rFonts w:ascii="Times New Roman" w:hAnsi="Times New Roman" w:cs="Times New Roman"/>
              <w:bCs/>
              <w:color w:val="auto"/>
              <w:szCs w:val="28"/>
              <w:lang w:val="zh-CN"/>
            </w:rPr>
            <w:fldChar w:fldCharType="end"/>
          </w:r>
        </w:p>
        <w:p>
          <w:pPr>
            <w:pStyle w:val="20"/>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_Toc7658 </w:instrText>
          </w:r>
          <w:r>
            <w:rPr>
              <w:rFonts w:ascii="Times New Roman" w:hAnsi="Times New Roman" w:cs="Times New Roman"/>
              <w:bCs/>
              <w:szCs w:val="28"/>
              <w:lang w:val="zh-CN"/>
            </w:rPr>
            <w:fldChar w:fldCharType="separate"/>
          </w:r>
          <w:r>
            <w:rPr>
              <w:rFonts w:hint="eastAsia" w:ascii="Times New Roman" w:hAnsi="Times New Roman"/>
            </w:rPr>
            <w:t>五、环评主要结论与建议及审批意见要求</w:t>
          </w:r>
          <w:r>
            <w:tab/>
          </w:r>
          <w:r>
            <w:fldChar w:fldCharType="begin"/>
          </w:r>
          <w:r>
            <w:instrText xml:space="preserve"> PAGEREF _Toc7658 </w:instrText>
          </w:r>
          <w:r>
            <w:fldChar w:fldCharType="separate"/>
          </w:r>
          <w:r>
            <w:t>26</w:t>
          </w:r>
          <w:r>
            <w:fldChar w:fldCharType="end"/>
          </w:r>
          <w:r>
            <w:rPr>
              <w:rFonts w:ascii="Times New Roman" w:hAnsi="Times New Roman" w:cs="Times New Roman"/>
              <w:bCs/>
              <w:color w:val="auto"/>
              <w:szCs w:val="28"/>
              <w:lang w:val="zh-CN"/>
            </w:rPr>
            <w:fldChar w:fldCharType="end"/>
          </w:r>
        </w:p>
        <w:p>
          <w:pPr>
            <w:pStyle w:val="22"/>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_Toc17769 </w:instrText>
          </w:r>
          <w:r>
            <w:rPr>
              <w:rFonts w:ascii="Times New Roman" w:hAnsi="Times New Roman" w:cs="Times New Roman"/>
              <w:bCs/>
              <w:szCs w:val="28"/>
              <w:lang w:val="zh-CN"/>
            </w:rPr>
            <w:fldChar w:fldCharType="separate"/>
          </w:r>
          <w:r>
            <w:rPr>
              <w:rFonts w:ascii="Times New Roman" w:hAnsi="Times New Roman" w:cs="Times New Roman"/>
            </w:rPr>
            <w:t>5.1环评结论</w:t>
          </w:r>
          <w:r>
            <w:tab/>
          </w:r>
          <w:r>
            <w:fldChar w:fldCharType="begin"/>
          </w:r>
          <w:r>
            <w:instrText xml:space="preserve"> PAGEREF _Toc17769 </w:instrText>
          </w:r>
          <w:r>
            <w:fldChar w:fldCharType="separate"/>
          </w:r>
          <w:r>
            <w:t>26</w:t>
          </w:r>
          <w:r>
            <w:fldChar w:fldCharType="end"/>
          </w:r>
          <w:r>
            <w:rPr>
              <w:rFonts w:ascii="Times New Roman" w:hAnsi="Times New Roman" w:cs="Times New Roman"/>
              <w:bCs/>
              <w:color w:val="auto"/>
              <w:szCs w:val="28"/>
              <w:lang w:val="zh-CN"/>
            </w:rPr>
            <w:fldChar w:fldCharType="end"/>
          </w:r>
        </w:p>
        <w:p>
          <w:pPr>
            <w:pStyle w:val="22"/>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_Toc23074 </w:instrText>
          </w:r>
          <w:r>
            <w:rPr>
              <w:rFonts w:ascii="Times New Roman" w:hAnsi="Times New Roman" w:cs="Times New Roman"/>
              <w:bCs/>
              <w:szCs w:val="28"/>
              <w:lang w:val="zh-CN"/>
            </w:rPr>
            <w:fldChar w:fldCharType="separate"/>
          </w:r>
          <w:r>
            <w:rPr>
              <w:rFonts w:ascii="Times New Roman" w:hAnsi="Times New Roman" w:cs="Times New Roman"/>
            </w:rPr>
            <w:t>5.2环境保护局对环评报告的审批意见</w:t>
          </w:r>
          <w:r>
            <w:tab/>
          </w:r>
          <w:r>
            <w:fldChar w:fldCharType="begin"/>
          </w:r>
          <w:r>
            <w:instrText xml:space="preserve"> PAGEREF _Toc23074 </w:instrText>
          </w:r>
          <w:r>
            <w:fldChar w:fldCharType="separate"/>
          </w:r>
          <w:r>
            <w:t>33</w:t>
          </w:r>
          <w:r>
            <w:fldChar w:fldCharType="end"/>
          </w:r>
          <w:r>
            <w:rPr>
              <w:rFonts w:ascii="Times New Roman" w:hAnsi="Times New Roman" w:cs="Times New Roman"/>
              <w:bCs/>
              <w:color w:val="auto"/>
              <w:szCs w:val="28"/>
              <w:lang w:val="zh-CN"/>
            </w:rPr>
            <w:fldChar w:fldCharType="end"/>
          </w:r>
        </w:p>
        <w:p>
          <w:pPr>
            <w:pStyle w:val="20"/>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_Toc330 </w:instrText>
          </w:r>
          <w:r>
            <w:rPr>
              <w:rFonts w:ascii="Times New Roman" w:hAnsi="Times New Roman" w:cs="Times New Roman"/>
              <w:bCs/>
              <w:szCs w:val="28"/>
              <w:lang w:val="zh-CN"/>
            </w:rPr>
            <w:fldChar w:fldCharType="separate"/>
          </w:r>
          <w:r>
            <w:rPr>
              <w:rFonts w:hint="eastAsia" w:ascii="Times New Roman" w:hAnsi="Times New Roman"/>
            </w:rPr>
            <w:t>六、验收执行标准</w:t>
          </w:r>
          <w:r>
            <w:tab/>
          </w:r>
          <w:r>
            <w:fldChar w:fldCharType="begin"/>
          </w:r>
          <w:r>
            <w:instrText xml:space="preserve"> PAGEREF _Toc330 </w:instrText>
          </w:r>
          <w:r>
            <w:fldChar w:fldCharType="separate"/>
          </w:r>
          <w:r>
            <w:t>35</w:t>
          </w:r>
          <w:r>
            <w:fldChar w:fldCharType="end"/>
          </w:r>
          <w:r>
            <w:rPr>
              <w:rFonts w:ascii="Times New Roman" w:hAnsi="Times New Roman" w:cs="Times New Roman"/>
              <w:bCs/>
              <w:color w:val="auto"/>
              <w:szCs w:val="28"/>
              <w:lang w:val="zh-CN"/>
            </w:rPr>
            <w:fldChar w:fldCharType="end"/>
          </w:r>
        </w:p>
        <w:p>
          <w:pPr>
            <w:pStyle w:val="22"/>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_Toc1805 </w:instrText>
          </w:r>
          <w:r>
            <w:rPr>
              <w:rFonts w:ascii="Times New Roman" w:hAnsi="Times New Roman" w:cs="Times New Roman"/>
              <w:bCs/>
              <w:szCs w:val="28"/>
              <w:lang w:val="zh-CN"/>
            </w:rPr>
            <w:fldChar w:fldCharType="separate"/>
          </w:r>
          <w:r>
            <w:rPr>
              <w:rFonts w:hint="eastAsia" w:ascii="Times New Roman" w:hAnsi="Times New Roman"/>
            </w:rPr>
            <w:t>6.1地下水质量标准</w:t>
          </w:r>
          <w:r>
            <w:tab/>
          </w:r>
          <w:r>
            <w:fldChar w:fldCharType="begin"/>
          </w:r>
          <w:r>
            <w:instrText xml:space="preserve"> PAGEREF _Toc1805 </w:instrText>
          </w:r>
          <w:r>
            <w:fldChar w:fldCharType="separate"/>
          </w:r>
          <w:r>
            <w:t>35</w:t>
          </w:r>
          <w:r>
            <w:fldChar w:fldCharType="end"/>
          </w:r>
          <w:r>
            <w:rPr>
              <w:rFonts w:ascii="Times New Roman" w:hAnsi="Times New Roman" w:cs="Times New Roman"/>
              <w:bCs/>
              <w:color w:val="auto"/>
              <w:szCs w:val="28"/>
              <w:lang w:val="zh-CN"/>
            </w:rPr>
            <w:fldChar w:fldCharType="end"/>
          </w:r>
        </w:p>
        <w:p>
          <w:pPr>
            <w:pStyle w:val="22"/>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_Toc17021 </w:instrText>
          </w:r>
          <w:r>
            <w:rPr>
              <w:rFonts w:ascii="Times New Roman" w:hAnsi="Times New Roman" w:cs="Times New Roman"/>
              <w:bCs/>
              <w:szCs w:val="28"/>
              <w:lang w:val="zh-CN"/>
            </w:rPr>
            <w:fldChar w:fldCharType="separate"/>
          </w:r>
          <w:r>
            <w:rPr>
              <w:rFonts w:hint="eastAsia" w:ascii="Times New Roman" w:hAnsi="Times New Roman"/>
            </w:rPr>
            <w:t>6.2</w:t>
          </w:r>
          <w:r>
            <w:rPr>
              <w:rFonts w:ascii="Times New Roman" w:hAnsi="Times New Roman"/>
            </w:rPr>
            <w:t>废气排放标准</w:t>
          </w:r>
          <w:r>
            <w:tab/>
          </w:r>
          <w:r>
            <w:fldChar w:fldCharType="begin"/>
          </w:r>
          <w:r>
            <w:instrText xml:space="preserve"> PAGEREF _Toc17021 </w:instrText>
          </w:r>
          <w:r>
            <w:fldChar w:fldCharType="separate"/>
          </w:r>
          <w:r>
            <w:t>35</w:t>
          </w:r>
          <w:r>
            <w:fldChar w:fldCharType="end"/>
          </w:r>
          <w:r>
            <w:rPr>
              <w:rFonts w:ascii="Times New Roman" w:hAnsi="Times New Roman" w:cs="Times New Roman"/>
              <w:bCs/>
              <w:color w:val="auto"/>
              <w:szCs w:val="28"/>
              <w:lang w:val="zh-CN"/>
            </w:rPr>
            <w:fldChar w:fldCharType="end"/>
          </w:r>
        </w:p>
        <w:p>
          <w:pPr>
            <w:pStyle w:val="22"/>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_Toc11953 </w:instrText>
          </w:r>
          <w:r>
            <w:rPr>
              <w:rFonts w:ascii="Times New Roman" w:hAnsi="Times New Roman" w:cs="Times New Roman"/>
              <w:bCs/>
              <w:szCs w:val="28"/>
              <w:lang w:val="zh-CN"/>
            </w:rPr>
            <w:fldChar w:fldCharType="separate"/>
          </w:r>
          <w:r>
            <w:rPr>
              <w:rFonts w:ascii="Times New Roman" w:hAnsi="Times New Roman"/>
            </w:rPr>
            <w:t>6</w:t>
          </w:r>
          <w:r>
            <w:rPr>
              <w:rFonts w:hint="eastAsia" w:ascii="Times New Roman" w:hAnsi="Times New Roman"/>
            </w:rPr>
            <w:t>.3</w:t>
          </w:r>
          <w:r>
            <w:rPr>
              <w:rFonts w:ascii="Times New Roman" w:hAnsi="Times New Roman"/>
            </w:rPr>
            <w:t>噪声</w:t>
          </w:r>
          <w:r>
            <w:rPr>
              <w:rFonts w:hint="eastAsia" w:ascii="Times New Roman" w:hAnsi="Times New Roman"/>
            </w:rPr>
            <w:t>排放标准</w:t>
          </w:r>
          <w:r>
            <w:tab/>
          </w:r>
          <w:r>
            <w:fldChar w:fldCharType="begin"/>
          </w:r>
          <w:r>
            <w:instrText xml:space="preserve"> PAGEREF _Toc11953 </w:instrText>
          </w:r>
          <w:r>
            <w:fldChar w:fldCharType="separate"/>
          </w:r>
          <w:r>
            <w:t>36</w:t>
          </w:r>
          <w:r>
            <w:fldChar w:fldCharType="end"/>
          </w:r>
          <w:r>
            <w:rPr>
              <w:rFonts w:ascii="Times New Roman" w:hAnsi="Times New Roman" w:cs="Times New Roman"/>
              <w:bCs/>
              <w:color w:val="auto"/>
              <w:szCs w:val="28"/>
              <w:lang w:val="zh-CN"/>
            </w:rPr>
            <w:fldChar w:fldCharType="end"/>
          </w:r>
        </w:p>
        <w:p>
          <w:pPr>
            <w:pStyle w:val="22"/>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_Toc16506 </w:instrText>
          </w:r>
          <w:r>
            <w:rPr>
              <w:rFonts w:ascii="Times New Roman" w:hAnsi="Times New Roman" w:cs="Times New Roman"/>
              <w:bCs/>
              <w:szCs w:val="28"/>
              <w:lang w:val="zh-CN"/>
            </w:rPr>
            <w:fldChar w:fldCharType="separate"/>
          </w:r>
          <w:r>
            <w:rPr>
              <w:rFonts w:ascii="Times New Roman" w:hAnsi="Times New Roman"/>
            </w:rPr>
            <w:t>6</w:t>
          </w:r>
          <w:r>
            <w:rPr>
              <w:rFonts w:hint="eastAsia" w:ascii="Times New Roman" w:hAnsi="Times New Roman"/>
            </w:rPr>
            <w:t>.4固废控制标准</w:t>
          </w:r>
          <w:r>
            <w:tab/>
          </w:r>
          <w:r>
            <w:fldChar w:fldCharType="begin"/>
          </w:r>
          <w:r>
            <w:instrText xml:space="preserve"> PAGEREF _Toc16506 </w:instrText>
          </w:r>
          <w:r>
            <w:fldChar w:fldCharType="separate"/>
          </w:r>
          <w:r>
            <w:t>36</w:t>
          </w:r>
          <w:r>
            <w:fldChar w:fldCharType="end"/>
          </w:r>
          <w:r>
            <w:rPr>
              <w:rFonts w:ascii="Times New Roman" w:hAnsi="Times New Roman" w:cs="Times New Roman"/>
              <w:bCs/>
              <w:color w:val="auto"/>
              <w:szCs w:val="28"/>
              <w:lang w:val="zh-CN"/>
            </w:rPr>
            <w:fldChar w:fldCharType="end"/>
          </w:r>
        </w:p>
        <w:p>
          <w:pPr>
            <w:pStyle w:val="20"/>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_Toc12832 </w:instrText>
          </w:r>
          <w:r>
            <w:rPr>
              <w:rFonts w:ascii="Times New Roman" w:hAnsi="Times New Roman" w:cs="Times New Roman"/>
              <w:bCs/>
              <w:szCs w:val="28"/>
              <w:lang w:val="zh-CN"/>
            </w:rPr>
            <w:fldChar w:fldCharType="separate"/>
          </w:r>
          <w:r>
            <w:rPr>
              <w:rFonts w:hint="eastAsia" w:ascii="Times New Roman" w:hAnsi="Times New Roman"/>
            </w:rPr>
            <w:t>七、验收监测内容</w:t>
          </w:r>
          <w:r>
            <w:tab/>
          </w:r>
          <w:r>
            <w:fldChar w:fldCharType="begin"/>
          </w:r>
          <w:r>
            <w:instrText xml:space="preserve"> PAGEREF _Toc12832 </w:instrText>
          </w:r>
          <w:r>
            <w:fldChar w:fldCharType="separate"/>
          </w:r>
          <w:r>
            <w:t>37</w:t>
          </w:r>
          <w:r>
            <w:fldChar w:fldCharType="end"/>
          </w:r>
          <w:r>
            <w:rPr>
              <w:rFonts w:ascii="Times New Roman" w:hAnsi="Times New Roman" w:cs="Times New Roman"/>
              <w:bCs/>
              <w:color w:val="auto"/>
              <w:szCs w:val="28"/>
              <w:lang w:val="zh-CN"/>
            </w:rPr>
            <w:fldChar w:fldCharType="end"/>
          </w:r>
        </w:p>
        <w:p>
          <w:pPr>
            <w:pStyle w:val="22"/>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_Toc10650 </w:instrText>
          </w:r>
          <w:r>
            <w:rPr>
              <w:rFonts w:ascii="Times New Roman" w:hAnsi="Times New Roman" w:cs="Times New Roman"/>
              <w:bCs/>
              <w:szCs w:val="28"/>
              <w:lang w:val="zh-CN"/>
            </w:rPr>
            <w:fldChar w:fldCharType="separate"/>
          </w:r>
          <w:r>
            <w:rPr>
              <w:rFonts w:hint="eastAsia" w:ascii="Times New Roman" w:hAnsi="Times New Roman"/>
            </w:rPr>
            <w:t>7</w:t>
          </w:r>
          <w:r>
            <w:rPr>
              <w:rFonts w:ascii="Times New Roman" w:hAnsi="Times New Roman"/>
            </w:rPr>
            <w:t>.1</w:t>
          </w:r>
          <w:r>
            <w:rPr>
              <w:rFonts w:hint="eastAsia" w:ascii="Times New Roman" w:hAnsi="Times New Roman"/>
            </w:rPr>
            <w:t>环境保护设施调试运行效果</w:t>
          </w:r>
          <w:r>
            <w:tab/>
          </w:r>
          <w:r>
            <w:fldChar w:fldCharType="begin"/>
          </w:r>
          <w:r>
            <w:instrText xml:space="preserve"> PAGEREF _Toc10650 </w:instrText>
          </w:r>
          <w:r>
            <w:fldChar w:fldCharType="separate"/>
          </w:r>
          <w:r>
            <w:t>37</w:t>
          </w:r>
          <w:r>
            <w:fldChar w:fldCharType="end"/>
          </w:r>
          <w:r>
            <w:rPr>
              <w:rFonts w:ascii="Times New Roman" w:hAnsi="Times New Roman" w:cs="Times New Roman"/>
              <w:bCs/>
              <w:color w:val="auto"/>
              <w:szCs w:val="28"/>
              <w:lang w:val="zh-CN"/>
            </w:rPr>
            <w:fldChar w:fldCharType="end"/>
          </w:r>
        </w:p>
        <w:p>
          <w:pPr>
            <w:pStyle w:val="13"/>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_Toc22940 </w:instrText>
          </w:r>
          <w:r>
            <w:rPr>
              <w:rFonts w:ascii="Times New Roman" w:hAnsi="Times New Roman" w:cs="Times New Roman"/>
              <w:bCs/>
              <w:szCs w:val="28"/>
              <w:lang w:val="zh-CN"/>
            </w:rPr>
            <w:fldChar w:fldCharType="separate"/>
          </w:r>
          <w:r>
            <w:rPr>
              <w:rFonts w:ascii="Times New Roman" w:hAnsi="Times New Roman"/>
            </w:rPr>
            <w:t>7.1.</w:t>
          </w:r>
          <w:r>
            <w:rPr>
              <w:rFonts w:hint="eastAsia" w:ascii="Times New Roman" w:hAnsi="Times New Roman"/>
            </w:rPr>
            <w:t>1</w:t>
          </w:r>
          <w:r>
            <w:rPr>
              <w:rFonts w:ascii="Times New Roman" w:hAnsi="Times New Roman"/>
            </w:rPr>
            <w:t>无组织废气监测</w:t>
          </w:r>
          <w:r>
            <w:tab/>
          </w:r>
          <w:r>
            <w:fldChar w:fldCharType="begin"/>
          </w:r>
          <w:r>
            <w:instrText xml:space="preserve"> PAGEREF _Toc22940 </w:instrText>
          </w:r>
          <w:r>
            <w:fldChar w:fldCharType="separate"/>
          </w:r>
          <w:r>
            <w:t>37</w:t>
          </w:r>
          <w:r>
            <w:fldChar w:fldCharType="end"/>
          </w:r>
          <w:r>
            <w:rPr>
              <w:rFonts w:ascii="Times New Roman" w:hAnsi="Times New Roman" w:cs="Times New Roman"/>
              <w:bCs/>
              <w:color w:val="auto"/>
              <w:szCs w:val="28"/>
              <w:lang w:val="zh-CN"/>
            </w:rPr>
            <w:fldChar w:fldCharType="end"/>
          </w:r>
        </w:p>
        <w:p>
          <w:pPr>
            <w:pStyle w:val="13"/>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_Toc21306 </w:instrText>
          </w:r>
          <w:r>
            <w:rPr>
              <w:rFonts w:ascii="Times New Roman" w:hAnsi="Times New Roman" w:cs="Times New Roman"/>
              <w:bCs/>
              <w:szCs w:val="28"/>
              <w:lang w:val="zh-CN"/>
            </w:rPr>
            <w:fldChar w:fldCharType="separate"/>
          </w:r>
          <w:r>
            <w:rPr>
              <w:rFonts w:ascii="Times New Roman" w:hAnsi="Times New Roman"/>
            </w:rPr>
            <w:t>7.1.</w:t>
          </w:r>
          <w:r>
            <w:rPr>
              <w:rFonts w:hint="eastAsia" w:ascii="Times New Roman" w:hAnsi="Times New Roman"/>
              <w:lang w:val="en-US" w:eastAsia="zh-CN"/>
            </w:rPr>
            <w:t>2</w:t>
          </w:r>
          <w:r>
            <w:rPr>
              <w:rFonts w:ascii="Times New Roman" w:hAnsi="Times New Roman"/>
            </w:rPr>
            <w:t>噪声监测</w:t>
          </w:r>
          <w:r>
            <w:tab/>
          </w:r>
          <w:r>
            <w:fldChar w:fldCharType="begin"/>
          </w:r>
          <w:r>
            <w:instrText xml:space="preserve"> PAGEREF _Toc21306 </w:instrText>
          </w:r>
          <w:r>
            <w:fldChar w:fldCharType="separate"/>
          </w:r>
          <w:r>
            <w:t>37</w:t>
          </w:r>
          <w:r>
            <w:fldChar w:fldCharType="end"/>
          </w:r>
          <w:r>
            <w:rPr>
              <w:rFonts w:ascii="Times New Roman" w:hAnsi="Times New Roman" w:cs="Times New Roman"/>
              <w:bCs/>
              <w:color w:val="auto"/>
              <w:szCs w:val="28"/>
              <w:lang w:val="zh-CN"/>
            </w:rPr>
            <w:fldChar w:fldCharType="end"/>
          </w:r>
        </w:p>
        <w:p>
          <w:pPr>
            <w:pStyle w:val="22"/>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_Toc8866 </w:instrText>
          </w:r>
          <w:r>
            <w:rPr>
              <w:rFonts w:ascii="Times New Roman" w:hAnsi="Times New Roman" w:cs="Times New Roman"/>
              <w:bCs/>
              <w:szCs w:val="28"/>
              <w:lang w:val="zh-CN"/>
            </w:rPr>
            <w:fldChar w:fldCharType="separate"/>
          </w:r>
          <w:r>
            <w:rPr>
              <w:rFonts w:ascii="Times New Roman" w:hAnsi="Times New Roman"/>
            </w:rPr>
            <w:t>7</w:t>
          </w:r>
          <w:r>
            <w:rPr>
              <w:rFonts w:hint="eastAsia" w:ascii="Times New Roman" w:hAnsi="Times New Roman"/>
            </w:rPr>
            <w:t>.</w:t>
          </w:r>
          <w:r>
            <w:rPr>
              <w:rFonts w:ascii="Times New Roman" w:hAnsi="Times New Roman"/>
            </w:rPr>
            <w:t>2</w:t>
          </w:r>
          <w:r>
            <w:rPr>
              <w:rFonts w:hint="eastAsia" w:ascii="Times New Roman" w:hAnsi="Times New Roman"/>
            </w:rPr>
            <w:t>环境质量监测</w:t>
          </w:r>
          <w:r>
            <w:tab/>
          </w:r>
          <w:r>
            <w:fldChar w:fldCharType="begin"/>
          </w:r>
          <w:r>
            <w:instrText xml:space="preserve"> PAGEREF _Toc8866 </w:instrText>
          </w:r>
          <w:r>
            <w:fldChar w:fldCharType="separate"/>
          </w:r>
          <w:r>
            <w:t>37</w:t>
          </w:r>
          <w:r>
            <w:fldChar w:fldCharType="end"/>
          </w:r>
          <w:r>
            <w:rPr>
              <w:rFonts w:ascii="Times New Roman" w:hAnsi="Times New Roman" w:cs="Times New Roman"/>
              <w:bCs/>
              <w:color w:val="auto"/>
              <w:szCs w:val="28"/>
              <w:lang w:val="zh-CN"/>
            </w:rPr>
            <w:fldChar w:fldCharType="end"/>
          </w:r>
        </w:p>
        <w:p>
          <w:pPr>
            <w:pStyle w:val="13"/>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_Toc13331 </w:instrText>
          </w:r>
          <w:r>
            <w:rPr>
              <w:rFonts w:ascii="Times New Roman" w:hAnsi="Times New Roman" w:cs="Times New Roman"/>
              <w:bCs/>
              <w:szCs w:val="28"/>
              <w:lang w:val="zh-CN"/>
            </w:rPr>
            <w:fldChar w:fldCharType="separate"/>
          </w:r>
          <w:r>
            <w:rPr>
              <w:rFonts w:ascii="Times New Roman" w:hAnsi="Times New Roman"/>
            </w:rPr>
            <w:t>7.</w:t>
          </w:r>
          <w:r>
            <w:rPr>
              <w:rFonts w:hint="eastAsia" w:ascii="Times New Roman" w:hAnsi="Times New Roman"/>
            </w:rPr>
            <w:t>2.</w:t>
          </w:r>
          <w:r>
            <w:rPr>
              <w:rFonts w:ascii="Times New Roman" w:hAnsi="Times New Roman"/>
            </w:rPr>
            <w:t>1</w:t>
          </w:r>
          <w:r>
            <w:rPr>
              <w:rFonts w:hint="eastAsia" w:ascii="Times New Roman" w:hAnsi="Times New Roman"/>
            </w:rPr>
            <w:t>地下水</w:t>
          </w:r>
          <w:r>
            <w:rPr>
              <w:rFonts w:ascii="Times New Roman" w:hAnsi="Times New Roman"/>
            </w:rPr>
            <w:t>监测</w:t>
          </w:r>
          <w:r>
            <w:tab/>
          </w:r>
          <w:r>
            <w:fldChar w:fldCharType="begin"/>
          </w:r>
          <w:r>
            <w:instrText xml:space="preserve"> PAGEREF _Toc13331 </w:instrText>
          </w:r>
          <w:r>
            <w:fldChar w:fldCharType="separate"/>
          </w:r>
          <w:r>
            <w:t>37</w:t>
          </w:r>
          <w:r>
            <w:fldChar w:fldCharType="end"/>
          </w:r>
          <w:r>
            <w:rPr>
              <w:rFonts w:ascii="Times New Roman" w:hAnsi="Times New Roman" w:cs="Times New Roman"/>
              <w:bCs/>
              <w:color w:val="auto"/>
              <w:szCs w:val="28"/>
              <w:lang w:val="zh-CN"/>
            </w:rPr>
            <w:fldChar w:fldCharType="end"/>
          </w:r>
        </w:p>
        <w:p>
          <w:pPr>
            <w:pStyle w:val="22"/>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_Toc9078 </w:instrText>
          </w:r>
          <w:r>
            <w:rPr>
              <w:rFonts w:ascii="Times New Roman" w:hAnsi="Times New Roman" w:cs="Times New Roman"/>
              <w:bCs/>
              <w:szCs w:val="28"/>
              <w:lang w:val="zh-CN"/>
            </w:rPr>
            <w:fldChar w:fldCharType="separate"/>
          </w:r>
          <w:r>
            <w:rPr>
              <w:rFonts w:hint="eastAsia" w:ascii="Times New Roman" w:hAnsi="Times New Roman"/>
            </w:rPr>
            <w:t>7.3监测布点图</w:t>
          </w:r>
          <w:r>
            <w:tab/>
          </w:r>
          <w:r>
            <w:fldChar w:fldCharType="begin"/>
          </w:r>
          <w:r>
            <w:instrText xml:space="preserve"> PAGEREF _Toc9078 </w:instrText>
          </w:r>
          <w:r>
            <w:fldChar w:fldCharType="separate"/>
          </w:r>
          <w:r>
            <w:t>38</w:t>
          </w:r>
          <w:r>
            <w:fldChar w:fldCharType="end"/>
          </w:r>
          <w:r>
            <w:rPr>
              <w:rFonts w:ascii="Times New Roman" w:hAnsi="Times New Roman" w:cs="Times New Roman"/>
              <w:bCs/>
              <w:color w:val="auto"/>
              <w:szCs w:val="28"/>
              <w:lang w:val="zh-CN"/>
            </w:rPr>
            <w:fldChar w:fldCharType="end"/>
          </w:r>
        </w:p>
        <w:p>
          <w:pPr>
            <w:pStyle w:val="20"/>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_Toc16924 </w:instrText>
          </w:r>
          <w:r>
            <w:rPr>
              <w:rFonts w:ascii="Times New Roman" w:hAnsi="Times New Roman" w:cs="Times New Roman"/>
              <w:bCs/>
              <w:szCs w:val="28"/>
              <w:lang w:val="zh-CN"/>
            </w:rPr>
            <w:fldChar w:fldCharType="separate"/>
          </w:r>
          <w:r>
            <w:rPr>
              <w:rFonts w:hint="eastAsia" w:ascii="Times New Roman" w:hAnsi="Times New Roman"/>
            </w:rPr>
            <w:t>八、质量保证及质量控制</w:t>
          </w:r>
          <w:r>
            <w:tab/>
          </w:r>
          <w:r>
            <w:fldChar w:fldCharType="begin"/>
          </w:r>
          <w:r>
            <w:instrText xml:space="preserve"> PAGEREF _Toc16924 </w:instrText>
          </w:r>
          <w:r>
            <w:fldChar w:fldCharType="separate"/>
          </w:r>
          <w:r>
            <w:t>40</w:t>
          </w:r>
          <w:r>
            <w:fldChar w:fldCharType="end"/>
          </w:r>
          <w:r>
            <w:rPr>
              <w:rFonts w:ascii="Times New Roman" w:hAnsi="Times New Roman" w:cs="Times New Roman"/>
              <w:bCs/>
              <w:color w:val="auto"/>
              <w:szCs w:val="28"/>
              <w:lang w:val="zh-CN"/>
            </w:rPr>
            <w:fldChar w:fldCharType="end"/>
          </w:r>
        </w:p>
        <w:p>
          <w:pPr>
            <w:pStyle w:val="22"/>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_Toc22506 </w:instrText>
          </w:r>
          <w:r>
            <w:rPr>
              <w:rFonts w:ascii="Times New Roman" w:hAnsi="Times New Roman" w:cs="Times New Roman"/>
              <w:bCs/>
              <w:szCs w:val="28"/>
              <w:lang w:val="zh-CN"/>
            </w:rPr>
            <w:fldChar w:fldCharType="separate"/>
          </w:r>
          <w:r>
            <w:rPr>
              <w:rFonts w:ascii="Times New Roman" w:hAnsi="Times New Roman"/>
            </w:rPr>
            <w:t>8.1</w:t>
          </w:r>
          <w:r>
            <w:rPr>
              <w:rFonts w:hint="eastAsia" w:ascii="Times New Roman" w:hAnsi="Times New Roman"/>
            </w:rPr>
            <w:t>监测分析方法</w:t>
          </w:r>
          <w:r>
            <w:tab/>
          </w:r>
          <w:r>
            <w:fldChar w:fldCharType="begin"/>
          </w:r>
          <w:r>
            <w:instrText xml:space="preserve"> PAGEREF _Toc22506 </w:instrText>
          </w:r>
          <w:r>
            <w:fldChar w:fldCharType="separate"/>
          </w:r>
          <w:r>
            <w:t>40</w:t>
          </w:r>
          <w:r>
            <w:fldChar w:fldCharType="end"/>
          </w:r>
          <w:r>
            <w:rPr>
              <w:rFonts w:ascii="Times New Roman" w:hAnsi="Times New Roman" w:cs="Times New Roman"/>
              <w:bCs/>
              <w:color w:val="auto"/>
              <w:szCs w:val="28"/>
              <w:lang w:val="zh-CN"/>
            </w:rPr>
            <w:fldChar w:fldCharType="end"/>
          </w:r>
        </w:p>
        <w:p>
          <w:pPr>
            <w:pStyle w:val="22"/>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_Toc22707 </w:instrText>
          </w:r>
          <w:r>
            <w:rPr>
              <w:rFonts w:ascii="Times New Roman" w:hAnsi="Times New Roman" w:cs="Times New Roman"/>
              <w:bCs/>
              <w:szCs w:val="28"/>
              <w:lang w:val="zh-CN"/>
            </w:rPr>
            <w:fldChar w:fldCharType="separate"/>
          </w:r>
          <w:r>
            <w:rPr>
              <w:rFonts w:hint="eastAsia" w:ascii="Times New Roman" w:hAnsi="Times New Roman"/>
            </w:rPr>
            <w:t>8.2监测仪器</w:t>
          </w:r>
          <w:r>
            <w:tab/>
          </w:r>
          <w:r>
            <w:fldChar w:fldCharType="begin"/>
          </w:r>
          <w:r>
            <w:instrText xml:space="preserve"> PAGEREF _Toc22707 </w:instrText>
          </w:r>
          <w:r>
            <w:fldChar w:fldCharType="separate"/>
          </w:r>
          <w:r>
            <w:t>41</w:t>
          </w:r>
          <w:r>
            <w:fldChar w:fldCharType="end"/>
          </w:r>
          <w:r>
            <w:rPr>
              <w:rFonts w:ascii="Times New Roman" w:hAnsi="Times New Roman" w:cs="Times New Roman"/>
              <w:bCs/>
              <w:color w:val="auto"/>
              <w:szCs w:val="28"/>
              <w:lang w:val="zh-CN"/>
            </w:rPr>
            <w:fldChar w:fldCharType="end"/>
          </w:r>
        </w:p>
        <w:p>
          <w:pPr>
            <w:pStyle w:val="22"/>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_Toc2414 </w:instrText>
          </w:r>
          <w:r>
            <w:rPr>
              <w:rFonts w:ascii="Times New Roman" w:hAnsi="Times New Roman" w:cs="Times New Roman"/>
              <w:bCs/>
              <w:szCs w:val="28"/>
              <w:lang w:val="zh-CN"/>
            </w:rPr>
            <w:fldChar w:fldCharType="separate"/>
          </w:r>
          <w:r>
            <w:rPr>
              <w:rFonts w:hint="eastAsia" w:ascii="Times New Roman" w:hAnsi="Times New Roman"/>
            </w:rPr>
            <w:t>8.3人员资质</w:t>
          </w:r>
          <w:r>
            <w:tab/>
          </w:r>
          <w:r>
            <w:fldChar w:fldCharType="begin"/>
          </w:r>
          <w:r>
            <w:instrText xml:space="preserve"> PAGEREF _Toc2414 </w:instrText>
          </w:r>
          <w:r>
            <w:fldChar w:fldCharType="separate"/>
          </w:r>
          <w:r>
            <w:t>41</w:t>
          </w:r>
          <w:r>
            <w:fldChar w:fldCharType="end"/>
          </w:r>
          <w:r>
            <w:rPr>
              <w:rFonts w:ascii="Times New Roman" w:hAnsi="Times New Roman" w:cs="Times New Roman"/>
              <w:bCs/>
              <w:color w:val="auto"/>
              <w:szCs w:val="28"/>
              <w:lang w:val="zh-CN"/>
            </w:rPr>
            <w:fldChar w:fldCharType="end"/>
          </w:r>
        </w:p>
        <w:p>
          <w:pPr>
            <w:pStyle w:val="22"/>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_Toc12517 </w:instrText>
          </w:r>
          <w:r>
            <w:rPr>
              <w:rFonts w:ascii="Times New Roman" w:hAnsi="Times New Roman" w:cs="Times New Roman"/>
              <w:bCs/>
              <w:szCs w:val="28"/>
              <w:lang w:val="zh-CN"/>
            </w:rPr>
            <w:fldChar w:fldCharType="separate"/>
          </w:r>
          <w:r>
            <w:rPr>
              <w:rFonts w:ascii="Times New Roman" w:hAnsi="Times New Roman"/>
              <w:szCs w:val="30"/>
            </w:rPr>
            <w:t>8.4气体监测分析中的质量控制和质量保证</w:t>
          </w:r>
          <w:r>
            <w:tab/>
          </w:r>
          <w:r>
            <w:fldChar w:fldCharType="begin"/>
          </w:r>
          <w:r>
            <w:instrText xml:space="preserve"> PAGEREF _Toc12517 </w:instrText>
          </w:r>
          <w:r>
            <w:fldChar w:fldCharType="separate"/>
          </w:r>
          <w:r>
            <w:t>41</w:t>
          </w:r>
          <w:r>
            <w:fldChar w:fldCharType="end"/>
          </w:r>
          <w:r>
            <w:rPr>
              <w:rFonts w:ascii="Times New Roman" w:hAnsi="Times New Roman" w:cs="Times New Roman"/>
              <w:bCs/>
              <w:color w:val="auto"/>
              <w:szCs w:val="28"/>
              <w:lang w:val="zh-CN"/>
            </w:rPr>
            <w:fldChar w:fldCharType="end"/>
          </w:r>
        </w:p>
        <w:p>
          <w:pPr>
            <w:pStyle w:val="22"/>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_Toc21690 </w:instrText>
          </w:r>
          <w:r>
            <w:rPr>
              <w:rFonts w:ascii="Times New Roman" w:hAnsi="Times New Roman" w:cs="Times New Roman"/>
              <w:bCs/>
              <w:szCs w:val="28"/>
              <w:lang w:val="zh-CN"/>
            </w:rPr>
            <w:fldChar w:fldCharType="separate"/>
          </w:r>
          <w:r>
            <w:rPr>
              <w:rFonts w:ascii="Times New Roman" w:hAnsi="Times New Roman"/>
              <w:szCs w:val="30"/>
            </w:rPr>
            <w:t>8.5噪声监测分析中的质量控制和质量保证</w:t>
          </w:r>
          <w:r>
            <w:tab/>
          </w:r>
          <w:r>
            <w:fldChar w:fldCharType="begin"/>
          </w:r>
          <w:r>
            <w:instrText xml:space="preserve"> PAGEREF _Toc21690 </w:instrText>
          </w:r>
          <w:r>
            <w:fldChar w:fldCharType="separate"/>
          </w:r>
          <w:r>
            <w:t>42</w:t>
          </w:r>
          <w:r>
            <w:fldChar w:fldCharType="end"/>
          </w:r>
          <w:r>
            <w:rPr>
              <w:rFonts w:ascii="Times New Roman" w:hAnsi="Times New Roman" w:cs="Times New Roman"/>
              <w:bCs/>
              <w:color w:val="auto"/>
              <w:szCs w:val="28"/>
              <w:lang w:val="zh-CN"/>
            </w:rPr>
            <w:fldChar w:fldCharType="end"/>
          </w:r>
        </w:p>
        <w:p>
          <w:pPr>
            <w:pStyle w:val="20"/>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_Toc1282 </w:instrText>
          </w:r>
          <w:r>
            <w:rPr>
              <w:rFonts w:ascii="Times New Roman" w:hAnsi="Times New Roman" w:cs="Times New Roman"/>
              <w:bCs/>
              <w:szCs w:val="28"/>
              <w:lang w:val="zh-CN"/>
            </w:rPr>
            <w:fldChar w:fldCharType="separate"/>
          </w:r>
          <w:r>
            <w:rPr>
              <w:rFonts w:hint="eastAsia" w:ascii="Times New Roman" w:hAnsi="Times New Roman"/>
            </w:rPr>
            <w:t>九、验收监测结果</w:t>
          </w:r>
          <w:r>
            <w:tab/>
          </w:r>
          <w:r>
            <w:fldChar w:fldCharType="begin"/>
          </w:r>
          <w:r>
            <w:instrText xml:space="preserve"> PAGEREF _Toc1282 </w:instrText>
          </w:r>
          <w:r>
            <w:fldChar w:fldCharType="separate"/>
          </w:r>
          <w:r>
            <w:t>43</w:t>
          </w:r>
          <w:r>
            <w:fldChar w:fldCharType="end"/>
          </w:r>
          <w:r>
            <w:rPr>
              <w:rFonts w:ascii="Times New Roman" w:hAnsi="Times New Roman" w:cs="Times New Roman"/>
              <w:bCs/>
              <w:color w:val="auto"/>
              <w:szCs w:val="28"/>
              <w:lang w:val="zh-CN"/>
            </w:rPr>
            <w:fldChar w:fldCharType="end"/>
          </w:r>
        </w:p>
        <w:p>
          <w:pPr>
            <w:pStyle w:val="22"/>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_Toc8578 </w:instrText>
          </w:r>
          <w:r>
            <w:rPr>
              <w:rFonts w:ascii="Times New Roman" w:hAnsi="Times New Roman" w:cs="Times New Roman"/>
              <w:bCs/>
              <w:szCs w:val="28"/>
              <w:lang w:val="zh-CN"/>
            </w:rPr>
            <w:fldChar w:fldCharType="separate"/>
          </w:r>
          <w:r>
            <w:rPr>
              <w:rFonts w:ascii="Times New Roman" w:hAnsi="Times New Roman"/>
            </w:rPr>
            <w:t>9.1</w:t>
          </w:r>
          <w:r>
            <w:rPr>
              <w:rFonts w:hint="eastAsia" w:ascii="Times New Roman" w:hAnsi="Times New Roman"/>
              <w:lang w:eastAsia="zh-CN"/>
            </w:rPr>
            <w:t>无组织废气监测结果</w:t>
          </w:r>
          <w:r>
            <w:tab/>
          </w:r>
          <w:r>
            <w:fldChar w:fldCharType="begin"/>
          </w:r>
          <w:r>
            <w:instrText xml:space="preserve"> PAGEREF _Toc8578 </w:instrText>
          </w:r>
          <w:r>
            <w:fldChar w:fldCharType="separate"/>
          </w:r>
          <w:r>
            <w:t>43</w:t>
          </w:r>
          <w:r>
            <w:fldChar w:fldCharType="end"/>
          </w:r>
          <w:r>
            <w:rPr>
              <w:rFonts w:ascii="Times New Roman" w:hAnsi="Times New Roman" w:cs="Times New Roman"/>
              <w:bCs/>
              <w:color w:val="auto"/>
              <w:szCs w:val="28"/>
              <w:lang w:val="zh-CN"/>
            </w:rPr>
            <w:fldChar w:fldCharType="end"/>
          </w:r>
        </w:p>
        <w:p>
          <w:pPr>
            <w:pStyle w:val="22"/>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_Toc493 </w:instrText>
          </w:r>
          <w:r>
            <w:rPr>
              <w:rFonts w:ascii="Times New Roman" w:hAnsi="Times New Roman" w:cs="Times New Roman"/>
              <w:bCs/>
              <w:szCs w:val="28"/>
              <w:lang w:val="zh-CN"/>
            </w:rPr>
            <w:fldChar w:fldCharType="separate"/>
          </w:r>
          <w:r>
            <w:rPr>
              <w:rFonts w:hint="eastAsia" w:ascii="Times New Roman" w:hAnsi="Times New Roman"/>
              <w:lang w:val="en-US" w:eastAsia="zh-CN"/>
            </w:rPr>
            <w:t>9.2</w:t>
          </w:r>
          <w:r>
            <w:rPr>
              <w:rFonts w:hint="eastAsia" w:ascii="Times New Roman" w:hAnsi="Times New Roman"/>
              <w:lang w:eastAsia="zh-CN"/>
            </w:rPr>
            <w:t>厂界噪声监测结果</w:t>
          </w:r>
          <w:r>
            <w:tab/>
          </w:r>
          <w:r>
            <w:fldChar w:fldCharType="begin"/>
          </w:r>
          <w:r>
            <w:instrText xml:space="preserve"> PAGEREF _Toc493 </w:instrText>
          </w:r>
          <w:r>
            <w:fldChar w:fldCharType="separate"/>
          </w:r>
          <w:r>
            <w:t>44</w:t>
          </w:r>
          <w:r>
            <w:fldChar w:fldCharType="end"/>
          </w:r>
          <w:r>
            <w:rPr>
              <w:rFonts w:ascii="Times New Roman" w:hAnsi="Times New Roman" w:cs="Times New Roman"/>
              <w:bCs/>
              <w:color w:val="auto"/>
              <w:szCs w:val="28"/>
              <w:lang w:val="zh-CN"/>
            </w:rPr>
            <w:fldChar w:fldCharType="end"/>
          </w:r>
        </w:p>
        <w:p>
          <w:pPr>
            <w:pStyle w:val="22"/>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_Toc17687 </w:instrText>
          </w:r>
          <w:r>
            <w:rPr>
              <w:rFonts w:ascii="Times New Roman" w:hAnsi="Times New Roman" w:cs="Times New Roman"/>
              <w:bCs/>
              <w:szCs w:val="28"/>
              <w:lang w:val="zh-CN"/>
            </w:rPr>
            <w:fldChar w:fldCharType="separate"/>
          </w:r>
          <w:r>
            <w:rPr>
              <w:rFonts w:ascii="Times New Roman" w:hAnsi="Times New Roman" w:cs="Times New Roman"/>
            </w:rPr>
            <w:t>9.3工程建设对环境的影响</w:t>
          </w:r>
          <w:r>
            <w:tab/>
          </w:r>
          <w:r>
            <w:fldChar w:fldCharType="begin"/>
          </w:r>
          <w:r>
            <w:instrText xml:space="preserve"> PAGEREF _Toc17687 </w:instrText>
          </w:r>
          <w:r>
            <w:fldChar w:fldCharType="separate"/>
          </w:r>
          <w:r>
            <w:t>44</w:t>
          </w:r>
          <w:r>
            <w:fldChar w:fldCharType="end"/>
          </w:r>
          <w:r>
            <w:rPr>
              <w:rFonts w:ascii="Times New Roman" w:hAnsi="Times New Roman" w:cs="Times New Roman"/>
              <w:bCs/>
              <w:color w:val="auto"/>
              <w:szCs w:val="28"/>
              <w:lang w:val="zh-CN"/>
            </w:rPr>
            <w:fldChar w:fldCharType="end"/>
          </w:r>
        </w:p>
        <w:p>
          <w:pPr>
            <w:pStyle w:val="13"/>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_Toc31684 </w:instrText>
          </w:r>
          <w:r>
            <w:rPr>
              <w:rFonts w:ascii="Times New Roman" w:hAnsi="Times New Roman" w:cs="Times New Roman"/>
              <w:bCs/>
              <w:szCs w:val="28"/>
              <w:lang w:val="zh-CN"/>
            </w:rPr>
            <w:fldChar w:fldCharType="separate"/>
          </w:r>
          <w:r>
            <w:rPr>
              <w:rFonts w:hint="eastAsia" w:ascii="Times New Roman" w:hAnsi="Times New Roman"/>
            </w:rPr>
            <w:t>9.3.1地下水监测</w:t>
          </w:r>
          <w:r>
            <w:tab/>
          </w:r>
          <w:r>
            <w:fldChar w:fldCharType="begin"/>
          </w:r>
          <w:r>
            <w:instrText xml:space="preserve"> PAGEREF _Toc31684 </w:instrText>
          </w:r>
          <w:r>
            <w:fldChar w:fldCharType="separate"/>
          </w:r>
          <w:r>
            <w:t>44</w:t>
          </w:r>
          <w:r>
            <w:fldChar w:fldCharType="end"/>
          </w:r>
          <w:r>
            <w:rPr>
              <w:rFonts w:ascii="Times New Roman" w:hAnsi="Times New Roman" w:cs="Times New Roman"/>
              <w:bCs/>
              <w:color w:val="auto"/>
              <w:szCs w:val="28"/>
              <w:lang w:val="zh-CN"/>
            </w:rPr>
            <w:fldChar w:fldCharType="end"/>
          </w:r>
        </w:p>
        <w:p>
          <w:pPr>
            <w:pStyle w:val="22"/>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_Toc3823 </w:instrText>
          </w:r>
          <w:r>
            <w:rPr>
              <w:rFonts w:ascii="Times New Roman" w:hAnsi="Times New Roman" w:cs="Times New Roman"/>
              <w:bCs/>
              <w:szCs w:val="28"/>
              <w:lang w:val="zh-CN"/>
            </w:rPr>
            <w:fldChar w:fldCharType="separate"/>
          </w:r>
          <w:r>
            <w:rPr>
              <w:rFonts w:hint="eastAsia" w:ascii="Times New Roman" w:hAnsi="Times New Roman"/>
            </w:rPr>
            <w:t>9.4环评审批意见落实情况</w:t>
          </w:r>
          <w:r>
            <w:tab/>
          </w:r>
          <w:r>
            <w:fldChar w:fldCharType="begin"/>
          </w:r>
          <w:r>
            <w:instrText xml:space="preserve"> PAGEREF _Toc3823 </w:instrText>
          </w:r>
          <w:r>
            <w:fldChar w:fldCharType="separate"/>
          </w:r>
          <w:r>
            <w:t>48</w:t>
          </w:r>
          <w:r>
            <w:fldChar w:fldCharType="end"/>
          </w:r>
          <w:r>
            <w:rPr>
              <w:rFonts w:ascii="Times New Roman" w:hAnsi="Times New Roman" w:cs="Times New Roman"/>
              <w:bCs/>
              <w:color w:val="auto"/>
              <w:szCs w:val="28"/>
              <w:lang w:val="zh-CN"/>
            </w:rPr>
            <w:fldChar w:fldCharType="end"/>
          </w:r>
        </w:p>
        <w:p>
          <w:pPr>
            <w:pStyle w:val="20"/>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_Toc18633 </w:instrText>
          </w:r>
          <w:r>
            <w:rPr>
              <w:rFonts w:ascii="Times New Roman" w:hAnsi="Times New Roman" w:cs="Times New Roman"/>
              <w:bCs/>
              <w:szCs w:val="28"/>
              <w:lang w:val="zh-CN"/>
            </w:rPr>
            <w:fldChar w:fldCharType="separate"/>
          </w:r>
          <w:r>
            <w:rPr>
              <w:rFonts w:ascii="Times New Roman" w:hAnsi="Times New Roman"/>
            </w:rPr>
            <w:t>十、</w:t>
          </w:r>
          <w:r>
            <w:rPr>
              <w:rFonts w:ascii="Times New Roman" w:hAnsi="Times New Roman" w:cs="Times New Roman"/>
            </w:rPr>
            <w:t>验收监测结论</w:t>
          </w:r>
          <w:r>
            <w:tab/>
          </w:r>
          <w:r>
            <w:fldChar w:fldCharType="begin"/>
          </w:r>
          <w:r>
            <w:instrText xml:space="preserve"> PAGEREF _Toc18633 </w:instrText>
          </w:r>
          <w:r>
            <w:fldChar w:fldCharType="separate"/>
          </w:r>
          <w:r>
            <w:t>50</w:t>
          </w:r>
          <w:r>
            <w:fldChar w:fldCharType="end"/>
          </w:r>
          <w:r>
            <w:rPr>
              <w:rFonts w:ascii="Times New Roman" w:hAnsi="Times New Roman" w:cs="Times New Roman"/>
              <w:bCs/>
              <w:color w:val="auto"/>
              <w:szCs w:val="28"/>
              <w:lang w:val="zh-CN"/>
            </w:rPr>
            <w:fldChar w:fldCharType="end"/>
          </w:r>
        </w:p>
        <w:p>
          <w:pPr>
            <w:pStyle w:val="20"/>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_Toc13912 </w:instrText>
          </w:r>
          <w:r>
            <w:rPr>
              <w:rFonts w:ascii="Times New Roman" w:hAnsi="Times New Roman" w:cs="Times New Roman"/>
              <w:bCs/>
              <w:szCs w:val="28"/>
              <w:lang w:val="zh-CN"/>
            </w:rPr>
            <w:fldChar w:fldCharType="separate"/>
          </w:r>
          <w:r>
            <w:rPr>
              <w:rFonts w:hint="eastAsia" w:ascii="Times New Roman" w:hAnsi="Times New Roman"/>
              <w:szCs w:val="24"/>
            </w:rPr>
            <w:t>十一、建设项目环境保护“三同时”竣工验收登记表</w:t>
          </w:r>
          <w:r>
            <w:tab/>
          </w:r>
          <w:r>
            <w:fldChar w:fldCharType="begin"/>
          </w:r>
          <w:r>
            <w:instrText xml:space="preserve"> PAGEREF _Toc13912 </w:instrText>
          </w:r>
          <w:r>
            <w:fldChar w:fldCharType="separate"/>
          </w:r>
          <w:r>
            <w:t>51</w:t>
          </w:r>
          <w:r>
            <w:fldChar w:fldCharType="end"/>
          </w:r>
          <w:r>
            <w:rPr>
              <w:rFonts w:ascii="Times New Roman" w:hAnsi="Times New Roman" w:cs="Times New Roman"/>
              <w:bCs/>
              <w:color w:val="auto"/>
              <w:szCs w:val="28"/>
              <w:lang w:val="zh-CN"/>
            </w:rPr>
            <w:fldChar w:fldCharType="end"/>
          </w:r>
        </w:p>
        <w:p>
          <w:pPr>
            <w:pStyle w:val="20"/>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_Toc31939 </w:instrText>
          </w:r>
          <w:r>
            <w:rPr>
              <w:rFonts w:ascii="Times New Roman" w:hAnsi="Times New Roman" w:cs="Times New Roman"/>
              <w:bCs/>
              <w:szCs w:val="28"/>
              <w:lang w:val="zh-CN"/>
            </w:rPr>
            <w:fldChar w:fldCharType="separate"/>
          </w:r>
          <w:r>
            <w:rPr>
              <w:rFonts w:hint="eastAsia" w:ascii="Times New Roman" w:hAnsi="Times New Roman"/>
            </w:rPr>
            <w:t>附件1验收</w:t>
          </w:r>
          <w:r>
            <w:rPr>
              <w:rFonts w:hint="eastAsia" w:ascii="Times New Roman" w:hAnsi="Times New Roman"/>
              <w:lang w:eastAsia="zh-CN"/>
            </w:rPr>
            <w:t>调查</w:t>
          </w:r>
          <w:r>
            <w:rPr>
              <w:rFonts w:hint="eastAsia" w:ascii="Times New Roman" w:hAnsi="Times New Roman"/>
            </w:rPr>
            <w:t>委托书</w:t>
          </w:r>
          <w:r>
            <w:tab/>
          </w:r>
          <w:r>
            <w:fldChar w:fldCharType="begin"/>
          </w:r>
          <w:r>
            <w:instrText xml:space="preserve"> PAGEREF _Toc31939 </w:instrText>
          </w:r>
          <w:r>
            <w:fldChar w:fldCharType="separate"/>
          </w:r>
          <w:r>
            <w:t>52</w:t>
          </w:r>
          <w:r>
            <w:fldChar w:fldCharType="end"/>
          </w:r>
          <w:r>
            <w:rPr>
              <w:rFonts w:ascii="Times New Roman" w:hAnsi="Times New Roman" w:cs="Times New Roman"/>
              <w:bCs/>
              <w:color w:val="auto"/>
              <w:szCs w:val="28"/>
              <w:lang w:val="zh-CN"/>
            </w:rPr>
            <w:fldChar w:fldCharType="end"/>
          </w:r>
        </w:p>
        <w:p>
          <w:pPr>
            <w:pStyle w:val="20"/>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_Toc6892 </w:instrText>
          </w:r>
          <w:r>
            <w:rPr>
              <w:rFonts w:ascii="Times New Roman" w:hAnsi="Times New Roman" w:cs="Times New Roman"/>
              <w:bCs/>
              <w:szCs w:val="28"/>
              <w:lang w:val="zh-CN"/>
            </w:rPr>
            <w:fldChar w:fldCharType="separate"/>
          </w:r>
          <w:r>
            <w:rPr>
              <w:rFonts w:hint="eastAsia" w:ascii="Times New Roman" w:hAnsi="Times New Roman"/>
            </w:rPr>
            <w:t>附件2项目环评备案文件</w:t>
          </w:r>
          <w:r>
            <w:tab/>
          </w:r>
          <w:r>
            <w:fldChar w:fldCharType="begin"/>
          </w:r>
          <w:r>
            <w:instrText xml:space="preserve"> PAGEREF _Toc6892 </w:instrText>
          </w:r>
          <w:r>
            <w:fldChar w:fldCharType="separate"/>
          </w:r>
          <w:r>
            <w:t>53</w:t>
          </w:r>
          <w:r>
            <w:fldChar w:fldCharType="end"/>
          </w:r>
          <w:r>
            <w:rPr>
              <w:rFonts w:ascii="Times New Roman" w:hAnsi="Times New Roman" w:cs="Times New Roman"/>
              <w:bCs/>
              <w:color w:val="auto"/>
              <w:szCs w:val="28"/>
              <w:lang w:val="zh-CN"/>
            </w:rPr>
            <w:fldChar w:fldCharType="end"/>
          </w:r>
        </w:p>
        <w:p>
          <w:pPr>
            <w:pStyle w:val="20"/>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_Toc20520 </w:instrText>
          </w:r>
          <w:r>
            <w:rPr>
              <w:rFonts w:ascii="Times New Roman" w:hAnsi="Times New Roman" w:cs="Times New Roman"/>
              <w:bCs/>
              <w:szCs w:val="28"/>
              <w:lang w:val="zh-CN"/>
            </w:rPr>
            <w:fldChar w:fldCharType="separate"/>
          </w:r>
          <w:r>
            <w:rPr>
              <w:rFonts w:hint="eastAsia" w:ascii="Times New Roman" w:hAnsi="Times New Roman"/>
            </w:rPr>
            <w:t>附件</w:t>
          </w:r>
          <w:r>
            <w:rPr>
              <w:rFonts w:hint="eastAsia" w:ascii="Times New Roman" w:hAnsi="Times New Roman"/>
              <w:lang w:val="en-US" w:eastAsia="zh-CN"/>
            </w:rPr>
            <w:t>3</w:t>
          </w:r>
          <w:r>
            <w:rPr>
              <w:rFonts w:hint="eastAsia" w:ascii="Times New Roman" w:hAnsi="Times New Roman"/>
            </w:rPr>
            <w:t>本项目环评审批意见</w:t>
          </w:r>
          <w:r>
            <w:tab/>
          </w:r>
          <w:r>
            <w:fldChar w:fldCharType="begin"/>
          </w:r>
          <w:r>
            <w:instrText xml:space="preserve"> PAGEREF _Toc20520 </w:instrText>
          </w:r>
          <w:r>
            <w:fldChar w:fldCharType="separate"/>
          </w:r>
          <w:r>
            <w:t>55</w:t>
          </w:r>
          <w:r>
            <w:fldChar w:fldCharType="end"/>
          </w:r>
          <w:r>
            <w:rPr>
              <w:rFonts w:ascii="Times New Roman" w:hAnsi="Times New Roman" w:cs="Times New Roman"/>
              <w:bCs/>
              <w:color w:val="auto"/>
              <w:szCs w:val="28"/>
              <w:lang w:val="zh-CN"/>
            </w:rPr>
            <w:fldChar w:fldCharType="end"/>
          </w:r>
        </w:p>
        <w:p>
          <w:pPr>
            <w:pStyle w:val="20"/>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_Toc5502 </w:instrText>
          </w:r>
          <w:r>
            <w:rPr>
              <w:rFonts w:ascii="Times New Roman" w:hAnsi="Times New Roman" w:cs="Times New Roman"/>
              <w:bCs/>
              <w:szCs w:val="28"/>
              <w:lang w:val="zh-CN"/>
            </w:rPr>
            <w:fldChar w:fldCharType="separate"/>
          </w:r>
          <w:r>
            <w:rPr>
              <w:rFonts w:hint="eastAsia" w:ascii="Times New Roman" w:hAnsi="Times New Roman"/>
            </w:rPr>
            <w:t>附件</w:t>
          </w:r>
          <w:r>
            <w:rPr>
              <w:rFonts w:hint="eastAsia" w:ascii="Times New Roman" w:hAnsi="Times New Roman"/>
              <w:lang w:val="en-US" w:eastAsia="zh-CN"/>
            </w:rPr>
            <w:t>4</w:t>
          </w:r>
          <w:r>
            <w:rPr>
              <w:rFonts w:hint="eastAsia" w:ascii="Times New Roman" w:hAnsi="Times New Roman"/>
            </w:rPr>
            <w:t>检测报告扫描件</w:t>
          </w:r>
          <w:r>
            <w:tab/>
          </w:r>
          <w:r>
            <w:fldChar w:fldCharType="begin"/>
          </w:r>
          <w:r>
            <w:instrText xml:space="preserve"> PAGEREF _Toc5502 </w:instrText>
          </w:r>
          <w:r>
            <w:fldChar w:fldCharType="separate"/>
          </w:r>
          <w:r>
            <w:t>59</w:t>
          </w:r>
          <w:r>
            <w:fldChar w:fldCharType="end"/>
          </w:r>
          <w:r>
            <w:rPr>
              <w:rFonts w:ascii="Times New Roman" w:hAnsi="Times New Roman" w:cs="Times New Roman"/>
              <w:bCs/>
              <w:color w:val="auto"/>
              <w:szCs w:val="28"/>
              <w:lang w:val="zh-CN"/>
            </w:rPr>
            <w:fldChar w:fldCharType="end"/>
          </w:r>
        </w:p>
        <w:p>
          <w:pPr>
            <w:pStyle w:val="20"/>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_Toc6606 </w:instrText>
          </w:r>
          <w:r>
            <w:rPr>
              <w:rFonts w:ascii="Times New Roman" w:hAnsi="Times New Roman" w:cs="Times New Roman"/>
              <w:bCs/>
              <w:szCs w:val="28"/>
              <w:lang w:val="zh-CN"/>
            </w:rPr>
            <w:fldChar w:fldCharType="separate"/>
          </w:r>
          <w:r>
            <w:rPr>
              <w:rFonts w:hint="eastAsia" w:ascii="Times New Roman" w:hAnsi="Times New Roman"/>
            </w:rPr>
            <w:t>附件</w:t>
          </w:r>
          <w:r>
            <w:rPr>
              <w:rFonts w:hint="eastAsia" w:ascii="Times New Roman" w:hAnsi="Times New Roman"/>
              <w:lang w:val="en-US" w:eastAsia="zh-CN"/>
            </w:rPr>
            <w:t>5</w:t>
          </w:r>
          <w:r>
            <w:rPr>
              <w:rFonts w:hint="eastAsia" w:ascii="Times New Roman" w:hAnsi="Times New Roman"/>
              <w:lang w:eastAsia="zh-CN"/>
            </w:rPr>
            <w:t>废水接收协议</w:t>
          </w:r>
          <w:r>
            <w:tab/>
          </w:r>
          <w:r>
            <w:fldChar w:fldCharType="begin"/>
          </w:r>
          <w:r>
            <w:instrText xml:space="preserve"> PAGEREF _Toc6606 </w:instrText>
          </w:r>
          <w:r>
            <w:fldChar w:fldCharType="separate"/>
          </w:r>
          <w:r>
            <w:t>67</w:t>
          </w:r>
          <w:r>
            <w:fldChar w:fldCharType="end"/>
          </w:r>
          <w:r>
            <w:rPr>
              <w:rFonts w:ascii="Times New Roman" w:hAnsi="Times New Roman" w:cs="Times New Roman"/>
              <w:bCs/>
              <w:color w:val="auto"/>
              <w:szCs w:val="28"/>
              <w:lang w:val="zh-CN"/>
            </w:rPr>
            <w:fldChar w:fldCharType="end"/>
          </w:r>
        </w:p>
        <w:p>
          <w:pPr>
            <w:pStyle w:val="20"/>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_Toc17815 </w:instrText>
          </w:r>
          <w:r>
            <w:rPr>
              <w:rFonts w:ascii="Times New Roman" w:hAnsi="Times New Roman" w:cs="Times New Roman"/>
              <w:bCs/>
              <w:szCs w:val="28"/>
              <w:lang w:val="zh-CN"/>
            </w:rPr>
            <w:fldChar w:fldCharType="separate"/>
          </w:r>
          <w:r>
            <w:rPr>
              <w:rFonts w:hint="eastAsia" w:ascii="Times New Roman" w:hAnsi="Times New Roman"/>
            </w:rPr>
            <w:t>附件</w:t>
          </w:r>
          <w:r>
            <w:rPr>
              <w:rFonts w:hint="eastAsia"/>
              <w:lang w:val="en-US" w:eastAsia="zh-CN"/>
            </w:rPr>
            <w:t>6现场照片</w:t>
          </w:r>
          <w:r>
            <w:tab/>
          </w:r>
          <w:r>
            <w:fldChar w:fldCharType="begin"/>
          </w:r>
          <w:r>
            <w:instrText xml:space="preserve"> PAGEREF _Toc17815 </w:instrText>
          </w:r>
          <w:r>
            <w:fldChar w:fldCharType="separate"/>
          </w:r>
          <w:r>
            <w:t>68</w:t>
          </w:r>
          <w:r>
            <w:fldChar w:fldCharType="end"/>
          </w:r>
          <w:r>
            <w:rPr>
              <w:rFonts w:ascii="Times New Roman" w:hAnsi="Times New Roman" w:cs="Times New Roman"/>
              <w:bCs/>
              <w:color w:val="auto"/>
              <w:szCs w:val="28"/>
              <w:lang w:val="zh-CN"/>
            </w:rPr>
            <w:fldChar w:fldCharType="end"/>
          </w:r>
        </w:p>
        <w:p>
          <w:pPr>
            <w:pStyle w:val="20"/>
            <w:tabs>
              <w:tab w:val="right" w:leader="dot" w:pos="9184"/>
            </w:tabs>
          </w:pPr>
          <w:r>
            <w:rPr>
              <w:rFonts w:ascii="Times New Roman" w:hAnsi="Times New Roman" w:cs="Times New Roman"/>
              <w:bCs/>
              <w:color w:val="auto"/>
              <w:szCs w:val="28"/>
              <w:lang w:val="zh-CN"/>
            </w:rPr>
            <w:fldChar w:fldCharType="begin"/>
          </w:r>
          <w:r>
            <w:rPr>
              <w:rFonts w:ascii="Times New Roman" w:hAnsi="Times New Roman" w:cs="Times New Roman"/>
              <w:bCs/>
              <w:szCs w:val="28"/>
              <w:lang w:val="zh-CN"/>
            </w:rPr>
            <w:instrText xml:space="preserve"> HYPERLINK \l _Toc14075 </w:instrText>
          </w:r>
          <w:r>
            <w:rPr>
              <w:rFonts w:ascii="Times New Roman" w:hAnsi="Times New Roman" w:cs="Times New Roman"/>
              <w:bCs/>
              <w:szCs w:val="28"/>
              <w:lang w:val="zh-CN"/>
            </w:rPr>
            <w:fldChar w:fldCharType="separate"/>
          </w:r>
          <w:r>
            <w:rPr>
              <w:rFonts w:hint="eastAsia" w:ascii="Times New Roman" w:hAnsi="Times New Roman"/>
            </w:rPr>
            <w:t>附件</w:t>
          </w:r>
          <w:r>
            <w:rPr>
              <w:rFonts w:hint="eastAsia"/>
              <w:lang w:val="en-US" w:eastAsia="zh-CN"/>
            </w:rPr>
            <w:t>7防渗材料检测报告</w:t>
          </w:r>
          <w:r>
            <w:tab/>
          </w:r>
          <w:r>
            <w:fldChar w:fldCharType="begin"/>
          </w:r>
          <w:r>
            <w:instrText xml:space="preserve"> PAGEREF _Toc14075 </w:instrText>
          </w:r>
          <w:r>
            <w:fldChar w:fldCharType="separate"/>
          </w:r>
          <w:r>
            <w:t>71</w:t>
          </w:r>
          <w:r>
            <w:fldChar w:fldCharType="end"/>
          </w:r>
          <w:r>
            <w:rPr>
              <w:rFonts w:ascii="Times New Roman" w:hAnsi="Times New Roman" w:cs="Times New Roman"/>
              <w:bCs/>
              <w:color w:val="auto"/>
              <w:szCs w:val="28"/>
              <w:lang w:val="zh-CN"/>
            </w:rPr>
            <w:fldChar w:fldCharType="end"/>
          </w:r>
        </w:p>
        <w:p>
          <w:pPr>
            <w:tabs>
              <w:tab w:val="left" w:pos="5554"/>
            </w:tabs>
            <w:spacing w:line="380" w:lineRule="exact"/>
            <w:rPr>
              <w:rFonts w:ascii="Times New Roman" w:hAnsi="Times New Roman" w:cs="Times New Roman"/>
              <w:color w:val="auto"/>
            </w:rPr>
          </w:pPr>
          <w:r>
            <w:rPr>
              <w:rFonts w:ascii="Times New Roman" w:hAnsi="Times New Roman" w:cs="Times New Roman"/>
              <w:bCs/>
              <w:color w:val="auto"/>
              <w:szCs w:val="28"/>
              <w:lang w:val="zh-CN"/>
            </w:rPr>
            <w:fldChar w:fldCharType="end"/>
          </w:r>
        </w:p>
      </w:sdtContent>
    </w:sdt>
    <w:p>
      <w:pPr>
        <w:widowControl/>
        <w:jc w:val="left"/>
        <w:rPr>
          <w:rFonts w:ascii="Times New Roman" w:hAnsi="Times New Roman" w:cs="宋体"/>
          <w:b/>
          <w:bCs/>
          <w:color w:val="auto"/>
          <w:sz w:val="44"/>
          <w:szCs w:val="44"/>
        </w:rPr>
        <w:sectPr>
          <w:headerReference r:id="rId4" w:type="default"/>
          <w:footerReference r:id="rId5" w:type="default"/>
          <w:pgSz w:w="11906" w:h="16838"/>
          <w:pgMar w:top="1361" w:right="1361" w:bottom="1361" w:left="1361" w:header="851" w:footer="737" w:gutter="0"/>
          <w:pgBorders>
            <w:top w:val="none" w:sz="0" w:space="0"/>
            <w:left w:val="none" w:sz="0" w:space="0"/>
            <w:bottom w:val="none" w:sz="0" w:space="0"/>
            <w:right w:val="none" w:sz="0" w:space="0"/>
          </w:pgBorders>
          <w:pgNumType w:fmt="upperRoman" w:start="1"/>
          <w:cols w:space="0" w:num="1"/>
          <w:rtlGutter w:val="0"/>
          <w:docGrid w:type="lines" w:linePitch="312" w:charSpace="0"/>
        </w:sectPr>
      </w:pPr>
    </w:p>
    <w:p>
      <w:pPr>
        <w:pStyle w:val="5"/>
        <w:pageBreakBefore w:val="0"/>
        <w:widowControl w:val="0"/>
        <w:kinsoku/>
        <w:wordWrap/>
        <w:overflowPunct/>
        <w:topLinePunct w:val="0"/>
        <w:autoSpaceDE/>
        <w:autoSpaceDN/>
        <w:bidi w:val="0"/>
        <w:adjustRightInd/>
        <w:snapToGrid/>
        <w:spacing w:beforeLines="0" w:afterLines="0" w:line="360" w:lineRule="auto"/>
        <w:jc w:val="center"/>
        <w:textAlignment w:val="auto"/>
        <w:rPr>
          <w:rFonts w:ascii="Times New Roman" w:hAnsi="Times New Roman"/>
          <w:color w:val="auto"/>
        </w:rPr>
      </w:pPr>
      <w:bookmarkStart w:id="0" w:name="_Toc7445"/>
      <w:r>
        <w:rPr>
          <w:rFonts w:ascii="Times New Roman" w:hAnsi="Times New Roman"/>
          <w:color w:val="auto"/>
        </w:rPr>
        <w:t>一、</w:t>
      </w:r>
      <w:r>
        <w:rPr>
          <w:rFonts w:hint="eastAsia" w:ascii="Times New Roman" w:hAnsi="Times New Roman"/>
          <w:color w:val="auto"/>
        </w:rPr>
        <w:t>前言</w:t>
      </w:r>
      <w:bookmarkEnd w:id="0"/>
    </w:p>
    <w:p>
      <w:pPr>
        <w:pStyle w:val="104"/>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color w:val="auto"/>
          <w:lang w:eastAsia="zh-CN"/>
        </w:rPr>
      </w:pPr>
      <w:r>
        <w:rPr>
          <w:rFonts w:hint="eastAsia" w:ascii="Times New Roman" w:hAnsi="Times New Roman"/>
          <w:color w:val="auto"/>
          <w:lang w:eastAsia="zh-CN"/>
        </w:rPr>
        <w:t>随着灵璧县经济的不断发展，县城规模的不断扩大，工业发展迅速，灵璧县各类工厂较为集中，工业固体废物产生量较大，产生量也是逐年增加，综合处理量的投入也持续增加，但是目前灵璧县工业固体废物处理方式和能力已不能满足要求。</w:t>
      </w:r>
    </w:p>
    <w:p>
      <w:pPr>
        <w:pStyle w:val="104"/>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color w:val="auto"/>
          <w:kern w:val="0"/>
        </w:rPr>
      </w:pPr>
      <w:r>
        <w:rPr>
          <w:rFonts w:hint="eastAsia" w:ascii="Times New Roman" w:hAnsi="Times New Roman"/>
          <w:color w:val="auto"/>
          <w:lang w:eastAsia="zh-CN"/>
        </w:rPr>
        <w:t>近年来，灵璧县政府按照既定的经济社会发展总体思路，大力推进经济结构调整和发展方式转变，全面加快工业化、城镇化和农业现代化进程。同时，灵璧县政府投入大量资金和精力用于环境卫生治理工程，为了有效地控制一般工业固体废物对环境的不利影响，灵璧县政府目前决定建设灵璧县一般工业固废填埋处置工程，以尽量使县域工业垃圾做到无害化、减量化、资源化，提高灵璧县的环境卫生质量和人民的生活水平。</w:t>
      </w:r>
    </w:p>
    <w:p>
      <w:pPr>
        <w:pStyle w:val="145"/>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ascii="Times New Roman" w:hAnsi="Times New Roman" w:cs="Times New Roman"/>
          <w:color w:val="auto"/>
          <w:sz w:val="24"/>
          <w:szCs w:val="24"/>
        </w:rPr>
      </w:pPr>
      <w:r>
        <w:rPr>
          <w:rFonts w:ascii="Times New Roman" w:hAnsi="Times New Roman" w:cs="Times New Roman"/>
          <w:color w:val="auto"/>
          <w:sz w:val="24"/>
        </w:rPr>
        <w:t>20</w:t>
      </w:r>
      <w:r>
        <w:rPr>
          <w:rFonts w:hint="eastAsia" w:ascii="Times New Roman" w:hAnsi="Times New Roman" w:cs="Times New Roman"/>
          <w:color w:val="auto"/>
          <w:sz w:val="24"/>
          <w:lang w:val="en-US" w:eastAsia="zh-CN"/>
        </w:rPr>
        <w:t>20</w:t>
      </w:r>
      <w:r>
        <w:rPr>
          <w:rFonts w:ascii="Times New Roman" w:hAnsi="Times New Roman" w:cs="Times New Roman"/>
          <w:color w:val="auto"/>
          <w:sz w:val="24"/>
        </w:rPr>
        <w:t>年</w:t>
      </w:r>
      <w:r>
        <w:rPr>
          <w:rFonts w:hint="eastAsia" w:ascii="Times New Roman" w:hAnsi="Times New Roman" w:cs="Times New Roman"/>
          <w:color w:val="auto"/>
          <w:sz w:val="24"/>
          <w:lang w:val="en-US" w:eastAsia="zh-CN"/>
        </w:rPr>
        <w:t>7</w:t>
      </w:r>
      <w:r>
        <w:rPr>
          <w:rFonts w:ascii="Times New Roman" w:hAnsi="Times New Roman" w:cs="Times New Roman"/>
          <w:color w:val="auto"/>
          <w:sz w:val="24"/>
        </w:rPr>
        <w:t>月</w:t>
      </w:r>
      <w:r>
        <w:rPr>
          <w:rFonts w:hint="eastAsia" w:ascii="Times New Roman" w:hAnsi="Times New Roman" w:cs="Times New Roman"/>
          <w:color w:val="auto"/>
          <w:sz w:val="24"/>
          <w:lang w:val="en-US" w:eastAsia="zh-CN"/>
        </w:rPr>
        <w:t>24</w:t>
      </w:r>
      <w:r>
        <w:rPr>
          <w:rFonts w:ascii="Times New Roman" w:hAnsi="Times New Roman" w:cs="Times New Roman"/>
          <w:color w:val="auto"/>
          <w:sz w:val="24"/>
        </w:rPr>
        <w:t>日</w:t>
      </w:r>
      <w:r>
        <w:rPr>
          <w:rFonts w:hint="eastAsia" w:ascii="Times New Roman" w:hAnsi="Times New Roman"/>
          <w:color w:val="auto"/>
          <w:sz w:val="24"/>
        </w:rPr>
        <w:t>，</w:t>
      </w:r>
      <w:r>
        <w:rPr>
          <w:rFonts w:hint="eastAsia" w:ascii="Times New Roman" w:hAnsi="Times New Roman" w:eastAsia="宋体" w:cs="Times New Roman"/>
          <w:i w:val="0"/>
          <w:caps w:val="0"/>
          <w:color w:val="auto"/>
          <w:spacing w:val="0"/>
          <w:kern w:val="0"/>
          <w:sz w:val="24"/>
          <w:szCs w:val="24"/>
          <w:shd w:val="clear" w:fill="FFFFFF"/>
          <w:lang w:val="en-US" w:eastAsia="zh-CN" w:bidi="ar"/>
        </w:rPr>
        <w:t>灵璧县发展和改革委员会</w:t>
      </w:r>
      <w:r>
        <w:rPr>
          <w:rFonts w:hint="eastAsia" w:ascii="Times New Roman" w:hAnsi="Times New Roman"/>
          <w:color w:val="auto"/>
          <w:sz w:val="24"/>
        </w:rPr>
        <w:t>以项目编码：</w:t>
      </w:r>
      <w:r>
        <w:rPr>
          <w:rFonts w:hint="eastAsia" w:ascii="Times New Roman" w:hAnsi="Times New Roman" w:eastAsia="宋体" w:cs="Times New Roman"/>
          <w:i w:val="0"/>
          <w:caps w:val="0"/>
          <w:color w:val="auto"/>
          <w:spacing w:val="0"/>
          <w:kern w:val="0"/>
          <w:sz w:val="24"/>
          <w:szCs w:val="24"/>
          <w:shd w:val="clear" w:fill="FFFFFF"/>
          <w:lang w:val="en-US" w:eastAsia="zh-CN" w:bidi="ar"/>
        </w:rPr>
        <w:t>2020-341323-48-01-029020</w:t>
      </w:r>
      <w:r>
        <w:rPr>
          <w:rFonts w:hint="eastAsia" w:ascii="Times New Roman" w:hAnsi="Times New Roman"/>
          <w:color w:val="auto"/>
          <w:sz w:val="24"/>
        </w:rPr>
        <w:t>对该项目进行备案</w:t>
      </w:r>
      <w:r>
        <w:rPr>
          <w:rFonts w:ascii="Times New Roman" w:hAnsi="Times New Roman"/>
          <w:color w:val="auto"/>
          <w:sz w:val="24"/>
        </w:rPr>
        <w:t>。</w:t>
      </w:r>
    </w:p>
    <w:p>
      <w:pPr>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cs="Times New Roman"/>
          <w:color w:val="auto"/>
          <w:sz w:val="24"/>
          <w:szCs w:val="24"/>
        </w:rPr>
      </w:pPr>
      <w:r>
        <w:rPr>
          <w:rFonts w:ascii="Times New Roman" w:hAnsi="Times New Roman" w:cs="Times New Roman"/>
          <w:color w:val="auto"/>
          <w:sz w:val="24"/>
          <w:szCs w:val="24"/>
        </w:rPr>
        <w:t>20</w:t>
      </w:r>
      <w:r>
        <w:rPr>
          <w:rFonts w:hint="eastAsia" w:ascii="Times New Roman" w:hAnsi="Times New Roman" w:cs="Times New Roman"/>
          <w:color w:val="auto"/>
          <w:sz w:val="24"/>
          <w:szCs w:val="24"/>
          <w:lang w:val="en-US" w:eastAsia="zh-CN"/>
        </w:rPr>
        <w:t>20</w:t>
      </w:r>
      <w:r>
        <w:rPr>
          <w:rFonts w:ascii="Times New Roman" w:hAnsi="Times New Roman" w:cs="Times New Roman"/>
          <w:color w:val="auto"/>
          <w:sz w:val="24"/>
          <w:szCs w:val="24"/>
        </w:rPr>
        <w:t>年7月</w:t>
      </w:r>
      <w:r>
        <w:rPr>
          <w:rFonts w:hint="eastAsia" w:ascii="Times New Roman" w:hAnsi="Times New Roman" w:cs="Times New Roman"/>
          <w:color w:val="auto"/>
          <w:sz w:val="24"/>
          <w:szCs w:val="24"/>
          <w:lang w:val="en-US" w:eastAsia="zh-CN"/>
        </w:rPr>
        <w:t>26日</w:t>
      </w:r>
      <w:r>
        <w:rPr>
          <w:rFonts w:ascii="Times New Roman" w:hAnsi="Times New Roman" w:cs="Times New Roman"/>
          <w:color w:val="auto"/>
          <w:sz w:val="24"/>
          <w:szCs w:val="24"/>
        </w:rPr>
        <w:t>，建设单位委托</w:t>
      </w:r>
      <w:r>
        <w:rPr>
          <w:rFonts w:hint="eastAsia" w:ascii="Times New Roman" w:hAnsi="Times New Roman" w:cs="Times New Roman"/>
          <w:color w:val="auto"/>
          <w:sz w:val="24"/>
          <w:szCs w:val="24"/>
          <w:lang w:eastAsia="zh-CN"/>
        </w:rPr>
        <w:t>安徽启晨环境科技有限公司</w:t>
      </w:r>
      <w:r>
        <w:rPr>
          <w:rFonts w:ascii="Times New Roman" w:hAnsi="Times New Roman" w:cs="Times New Roman"/>
          <w:color w:val="auto"/>
          <w:sz w:val="24"/>
          <w:szCs w:val="24"/>
        </w:rPr>
        <w:t>编制《</w:t>
      </w:r>
      <w:r>
        <w:rPr>
          <w:rFonts w:hint="eastAsia" w:ascii="Times New Roman" w:hAnsi="Times New Roman" w:cs="Times New Roman"/>
          <w:color w:val="auto"/>
          <w:sz w:val="24"/>
          <w:szCs w:val="24"/>
          <w:lang w:eastAsia="zh-CN"/>
        </w:rPr>
        <w:t>灵璧县建设投资集团有限公司灵璧县一般工业固废填埋处置工程</w:t>
      </w:r>
      <w:r>
        <w:rPr>
          <w:rFonts w:ascii="Times New Roman" w:hAnsi="Times New Roman" w:cs="Times New Roman"/>
          <w:color w:val="auto"/>
          <w:sz w:val="24"/>
          <w:szCs w:val="24"/>
        </w:rPr>
        <w:t>环境影响报告书》</w:t>
      </w:r>
      <w:r>
        <w:rPr>
          <w:rFonts w:hint="eastAsia" w:ascii="Times New Roman" w:hAnsi="Times New Roman" w:cs="Times New Roman"/>
          <w:color w:val="auto"/>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20</w:t>
      </w:r>
      <w:r>
        <w:rPr>
          <w:rFonts w:hint="eastAsia" w:ascii="Times New Roman" w:hAnsi="Times New Roman" w:cs="Times New Roman"/>
          <w:color w:val="auto"/>
          <w:sz w:val="24"/>
          <w:szCs w:val="24"/>
          <w:highlight w:val="none"/>
          <w:lang w:val="en-US" w:eastAsia="zh-CN"/>
        </w:rPr>
        <w:t>20</w:t>
      </w:r>
      <w:r>
        <w:rPr>
          <w:rFonts w:ascii="Times New Roman" w:hAnsi="Times New Roman" w:cs="Times New Roman"/>
          <w:color w:val="auto"/>
          <w:sz w:val="24"/>
          <w:szCs w:val="24"/>
          <w:highlight w:val="none"/>
        </w:rPr>
        <w:t>年</w:t>
      </w:r>
      <w:r>
        <w:rPr>
          <w:rFonts w:hint="eastAsia" w:ascii="Times New Roman" w:hAnsi="Times New Roman" w:cs="Times New Roman"/>
          <w:color w:val="auto"/>
          <w:sz w:val="24"/>
          <w:szCs w:val="24"/>
          <w:highlight w:val="none"/>
          <w:lang w:val="en-US" w:eastAsia="zh-CN"/>
        </w:rPr>
        <w:t>10</w:t>
      </w:r>
      <w:r>
        <w:rPr>
          <w:rFonts w:ascii="Times New Roman" w:hAnsi="Times New Roman" w:cs="Times New Roman"/>
          <w:color w:val="auto"/>
          <w:sz w:val="24"/>
          <w:szCs w:val="24"/>
          <w:highlight w:val="none"/>
        </w:rPr>
        <w:t>月</w:t>
      </w:r>
      <w:r>
        <w:rPr>
          <w:rFonts w:hint="eastAsia" w:ascii="Times New Roman" w:hAnsi="Times New Roman" w:cs="Times New Roman"/>
          <w:color w:val="auto"/>
          <w:sz w:val="24"/>
          <w:szCs w:val="24"/>
          <w:highlight w:val="none"/>
          <w:lang w:val="en-US" w:eastAsia="zh-CN"/>
        </w:rPr>
        <w:t>19</w:t>
      </w:r>
      <w:r>
        <w:rPr>
          <w:rFonts w:ascii="Times New Roman" w:hAnsi="Times New Roman" w:cs="Times New Roman"/>
          <w:color w:val="auto"/>
          <w:sz w:val="24"/>
          <w:szCs w:val="24"/>
          <w:highlight w:val="none"/>
        </w:rPr>
        <w:t>日</w:t>
      </w:r>
      <w:r>
        <w:rPr>
          <w:rFonts w:hint="eastAsia"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eastAsia="zh-CN"/>
        </w:rPr>
        <w:t>宿州市灵璧县生态环境分局</w:t>
      </w:r>
      <w:r>
        <w:rPr>
          <w:rFonts w:ascii="Times New Roman" w:hAnsi="Times New Roman" w:cs="Times New Roman"/>
          <w:color w:val="auto"/>
          <w:sz w:val="24"/>
          <w:szCs w:val="24"/>
          <w:highlight w:val="none"/>
        </w:rPr>
        <w:t>以</w:t>
      </w:r>
      <w:r>
        <w:rPr>
          <w:rFonts w:hint="eastAsia" w:ascii="Times New Roman" w:hAnsi="Times New Roman" w:cs="Times New Roman"/>
          <w:color w:val="auto"/>
          <w:sz w:val="24"/>
          <w:szCs w:val="24"/>
          <w:highlight w:val="none"/>
        </w:rPr>
        <w:t>“</w:t>
      </w:r>
      <w:r>
        <w:rPr>
          <w:rFonts w:hint="eastAsia" w:ascii="Times New Roman" w:hAnsi="Times New Roman" w:eastAsia="宋体"/>
          <w:color w:val="auto"/>
          <w:sz w:val="24"/>
          <w:szCs w:val="24"/>
          <w:highlight w:val="none"/>
        </w:rPr>
        <w:t>灵环建[2020]36号</w:t>
      </w:r>
      <w:r>
        <w:rPr>
          <w:rFonts w:hint="eastAsia" w:ascii="Times New Roman" w:hAnsi="Times New Roman" w:cs="Times New Roman"/>
          <w:color w:val="auto"/>
          <w:sz w:val="24"/>
          <w:szCs w:val="24"/>
          <w:highlight w:val="none"/>
        </w:rPr>
        <w:t>”</w:t>
      </w:r>
      <w:r>
        <w:rPr>
          <w:rFonts w:ascii="Times New Roman" w:hAnsi="Times New Roman" w:cs="Times New Roman"/>
          <w:color w:val="auto"/>
          <w:sz w:val="24"/>
          <w:szCs w:val="24"/>
          <w:highlight w:val="none"/>
        </w:rPr>
        <w:t>文对</w:t>
      </w:r>
      <w:r>
        <w:rPr>
          <w:rFonts w:hint="eastAsia" w:ascii="Times New Roman" w:hAnsi="Times New Roman" w:cs="Times New Roman"/>
          <w:color w:val="auto"/>
          <w:sz w:val="24"/>
          <w:szCs w:val="24"/>
          <w:highlight w:val="none"/>
        </w:rPr>
        <w:t>本</w:t>
      </w:r>
      <w:r>
        <w:rPr>
          <w:rFonts w:ascii="Times New Roman" w:hAnsi="Times New Roman" w:cs="Times New Roman"/>
          <w:color w:val="auto"/>
          <w:sz w:val="24"/>
          <w:szCs w:val="24"/>
          <w:highlight w:val="none"/>
        </w:rPr>
        <w:t>项目</w:t>
      </w:r>
      <w:r>
        <w:rPr>
          <w:rFonts w:hint="eastAsia" w:ascii="Times New Roman" w:hAnsi="Times New Roman" w:cs="Times New Roman"/>
          <w:color w:val="auto"/>
          <w:sz w:val="24"/>
          <w:szCs w:val="24"/>
          <w:highlight w:val="none"/>
        </w:rPr>
        <w:t>环境影响报告书出具批复的函</w:t>
      </w:r>
      <w:r>
        <w:rPr>
          <w:rFonts w:ascii="Times New Roman" w:hAnsi="Times New Roman" w:cs="Times New Roman"/>
          <w:color w:val="auto"/>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rPr>
        <w:t>20</w:t>
      </w:r>
      <w:r>
        <w:rPr>
          <w:rFonts w:hint="eastAsia" w:ascii="Times New Roman" w:hAnsi="Times New Roman" w:cs="Times New Roman"/>
          <w:color w:val="auto"/>
          <w:sz w:val="24"/>
          <w:szCs w:val="24"/>
          <w:highlight w:val="none"/>
          <w:lang w:val="en-US" w:eastAsia="zh-CN"/>
        </w:rPr>
        <w:t>20</w:t>
      </w:r>
      <w:r>
        <w:rPr>
          <w:rFonts w:hint="eastAsia" w:ascii="Times New Roman" w:hAnsi="Times New Roman" w:cs="Times New Roman"/>
          <w:color w:val="auto"/>
          <w:sz w:val="24"/>
          <w:szCs w:val="24"/>
          <w:highlight w:val="none"/>
        </w:rPr>
        <w:t>年</w:t>
      </w:r>
      <w:r>
        <w:rPr>
          <w:rFonts w:hint="eastAsia" w:ascii="Times New Roman" w:hAnsi="Times New Roman" w:cs="Times New Roman"/>
          <w:color w:val="auto"/>
          <w:sz w:val="24"/>
          <w:szCs w:val="24"/>
          <w:highlight w:val="none"/>
          <w:lang w:val="en-US" w:eastAsia="zh-CN"/>
        </w:rPr>
        <w:t>9</w:t>
      </w:r>
      <w:r>
        <w:rPr>
          <w:rFonts w:hint="eastAsia" w:ascii="Times New Roman" w:hAnsi="Times New Roman" w:cs="Times New Roman"/>
          <w:color w:val="auto"/>
          <w:sz w:val="24"/>
          <w:szCs w:val="24"/>
          <w:highlight w:val="none"/>
        </w:rPr>
        <w:t>月</w:t>
      </w:r>
      <w:r>
        <w:rPr>
          <w:rFonts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rPr>
        <w:t>本</w:t>
      </w:r>
      <w:r>
        <w:rPr>
          <w:rFonts w:ascii="Times New Roman" w:hAnsi="Times New Roman" w:cs="Times New Roman"/>
          <w:color w:val="auto"/>
          <w:sz w:val="24"/>
          <w:szCs w:val="24"/>
          <w:highlight w:val="none"/>
        </w:rPr>
        <w:t>项目</w:t>
      </w:r>
      <w:r>
        <w:rPr>
          <w:rFonts w:hint="eastAsia" w:ascii="Times New Roman" w:hAnsi="Times New Roman" w:cs="Times New Roman"/>
          <w:color w:val="auto"/>
          <w:sz w:val="24"/>
          <w:szCs w:val="24"/>
          <w:highlight w:val="none"/>
        </w:rPr>
        <w:t>开工建设</w:t>
      </w:r>
      <w:r>
        <w:rPr>
          <w:rFonts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rPr>
        <w:t>2020年</w:t>
      </w:r>
      <w:r>
        <w:rPr>
          <w:rFonts w:hint="eastAsia" w:ascii="Times New Roman" w:hAnsi="Times New Roman" w:cs="Times New Roman"/>
          <w:color w:val="auto"/>
          <w:sz w:val="24"/>
          <w:szCs w:val="24"/>
          <w:highlight w:val="none"/>
          <w:lang w:val="en-US" w:eastAsia="zh-CN"/>
        </w:rPr>
        <w:t>10</w:t>
      </w:r>
      <w:r>
        <w:rPr>
          <w:rFonts w:hint="eastAsia" w:ascii="Times New Roman" w:hAnsi="Times New Roman" w:cs="Times New Roman"/>
          <w:color w:val="auto"/>
          <w:sz w:val="24"/>
          <w:szCs w:val="24"/>
          <w:highlight w:val="none"/>
        </w:rPr>
        <w:t>月</w:t>
      </w:r>
      <w:r>
        <w:rPr>
          <w:rFonts w:hint="eastAsia" w:ascii="Times New Roman" w:hAnsi="Times New Roman" w:cs="Times New Roman"/>
          <w:color w:val="auto"/>
          <w:sz w:val="24"/>
          <w:szCs w:val="24"/>
          <w:highlight w:val="none"/>
          <w:lang w:val="en-US" w:eastAsia="zh-CN"/>
        </w:rPr>
        <w:t>26日</w:t>
      </w:r>
      <w:r>
        <w:rPr>
          <w:rFonts w:ascii="Times New Roman" w:hAnsi="Times New Roman" w:cs="Times New Roman"/>
          <w:color w:val="auto"/>
          <w:sz w:val="24"/>
          <w:szCs w:val="24"/>
          <w:highlight w:val="none"/>
        </w:rPr>
        <w:t>项目</w:t>
      </w:r>
      <w:r>
        <w:rPr>
          <w:rFonts w:hint="eastAsia" w:ascii="Times New Roman" w:hAnsi="Times New Roman" w:cs="Times New Roman"/>
          <w:color w:val="auto"/>
          <w:sz w:val="24"/>
          <w:szCs w:val="24"/>
          <w:highlight w:val="none"/>
        </w:rPr>
        <w:t>工程</w:t>
      </w:r>
      <w:r>
        <w:rPr>
          <w:rFonts w:ascii="Times New Roman" w:hAnsi="Times New Roman" w:cs="Times New Roman"/>
          <w:color w:val="auto"/>
          <w:sz w:val="24"/>
          <w:szCs w:val="24"/>
          <w:highlight w:val="none"/>
        </w:rPr>
        <w:t>竣工</w:t>
      </w:r>
      <w:r>
        <w:rPr>
          <w:rFonts w:hint="eastAsia" w:ascii="Times New Roman" w:hAnsi="Times New Roman" w:cs="Times New Roman"/>
          <w:color w:val="auto"/>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firstLine="456" w:firstLineChars="200"/>
        <w:textAlignment w:val="auto"/>
        <w:rPr>
          <w:rFonts w:ascii="Times New Roman" w:hAnsi="Times New Roman" w:cs="Times New Roman"/>
          <w:color w:val="auto"/>
          <w:spacing w:val="-6"/>
          <w:sz w:val="24"/>
          <w:szCs w:val="24"/>
        </w:rPr>
      </w:pPr>
      <w:r>
        <w:rPr>
          <w:rFonts w:ascii="Times New Roman" w:hAnsi="Times New Roman" w:cs="Times New Roman"/>
          <w:color w:val="auto"/>
          <w:spacing w:val="-6"/>
          <w:sz w:val="24"/>
          <w:szCs w:val="24"/>
        </w:rPr>
        <w:t>根据《建设项目环境保护管理条例》（国务院第682号令）、</w:t>
      </w:r>
      <w:r>
        <w:rPr>
          <w:rStyle w:val="71"/>
          <w:rFonts w:hint="default" w:ascii="Times New Roman" w:hAnsi="Times New Roman" w:cs="Times New Roman"/>
          <w:color w:val="auto"/>
        </w:rPr>
        <w:t>《建设项目竣工环境保护验收暂行办法》（试行）（</w:t>
      </w:r>
      <w:r>
        <w:rPr>
          <w:rFonts w:ascii="Times New Roman" w:hAnsi="Times New Roman" w:cs="Times New Roman"/>
          <w:color w:val="auto"/>
          <w:spacing w:val="-6"/>
          <w:sz w:val="24"/>
          <w:szCs w:val="24"/>
        </w:rPr>
        <w:t>国环规环评[2017]4号文），</w:t>
      </w:r>
      <w:r>
        <w:rPr>
          <w:rFonts w:hint="eastAsia" w:ascii="Times New Roman" w:hAnsi="Times New Roman" w:cs="Times New Roman"/>
          <w:color w:val="auto"/>
          <w:sz w:val="24"/>
          <w:szCs w:val="24"/>
          <w:lang w:eastAsia="zh-CN"/>
        </w:rPr>
        <w:t>灵璧县建设投资集团有限公司</w:t>
      </w:r>
      <w:r>
        <w:rPr>
          <w:rFonts w:ascii="Times New Roman" w:hAnsi="Times New Roman" w:cs="Times New Roman"/>
          <w:color w:val="auto"/>
          <w:spacing w:val="-6"/>
          <w:sz w:val="24"/>
          <w:szCs w:val="24"/>
        </w:rPr>
        <w:t>对</w:t>
      </w:r>
      <w:r>
        <w:rPr>
          <w:rFonts w:hint="eastAsia" w:ascii="Times New Roman" w:hAnsi="Times New Roman" w:cs="Times New Roman"/>
          <w:color w:val="auto"/>
          <w:sz w:val="24"/>
          <w:szCs w:val="24"/>
        </w:rPr>
        <w:t>本项目</w:t>
      </w:r>
      <w:r>
        <w:rPr>
          <w:rFonts w:ascii="Times New Roman" w:hAnsi="Times New Roman" w:cs="Times New Roman"/>
          <w:color w:val="auto"/>
          <w:spacing w:val="-6"/>
          <w:sz w:val="24"/>
          <w:szCs w:val="24"/>
        </w:rPr>
        <w:t>进行竣工环境保护验收</w:t>
      </w:r>
      <w:r>
        <w:rPr>
          <w:rFonts w:hint="eastAsia" w:ascii="Times New Roman" w:hAnsi="Times New Roman" w:cs="Times New Roman"/>
          <w:color w:val="auto"/>
          <w:spacing w:val="-6"/>
          <w:sz w:val="24"/>
          <w:szCs w:val="24"/>
          <w:lang w:eastAsia="zh-CN"/>
        </w:rPr>
        <w:t>调查</w:t>
      </w:r>
      <w:r>
        <w:rPr>
          <w:rFonts w:ascii="Times New Roman" w:hAnsi="Times New Roman" w:cs="Times New Roman"/>
          <w:color w:val="auto"/>
          <w:spacing w:val="-6"/>
          <w:sz w:val="24"/>
          <w:szCs w:val="24"/>
        </w:rPr>
        <w:t>。于20</w:t>
      </w:r>
      <w:r>
        <w:rPr>
          <w:rFonts w:hint="eastAsia" w:ascii="Times New Roman" w:hAnsi="Times New Roman" w:cs="Times New Roman"/>
          <w:color w:val="auto"/>
          <w:spacing w:val="-6"/>
          <w:sz w:val="24"/>
          <w:szCs w:val="24"/>
        </w:rPr>
        <w:t>20</w:t>
      </w:r>
      <w:r>
        <w:rPr>
          <w:rFonts w:ascii="Times New Roman" w:hAnsi="Times New Roman" w:cs="Times New Roman"/>
          <w:color w:val="auto"/>
          <w:spacing w:val="-6"/>
          <w:sz w:val="24"/>
          <w:szCs w:val="24"/>
        </w:rPr>
        <w:t>年</w:t>
      </w:r>
      <w:r>
        <w:rPr>
          <w:rFonts w:hint="eastAsia" w:ascii="Times New Roman" w:hAnsi="Times New Roman" w:cs="Times New Roman"/>
          <w:color w:val="auto"/>
          <w:spacing w:val="-6"/>
          <w:sz w:val="24"/>
          <w:szCs w:val="24"/>
          <w:lang w:val="en-US" w:eastAsia="zh-CN"/>
        </w:rPr>
        <w:t>10</w:t>
      </w:r>
      <w:r>
        <w:rPr>
          <w:rFonts w:ascii="Times New Roman" w:hAnsi="Times New Roman" w:cs="Times New Roman"/>
          <w:color w:val="auto"/>
          <w:spacing w:val="-6"/>
          <w:sz w:val="24"/>
          <w:szCs w:val="24"/>
        </w:rPr>
        <w:t>月组织技术人员对该工程进行现场踏勘，了解了</w:t>
      </w:r>
      <w:r>
        <w:rPr>
          <w:rFonts w:hint="eastAsia" w:ascii="Times New Roman" w:hAnsi="Times New Roman" w:cs="Times New Roman"/>
          <w:color w:val="auto"/>
          <w:sz w:val="24"/>
          <w:szCs w:val="24"/>
          <w:lang w:eastAsia="zh-CN"/>
        </w:rPr>
        <w:t>灵璧县一般工业固废填埋处置工程</w:t>
      </w:r>
      <w:r>
        <w:rPr>
          <w:rFonts w:ascii="Times New Roman" w:hAnsi="Times New Roman" w:cs="Times New Roman"/>
          <w:color w:val="auto"/>
          <w:spacing w:val="-6"/>
          <w:sz w:val="24"/>
          <w:szCs w:val="24"/>
        </w:rPr>
        <w:t>环境保护设施的落实及运行情况，结合实地踏勘，查阅有关文件和技术资料，</w:t>
      </w:r>
      <w:r>
        <w:rPr>
          <w:rFonts w:hint="eastAsia" w:ascii="Times New Roman" w:hAnsi="Times New Roman"/>
          <w:color w:val="auto"/>
          <w:sz w:val="24"/>
          <w:highlight w:val="none"/>
        </w:rPr>
        <w:t>制定了</w:t>
      </w:r>
      <w:r>
        <w:rPr>
          <w:rFonts w:ascii="Times New Roman" w:hAnsi="Times New Roman" w:cs="Times New Roman"/>
          <w:color w:val="auto"/>
          <w:spacing w:val="-6"/>
          <w:sz w:val="24"/>
          <w:szCs w:val="24"/>
        </w:rPr>
        <w:t>竣工环境保护验收监测方案。</w:t>
      </w:r>
      <w:r>
        <w:rPr>
          <w:rFonts w:hint="eastAsia" w:ascii="Times New Roman" w:hAnsi="Times New Roman" w:cs="Times New Roman"/>
          <w:color w:val="auto"/>
          <w:spacing w:val="-6"/>
          <w:sz w:val="24"/>
          <w:szCs w:val="24"/>
        </w:rPr>
        <w:t>安徽尚德谱检测技术有限责任公司</w:t>
      </w:r>
      <w:r>
        <w:rPr>
          <w:rFonts w:hint="eastAsia" w:ascii="Times New Roman" w:hAnsi="Times New Roman" w:cs="Times New Roman"/>
          <w:color w:val="auto"/>
          <w:spacing w:val="-6"/>
          <w:sz w:val="24"/>
          <w:szCs w:val="24"/>
          <w:lang w:eastAsia="zh-CN"/>
        </w:rPr>
        <w:t>于</w:t>
      </w:r>
      <w:r>
        <w:rPr>
          <w:rFonts w:hint="eastAsia" w:ascii="Times New Roman" w:hAnsi="Times New Roman" w:cs="Times New Roman"/>
          <w:color w:val="auto"/>
          <w:spacing w:val="-6"/>
          <w:sz w:val="24"/>
          <w:szCs w:val="24"/>
        </w:rPr>
        <w:t>20</w:t>
      </w:r>
      <w:r>
        <w:rPr>
          <w:rFonts w:hint="eastAsia" w:ascii="Times New Roman" w:hAnsi="Times New Roman" w:cs="Times New Roman"/>
          <w:color w:val="auto"/>
          <w:spacing w:val="-6"/>
          <w:sz w:val="24"/>
          <w:szCs w:val="24"/>
          <w:lang w:val="en-US" w:eastAsia="zh-CN"/>
        </w:rPr>
        <w:t>20</w:t>
      </w:r>
      <w:r>
        <w:rPr>
          <w:rFonts w:hint="eastAsia" w:ascii="Times New Roman" w:hAnsi="Times New Roman" w:cs="Times New Roman"/>
          <w:color w:val="auto"/>
          <w:spacing w:val="-6"/>
          <w:sz w:val="24"/>
          <w:szCs w:val="24"/>
        </w:rPr>
        <w:t>年</w:t>
      </w:r>
      <w:r>
        <w:rPr>
          <w:rFonts w:hint="eastAsia" w:ascii="Times New Roman" w:hAnsi="Times New Roman" w:cs="Times New Roman"/>
          <w:color w:val="auto"/>
          <w:spacing w:val="-6"/>
          <w:sz w:val="24"/>
          <w:szCs w:val="24"/>
          <w:lang w:val="en-US" w:eastAsia="zh-CN"/>
        </w:rPr>
        <w:t>10</w:t>
      </w:r>
      <w:r>
        <w:rPr>
          <w:rFonts w:hint="eastAsia" w:ascii="Times New Roman" w:hAnsi="Times New Roman" w:cs="Times New Roman"/>
          <w:color w:val="auto"/>
          <w:spacing w:val="-6"/>
          <w:sz w:val="24"/>
          <w:szCs w:val="24"/>
        </w:rPr>
        <w:t>月</w:t>
      </w:r>
      <w:r>
        <w:rPr>
          <w:rFonts w:hint="eastAsia" w:ascii="Times New Roman" w:hAnsi="Times New Roman" w:cs="Times New Roman"/>
          <w:color w:val="auto"/>
          <w:spacing w:val="-6"/>
          <w:sz w:val="24"/>
          <w:szCs w:val="24"/>
          <w:lang w:val="en-US" w:eastAsia="zh-CN"/>
        </w:rPr>
        <w:t>23</w:t>
      </w:r>
      <w:r>
        <w:rPr>
          <w:rFonts w:hint="eastAsia" w:ascii="Times New Roman" w:hAnsi="Times New Roman" w:cs="Times New Roman"/>
          <w:color w:val="auto"/>
          <w:spacing w:val="-6"/>
          <w:sz w:val="24"/>
          <w:szCs w:val="24"/>
        </w:rPr>
        <w:t>-</w:t>
      </w:r>
      <w:r>
        <w:rPr>
          <w:rFonts w:hint="eastAsia" w:ascii="Times New Roman" w:hAnsi="Times New Roman" w:cs="Times New Roman"/>
          <w:color w:val="auto"/>
          <w:spacing w:val="-6"/>
          <w:sz w:val="24"/>
          <w:szCs w:val="24"/>
          <w:lang w:val="en-US" w:eastAsia="zh-CN"/>
        </w:rPr>
        <w:t>24</w:t>
      </w:r>
      <w:r>
        <w:rPr>
          <w:rFonts w:hint="eastAsia" w:ascii="Times New Roman" w:hAnsi="Times New Roman" w:cs="Times New Roman"/>
          <w:color w:val="auto"/>
          <w:spacing w:val="-6"/>
          <w:sz w:val="24"/>
          <w:szCs w:val="24"/>
        </w:rPr>
        <w:t>日进行了现场监测，</w:t>
      </w:r>
      <w:r>
        <w:rPr>
          <w:rFonts w:hint="eastAsia" w:ascii="Times New Roman" w:hAnsi="Times New Roman" w:cs="Times New Roman"/>
          <w:color w:val="auto"/>
          <w:sz w:val="24"/>
          <w:szCs w:val="24"/>
          <w:lang w:eastAsia="zh-CN"/>
        </w:rPr>
        <w:t>灵璧县建设投资集团有限公司</w:t>
      </w:r>
      <w:r>
        <w:rPr>
          <w:rFonts w:hint="eastAsia" w:ascii="Times New Roman" w:hAnsi="Times New Roman" w:cs="Times New Roman"/>
          <w:color w:val="auto"/>
          <w:spacing w:val="-6"/>
          <w:sz w:val="24"/>
          <w:szCs w:val="24"/>
        </w:rPr>
        <w:t>根据企业提供的资料、现场勘查结果及监测数据编制了本项目环保竣工验收</w:t>
      </w:r>
      <w:r>
        <w:rPr>
          <w:rFonts w:hint="eastAsia" w:ascii="Times New Roman" w:hAnsi="Times New Roman" w:cs="Times New Roman"/>
          <w:color w:val="auto"/>
          <w:spacing w:val="-6"/>
          <w:sz w:val="24"/>
          <w:szCs w:val="24"/>
          <w:lang w:eastAsia="zh-CN"/>
        </w:rPr>
        <w:t>监测</w:t>
      </w:r>
      <w:r>
        <w:rPr>
          <w:rFonts w:hint="eastAsia" w:ascii="Times New Roman" w:hAnsi="Times New Roman" w:cs="Times New Roman"/>
          <w:color w:val="auto"/>
          <w:spacing w:val="-6"/>
          <w:sz w:val="24"/>
          <w:szCs w:val="24"/>
        </w:rPr>
        <w:t>报告。</w:t>
      </w:r>
    </w:p>
    <w:p>
      <w:pPr>
        <w:pStyle w:val="104"/>
        <w:keepNext w:val="0"/>
        <w:keepLines w:val="0"/>
        <w:pageBreakBefore w:val="0"/>
        <w:widowControl w:val="0"/>
        <w:kinsoku/>
        <w:wordWrap/>
        <w:overflowPunct/>
        <w:topLinePunct w:val="0"/>
        <w:autoSpaceDE/>
        <w:autoSpaceDN/>
        <w:bidi w:val="0"/>
        <w:adjustRightInd/>
        <w:snapToGrid/>
        <w:spacing w:line="360" w:lineRule="auto"/>
        <w:ind w:left="0" w:leftChars="0" w:firstLine="456" w:firstLineChars="200"/>
        <w:textAlignment w:val="auto"/>
        <w:rPr>
          <w:rFonts w:hint="eastAsia" w:ascii="Times New Roman" w:hAnsi="Times New Roman" w:eastAsia="宋体"/>
          <w:color w:val="auto"/>
          <w:spacing w:val="-6"/>
          <w:szCs w:val="24"/>
          <w:lang w:eastAsia="zh-CN"/>
        </w:rPr>
      </w:pPr>
      <w:r>
        <w:rPr>
          <w:rFonts w:hint="eastAsia" w:ascii="Times New Roman" w:hAnsi="Times New Roman"/>
          <w:color w:val="auto"/>
          <w:spacing w:val="-6"/>
          <w:szCs w:val="24"/>
        </w:rPr>
        <w:t>本次针对</w:t>
      </w:r>
      <w:r>
        <w:rPr>
          <w:rFonts w:hint="eastAsia" w:ascii="Times New Roman" w:hAnsi="Times New Roman"/>
          <w:color w:val="auto"/>
          <w:szCs w:val="24"/>
          <w:lang w:eastAsia="zh-CN"/>
        </w:rPr>
        <w:t>灵璧县一般工业固废填埋处置工程</w:t>
      </w:r>
      <w:r>
        <w:rPr>
          <w:rFonts w:hint="eastAsia" w:ascii="Times New Roman" w:hAnsi="Times New Roman"/>
          <w:color w:val="auto"/>
          <w:szCs w:val="24"/>
        </w:rPr>
        <w:t>进行整体验收。验收内容主要包括</w:t>
      </w:r>
      <w:r>
        <w:rPr>
          <w:rFonts w:hint="eastAsia" w:ascii="Times New Roman" w:hAnsi="Times New Roman"/>
          <w:color w:val="auto"/>
          <w:kern w:val="0"/>
          <w:lang w:eastAsia="zh-CN"/>
        </w:rPr>
        <w:t>填埋区工程、防渗系统、渗滤液收集系统以及雨水导排系统等</w:t>
      </w:r>
      <w:r>
        <w:rPr>
          <w:rFonts w:hint="eastAsia" w:ascii="Times New Roman" w:hAnsi="Times New Roman"/>
          <w:color w:val="auto"/>
          <w:kern w:val="0"/>
        </w:rPr>
        <w:t>。项目实施后总库容约</w:t>
      </w:r>
      <w:r>
        <w:rPr>
          <w:rFonts w:hint="eastAsia"/>
          <w:color w:val="auto"/>
          <w:kern w:val="0"/>
          <w:lang w:val="en-US" w:eastAsia="zh-CN"/>
        </w:rPr>
        <w:t>15</w:t>
      </w:r>
      <w:r>
        <w:rPr>
          <w:rFonts w:hint="eastAsia" w:ascii="Times New Roman" w:hAnsi="Times New Roman"/>
          <w:color w:val="auto"/>
          <w:kern w:val="0"/>
        </w:rPr>
        <w:t>万m</w:t>
      </w:r>
      <w:r>
        <w:rPr>
          <w:rFonts w:hint="eastAsia" w:ascii="Times New Roman" w:hAnsi="Times New Roman"/>
          <w:color w:val="auto"/>
          <w:kern w:val="0"/>
          <w:vertAlign w:val="superscript"/>
        </w:rPr>
        <w:t>3</w:t>
      </w:r>
      <w:r>
        <w:rPr>
          <w:rFonts w:hint="eastAsia" w:ascii="Times New Roman" w:hAnsi="Times New Roman"/>
          <w:color w:val="auto"/>
          <w:kern w:val="0"/>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9"/>
        <w:rPr>
          <w:rFonts w:ascii="Times New Roman" w:hAnsi="Times New Roman"/>
          <w:color w:val="auto"/>
          <w:sz w:val="24"/>
        </w:rPr>
      </w:pPr>
      <w:r>
        <w:rPr>
          <w:rFonts w:hint="eastAsia" w:ascii="Times New Roman" w:hAnsi="Times New Roman"/>
          <w:color w:val="auto"/>
          <w:sz w:val="24"/>
        </w:rPr>
        <w:t>本次验收</w:t>
      </w:r>
      <w:r>
        <w:rPr>
          <w:rFonts w:ascii="Times New Roman" w:hAnsi="Times New Roman"/>
          <w:color w:val="auto"/>
          <w:sz w:val="24"/>
        </w:rPr>
        <w:t>监测内容：（1）</w:t>
      </w:r>
      <w:r>
        <w:rPr>
          <w:rFonts w:hint="eastAsia" w:ascii="Times New Roman" w:hAnsi="Times New Roman"/>
          <w:color w:val="auto"/>
          <w:sz w:val="24"/>
          <w:lang w:eastAsia="zh-CN"/>
        </w:rPr>
        <w:t>无</w:t>
      </w:r>
      <w:r>
        <w:rPr>
          <w:rFonts w:ascii="Times New Roman" w:hAnsi="Times New Roman"/>
          <w:color w:val="auto"/>
          <w:sz w:val="24"/>
        </w:rPr>
        <w:t>组织废气；（2）</w:t>
      </w:r>
      <w:r>
        <w:rPr>
          <w:rFonts w:hint="eastAsia" w:ascii="Times New Roman" w:hAnsi="Times New Roman"/>
          <w:color w:val="auto"/>
          <w:sz w:val="24"/>
          <w:lang w:eastAsia="zh-CN"/>
        </w:rPr>
        <w:t>地下水监测</w:t>
      </w:r>
      <w:r>
        <w:rPr>
          <w:rFonts w:ascii="Times New Roman" w:hAnsi="Times New Roman"/>
          <w:color w:val="auto"/>
          <w:sz w:val="24"/>
        </w:rPr>
        <w:t>；（3）噪声排放；（4）</w:t>
      </w:r>
      <w:r>
        <w:rPr>
          <w:rFonts w:hint="eastAsia" w:ascii="Times New Roman" w:hAnsi="Times New Roman"/>
          <w:color w:val="auto"/>
          <w:sz w:val="24"/>
          <w:lang w:eastAsia="zh-CN"/>
        </w:rPr>
        <w:t>环境管理检查</w:t>
      </w:r>
      <w:r>
        <w:rPr>
          <w:rFonts w:ascii="Times New Roman" w:hAnsi="Times New Roman"/>
          <w:color w:val="auto"/>
          <w:sz w:val="24"/>
        </w:rPr>
        <w:t>。</w:t>
      </w:r>
    </w:p>
    <w:p>
      <w:pPr>
        <w:pStyle w:val="12"/>
        <w:keepNext w:val="0"/>
        <w:keepLines w:val="0"/>
        <w:pageBreakBefore w:val="0"/>
        <w:widowControl w:val="0"/>
        <w:kinsoku/>
        <w:wordWrap/>
        <w:overflowPunct/>
        <w:topLinePunct w:val="0"/>
        <w:autoSpaceDE/>
        <w:autoSpaceDN/>
        <w:bidi w:val="0"/>
        <w:adjustRightInd/>
        <w:snapToGrid/>
        <w:spacing w:after="0" w:line="360" w:lineRule="auto"/>
        <w:textAlignment w:val="auto"/>
        <w:rPr>
          <w:rFonts w:ascii="Times New Roman" w:hAnsi="Times New Roman"/>
          <w:color w:val="auto"/>
          <w:sz w:val="24"/>
        </w:rPr>
        <w:sectPr>
          <w:footerReference r:id="rId6" w:type="default"/>
          <w:pgSz w:w="11906" w:h="16838"/>
          <w:pgMar w:top="1361" w:right="1361" w:bottom="1361" w:left="1361" w:header="851" w:footer="737" w:gutter="0"/>
          <w:pgBorders>
            <w:top w:val="none" w:sz="0" w:space="0"/>
            <w:left w:val="none" w:sz="0" w:space="0"/>
            <w:bottom w:val="none" w:sz="0" w:space="0"/>
            <w:right w:val="none" w:sz="0" w:space="0"/>
          </w:pgBorders>
          <w:pgNumType w:fmt="decimal" w:start="1"/>
          <w:cols w:space="0" w:num="1"/>
          <w:rtlGutter w:val="0"/>
          <w:docGrid w:type="lines" w:linePitch="312" w:charSpace="0"/>
        </w:sectPr>
      </w:pPr>
    </w:p>
    <w:p>
      <w:pPr>
        <w:pStyle w:val="5"/>
        <w:pageBreakBefore w:val="0"/>
        <w:widowControl w:val="0"/>
        <w:kinsoku/>
        <w:wordWrap/>
        <w:overflowPunct/>
        <w:topLinePunct w:val="0"/>
        <w:autoSpaceDE/>
        <w:autoSpaceDN/>
        <w:bidi w:val="0"/>
        <w:adjustRightInd/>
        <w:snapToGrid/>
        <w:spacing w:beforeLines="0" w:afterLines="0" w:line="360" w:lineRule="auto"/>
        <w:jc w:val="center"/>
        <w:textAlignment w:val="auto"/>
        <w:rPr>
          <w:rFonts w:ascii="Times New Roman" w:hAnsi="Times New Roman"/>
          <w:color w:val="auto"/>
        </w:rPr>
      </w:pPr>
      <w:bookmarkStart w:id="1" w:name="_Toc507454860"/>
      <w:bookmarkStart w:id="2" w:name="_Toc3745"/>
      <w:r>
        <w:rPr>
          <w:rFonts w:hint="eastAsia" w:ascii="Times New Roman" w:hAnsi="Times New Roman"/>
          <w:color w:val="auto"/>
        </w:rPr>
        <w:t>二、验收依据</w:t>
      </w:r>
      <w:bookmarkEnd w:id="1"/>
      <w:bookmarkEnd w:id="2"/>
    </w:p>
    <w:p>
      <w:pPr>
        <w:pStyle w:val="6"/>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color w:val="auto"/>
        </w:rPr>
      </w:pPr>
      <w:bookmarkStart w:id="3" w:name="_Toc7961"/>
      <w:r>
        <w:rPr>
          <w:rFonts w:hint="eastAsia" w:ascii="Times New Roman" w:hAnsi="Times New Roman"/>
          <w:color w:val="auto"/>
        </w:rPr>
        <w:t>2.1建设项目环境保护相关法律、法规和规章制度</w:t>
      </w:r>
      <w:bookmarkEnd w:id="3"/>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color w:val="auto"/>
        </w:rPr>
      </w:pPr>
      <w:r>
        <w:rPr>
          <w:rFonts w:ascii="Times New Roman" w:hAnsi="Times New Roman"/>
          <w:color w:val="auto"/>
        </w:rPr>
        <w:t>1</w:t>
      </w:r>
      <w:r>
        <w:rPr>
          <w:rFonts w:hint="eastAsia" w:ascii="Times New Roman" w:hAnsi="Times New Roman"/>
          <w:color w:val="auto"/>
        </w:rPr>
        <w:t>、《中华人民共和国环境保护法》（</w:t>
      </w:r>
      <w:r>
        <w:rPr>
          <w:rFonts w:ascii="Times New Roman" w:hAnsi="Times New Roman"/>
          <w:color w:val="auto"/>
        </w:rPr>
        <w:t>2015</w:t>
      </w:r>
      <w:r>
        <w:rPr>
          <w:rFonts w:hint="eastAsia" w:ascii="Times New Roman" w:hAnsi="Times New Roman"/>
          <w:color w:val="auto"/>
        </w:rPr>
        <w:t>年</w:t>
      </w:r>
      <w:r>
        <w:rPr>
          <w:rFonts w:ascii="Times New Roman" w:hAnsi="Times New Roman"/>
          <w:color w:val="auto"/>
        </w:rPr>
        <w:t>1</w:t>
      </w:r>
      <w:r>
        <w:rPr>
          <w:rFonts w:hint="eastAsia" w:ascii="Times New Roman" w:hAnsi="Times New Roman"/>
          <w:color w:val="auto"/>
        </w:rPr>
        <w:t>月</w:t>
      </w:r>
      <w:r>
        <w:rPr>
          <w:rFonts w:ascii="Times New Roman" w:hAnsi="Times New Roman"/>
          <w:color w:val="auto"/>
        </w:rPr>
        <w:t>1</w:t>
      </w:r>
      <w:r>
        <w:rPr>
          <w:rFonts w:hint="eastAsia" w:ascii="Times New Roman" w:hAnsi="Times New Roman"/>
          <w:color w:val="auto"/>
        </w:rPr>
        <w:t>日实施）；</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color w:val="auto"/>
        </w:rPr>
      </w:pPr>
      <w:r>
        <w:rPr>
          <w:rFonts w:ascii="Times New Roman" w:hAnsi="Times New Roman"/>
          <w:color w:val="auto"/>
        </w:rPr>
        <w:t>2</w:t>
      </w:r>
      <w:r>
        <w:rPr>
          <w:rFonts w:hint="eastAsia" w:ascii="Times New Roman" w:hAnsi="Times New Roman"/>
          <w:color w:val="auto"/>
        </w:rPr>
        <w:t>、《中华人民共和国水污染防治法》（</w:t>
      </w:r>
      <w:r>
        <w:rPr>
          <w:rFonts w:ascii="Times New Roman" w:hAnsi="Times New Roman"/>
          <w:color w:val="auto"/>
        </w:rPr>
        <w:t>20</w:t>
      </w:r>
      <w:r>
        <w:rPr>
          <w:rFonts w:hint="eastAsia" w:ascii="Times New Roman" w:hAnsi="Times New Roman"/>
          <w:color w:val="auto"/>
        </w:rPr>
        <w:t>1</w:t>
      </w:r>
      <w:r>
        <w:rPr>
          <w:rFonts w:ascii="Times New Roman" w:hAnsi="Times New Roman"/>
          <w:color w:val="auto"/>
        </w:rPr>
        <w:t>8</w:t>
      </w:r>
      <w:r>
        <w:rPr>
          <w:rFonts w:hint="eastAsia" w:ascii="Times New Roman" w:hAnsi="Times New Roman"/>
          <w:color w:val="auto"/>
        </w:rPr>
        <w:t>年1月</w:t>
      </w:r>
      <w:r>
        <w:rPr>
          <w:rFonts w:ascii="Times New Roman" w:hAnsi="Times New Roman"/>
          <w:color w:val="auto"/>
        </w:rPr>
        <w:t>1</w:t>
      </w:r>
      <w:r>
        <w:rPr>
          <w:rFonts w:hint="eastAsia" w:ascii="Times New Roman" w:hAnsi="Times New Roman"/>
          <w:color w:val="auto"/>
        </w:rPr>
        <w:t>日实施）；</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color w:val="auto"/>
        </w:rPr>
      </w:pPr>
      <w:r>
        <w:rPr>
          <w:rFonts w:ascii="Times New Roman" w:hAnsi="Times New Roman"/>
          <w:color w:val="auto"/>
        </w:rPr>
        <w:t>3</w:t>
      </w:r>
      <w:r>
        <w:rPr>
          <w:rFonts w:hint="eastAsia" w:ascii="Times New Roman" w:hAnsi="Times New Roman"/>
          <w:color w:val="auto"/>
        </w:rPr>
        <w:t>、《中华人民共和国大气污染防治法》（</w:t>
      </w:r>
      <w:r>
        <w:rPr>
          <w:rFonts w:ascii="Times New Roman" w:hAnsi="Times New Roman"/>
          <w:color w:val="auto"/>
        </w:rPr>
        <w:t>2018</w:t>
      </w:r>
      <w:r>
        <w:rPr>
          <w:rFonts w:hint="eastAsia" w:ascii="Times New Roman" w:hAnsi="Times New Roman"/>
          <w:color w:val="auto"/>
        </w:rPr>
        <w:t>年</w:t>
      </w:r>
      <w:r>
        <w:rPr>
          <w:rFonts w:ascii="Times New Roman" w:hAnsi="Times New Roman"/>
          <w:color w:val="auto"/>
        </w:rPr>
        <w:t>10</w:t>
      </w:r>
      <w:r>
        <w:rPr>
          <w:rFonts w:hint="eastAsia" w:ascii="Times New Roman" w:hAnsi="Times New Roman"/>
          <w:color w:val="auto"/>
        </w:rPr>
        <w:t>月</w:t>
      </w:r>
      <w:r>
        <w:rPr>
          <w:rFonts w:ascii="Times New Roman" w:hAnsi="Times New Roman"/>
          <w:color w:val="auto"/>
        </w:rPr>
        <w:t>26</w:t>
      </w:r>
      <w:r>
        <w:rPr>
          <w:rFonts w:hint="eastAsia" w:ascii="Times New Roman" w:hAnsi="Times New Roman"/>
          <w:color w:val="auto"/>
        </w:rPr>
        <w:t>日修订）；</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color w:val="auto"/>
        </w:rPr>
      </w:pPr>
      <w:r>
        <w:rPr>
          <w:rFonts w:ascii="Times New Roman" w:hAnsi="Times New Roman"/>
          <w:color w:val="auto"/>
        </w:rPr>
        <w:t>4</w:t>
      </w:r>
      <w:r>
        <w:rPr>
          <w:rFonts w:hint="eastAsia" w:ascii="Times New Roman" w:hAnsi="Times New Roman"/>
          <w:color w:val="auto"/>
        </w:rPr>
        <w:t>、《中华人民共和国噪声环境污染防治法》（2018年12月29日修订）；</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color w:val="auto"/>
        </w:rPr>
      </w:pPr>
      <w:r>
        <w:rPr>
          <w:rFonts w:ascii="Times New Roman" w:hAnsi="Times New Roman"/>
          <w:color w:val="auto"/>
        </w:rPr>
        <w:t>5</w:t>
      </w:r>
      <w:r>
        <w:rPr>
          <w:rFonts w:hint="eastAsia" w:ascii="Times New Roman" w:hAnsi="Times New Roman"/>
          <w:color w:val="auto"/>
        </w:rPr>
        <w:t>、《中华人民共和国固体废物污染防治法》（</w:t>
      </w:r>
      <w:r>
        <w:rPr>
          <w:rFonts w:ascii="Times New Roman" w:hAnsi="Times New Roman"/>
          <w:color w:val="auto"/>
        </w:rPr>
        <w:t>20</w:t>
      </w:r>
      <w:r>
        <w:rPr>
          <w:rFonts w:hint="eastAsia" w:ascii="Times New Roman" w:hAnsi="Times New Roman"/>
          <w:color w:val="auto"/>
        </w:rPr>
        <w:t>20年9月1日实施）；</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color w:val="auto"/>
        </w:rPr>
      </w:pPr>
      <w:r>
        <w:rPr>
          <w:rFonts w:ascii="Times New Roman" w:hAnsi="Times New Roman"/>
          <w:color w:val="auto"/>
        </w:rPr>
        <w:t>6</w:t>
      </w:r>
      <w:r>
        <w:rPr>
          <w:rFonts w:hint="eastAsia" w:ascii="Times New Roman" w:hAnsi="Times New Roman"/>
          <w:color w:val="auto"/>
        </w:rPr>
        <w:t>、《</w:t>
      </w:r>
      <w:r>
        <w:rPr>
          <w:rFonts w:ascii="Times New Roman" w:hAnsi="Times New Roman"/>
          <w:color w:val="auto"/>
        </w:rPr>
        <w:t>建设项目竣工环境保护验收暂行办法</w:t>
      </w:r>
      <w:r>
        <w:rPr>
          <w:rFonts w:hint="eastAsia" w:ascii="Times New Roman" w:hAnsi="Times New Roman"/>
          <w:color w:val="auto"/>
        </w:rPr>
        <w:t>》（试行）（国环规环评[2017]4号文）（2017年11月20日实施）；</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Theme="majorEastAsia" w:cstheme="majorBidi"/>
          <w:b/>
          <w:bCs/>
          <w:color w:val="auto"/>
          <w:sz w:val="32"/>
          <w:szCs w:val="32"/>
        </w:rPr>
      </w:pPr>
      <w:r>
        <w:rPr>
          <w:rFonts w:hint="eastAsia" w:ascii="Times New Roman" w:hAnsi="Times New Roman"/>
          <w:color w:val="auto"/>
        </w:rPr>
        <w:t>7、《建设项目环境保护管理条例》（国令第682号文）（201</w:t>
      </w:r>
      <w:r>
        <w:rPr>
          <w:rFonts w:ascii="Times New Roman" w:hAnsi="Times New Roman"/>
          <w:color w:val="auto"/>
        </w:rPr>
        <w:t>7</w:t>
      </w:r>
      <w:r>
        <w:rPr>
          <w:rFonts w:hint="eastAsia" w:ascii="Times New Roman" w:hAnsi="Times New Roman"/>
          <w:color w:val="auto"/>
        </w:rPr>
        <w:t>年10月</w:t>
      </w:r>
      <w:r>
        <w:rPr>
          <w:rFonts w:ascii="Times New Roman" w:hAnsi="Times New Roman"/>
          <w:color w:val="auto"/>
        </w:rPr>
        <w:t>1</w:t>
      </w:r>
      <w:r>
        <w:rPr>
          <w:rFonts w:hint="eastAsia" w:ascii="Times New Roman" w:hAnsi="Times New Roman"/>
          <w:color w:val="auto"/>
        </w:rPr>
        <w:t>日实施）；</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bCs/>
          <w:color w:val="auto"/>
        </w:rPr>
      </w:pPr>
      <w:r>
        <w:rPr>
          <w:rFonts w:hint="eastAsia" w:ascii="Times New Roman" w:hAnsi="Times New Roman"/>
          <w:bCs/>
          <w:color w:val="auto"/>
        </w:rPr>
        <w:t>8、《安徽省环境保护条例》（2018年1月1日实施）。</w:t>
      </w:r>
    </w:p>
    <w:p>
      <w:pPr>
        <w:pStyle w:val="6"/>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color w:val="auto"/>
        </w:rPr>
      </w:pPr>
      <w:bookmarkStart w:id="4" w:name="_Toc29258"/>
      <w:r>
        <w:rPr>
          <w:rFonts w:hint="eastAsia" w:ascii="Times New Roman" w:hAnsi="Times New Roman"/>
          <w:color w:val="auto"/>
        </w:rPr>
        <w:t>2.2</w:t>
      </w:r>
      <w:r>
        <w:rPr>
          <w:rFonts w:ascii="Times New Roman" w:hAnsi="Times New Roman"/>
          <w:color w:val="auto"/>
        </w:rPr>
        <w:t>建设项目竣工环境保护验收技术规范</w:t>
      </w:r>
      <w:bookmarkEnd w:id="4"/>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color w:val="auto"/>
        </w:rPr>
      </w:pPr>
      <w:r>
        <w:rPr>
          <w:rFonts w:hint="eastAsia" w:ascii="Times New Roman" w:hAnsi="Times New Roman"/>
          <w:color w:val="auto"/>
        </w:rPr>
        <w:t>1、《建设项目竣工环境保护验收技术指南 污染影响类》（2018年5月16日实施）；</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eastAsia="宋体"/>
          <w:color w:val="auto"/>
          <w:szCs w:val="24"/>
          <w:lang w:eastAsia="zh-CN"/>
        </w:rPr>
      </w:pPr>
      <w:r>
        <w:rPr>
          <w:rFonts w:hint="eastAsia" w:ascii="Times New Roman" w:hAnsi="Times New Roman"/>
          <w:color w:val="auto"/>
        </w:rPr>
        <w:t>2、</w:t>
      </w:r>
      <w:r>
        <w:rPr>
          <w:rFonts w:hint="eastAsia" w:ascii="Times New Roman" w:hAnsi="Times New Roman"/>
          <w:color w:val="auto"/>
          <w:szCs w:val="24"/>
        </w:rPr>
        <w:t>《环境保护部办公厅关于印发环评管理中部分行业建设项目重大变动清单的通知》（环办[2015]52号）（2015年6月4日）</w:t>
      </w:r>
      <w:r>
        <w:rPr>
          <w:rFonts w:hint="eastAsia" w:ascii="Times New Roman" w:hAnsi="Times New Roman"/>
          <w:color w:val="auto"/>
          <w:szCs w:val="24"/>
          <w:lang w:eastAsia="zh-CN"/>
        </w:rPr>
        <w:t>；</w:t>
      </w:r>
    </w:p>
    <w:p>
      <w:pPr>
        <w:pStyle w:val="6"/>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color w:val="auto"/>
        </w:rPr>
      </w:pPr>
      <w:bookmarkStart w:id="5" w:name="_Toc3863"/>
      <w:r>
        <w:rPr>
          <w:rFonts w:hint="eastAsia" w:ascii="Times New Roman" w:hAnsi="Times New Roman"/>
          <w:color w:val="auto"/>
        </w:rPr>
        <w:t>2.3</w:t>
      </w:r>
      <w:r>
        <w:rPr>
          <w:rFonts w:ascii="Times New Roman" w:hAnsi="Times New Roman"/>
          <w:color w:val="auto"/>
        </w:rPr>
        <w:t>建设项目</w:t>
      </w:r>
      <w:r>
        <w:rPr>
          <w:rFonts w:hint="eastAsia" w:ascii="Times New Roman" w:hAnsi="Times New Roman"/>
          <w:color w:val="auto"/>
        </w:rPr>
        <w:t>环境影响报告书及其批复部门批复决定</w:t>
      </w:r>
      <w:bookmarkEnd w:id="5"/>
    </w:p>
    <w:p>
      <w:pPr>
        <w:pStyle w:val="104"/>
        <w:pageBreakBefore w:val="0"/>
        <w:widowControl w:val="0"/>
        <w:numPr>
          <w:ilvl w:val="0"/>
          <w:numId w:val="1"/>
        </w:numPr>
        <w:kinsoku/>
        <w:wordWrap/>
        <w:overflowPunct/>
        <w:topLinePunct w:val="0"/>
        <w:autoSpaceDE/>
        <w:autoSpaceDN/>
        <w:bidi w:val="0"/>
        <w:adjustRightInd/>
        <w:snapToGrid/>
        <w:spacing w:line="360" w:lineRule="auto"/>
        <w:ind w:firstLine="456"/>
        <w:textAlignment w:val="auto"/>
        <w:rPr>
          <w:rFonts w:hint="eastAsia" w:ascii="Times New Roman" w:hAnsi="Times New Roman"/>
          <w:color w:val="auto"/>
          <w:spacing w:val="-6"/>
          <w:highlight w:val="none"/>
        </w:rPr>
      </w:pPr>
      <w:r>
        <w:rPr>
          <w:rFonts w:hint="eastAsia" w:ascii="Times New Roman" w:hAnsi="Times New Roman"/>
          <w:color w:val="auto"/>
          <w:lang w:eastAsia="zh-CN"/>
        </w:rPr>
        <w:t>灵璧县建设投资集团有限公司灵璧县一般工业固废填埋处置工程</w:t>
      </w:r>
      <w:r>
        <w:rPr>
          <w:rFonts w:hint="eastAsia" w:ascii="Times New Roman" w:hAnsi="Times New Roman"/>
          <w:color w:val="auto"/>
          <w:spacing w:val="-6"/>
          <w:lang w:eastAsia="zh-CN"/>
        </w:rPr>
        <w:t>项目建议书的批复</w:t>
      </w:r>
      <w:r>
        <w:rPr>
          <w:rFonts w:ascii="Times New Roman" w:hAnsi="Times New Roman"/>
          <w:color w:val="auto"/>
          <w:spacing w:val="-6"/>
        </w:rPr>
        <w:t>（</w:t>
      </w:r>
      <w:r>
        <w:rPr>
          <w:rFonts w:hint="eastAsia" w:ascii="Times New Roman" w:hAnsi="Times New Roman"/>
          <w:color w:val="auto"/>
        </w:rPr>
        <w:t>项目编码：</w:t>
      </w:r>
      <w:r>
        <w:rPr>
          <w:rFonts w:hint="eastAsia" w:ascii="Times New Roman" w:hAnsi="Times New Roman" w:eastAsia="宋体" w:cs="Times New Roman"/>
          <w:i w:val="0"/>
          <w:caps w:val="0"/>
          <w:color w:val="auto"/>
          <w:spacing w:val="0"/>
          <w:kern w:val="0"/>
          <w:sz w:val="24"/>
          <w:szCs w:val="24"/>
          <w:shd w:val="clear" w:fill="FFFFFF"/>
          <w:lang w:val="en-US" w:eastAsia="zh-CN" w:bidi="ar"/>
        </w:rPr>
        <w:t>2020-341323-48-01-029020</w:t>
      </w:r>
      <w:r>
        <w:rPr>
          <w:rFonts w:ascii="Times New Roman" w:hAnsi="Times New Roman"/>
          <w:color w:val="auto"/>
        </w:rPr>
        <w:t>）（</w:t>
      </w:r>
      <w:r>
        <w:rPr>
          <w:rFonts w:hint="eastAsia" w:ascii="Times New Roman" w:hAnsi="Times New Roman" w:eastAsia="宋体" w:cs="Times New Roman"/>
          <w:i w:val="0"/>
          <w:caps w:val="0"/>
          <w:color w:val="auto"/>
          <w:spacing w:val="0"/>
          <w:kern w:val="0"/>
          <w:sz w:val="24"/>
          <w:szCs w:val="24"/>
          <w:shd w:val="clear" w:fill="FFFFFF"/>
          <w:lang w:val="en-US" w:eastAsia="zh-CN" w:bidi="ar"/>
        </w:rPr>
        <w:t>灵璧县发展和改革委员会</w:t>
      </w:r>
      <w:r>
        <w:rPr>
          <w:rFonts w:ascii="Times New Roman" w:hAnsi="Times New Roman"/>
          <w:color w:val="auto"/>
        </w:rPr>
        <w:t>，</w:t>
      </w:r>
      <w:r>
        <w:rPr>
          <w:rFonts w:ascii="Times New Roman" w:hAnsi="Times New Roman"/>
          <w:color w:val="auto"/>
          <w:highlight w:val="none"/>
        </w:rPr>
        <w:t>20</w:t>
      </w:r>
      <w:r>
        <w:rPr>
          <w:rFonts w:hint="eastAsia" w:ascii="Times New Roman" w:hAnsi="Times New Roman"/>
          <w:color w:val="auto"/>
          <w:highlight w:val="none"/>
          <w:lang w:val="en-US" w:eastAsia="zh-CN"/>
        </w:rPr>
        <w:t>20</w:t>
      </w:r>
      <w:r>
        <w:rPr>
          <w:rFonts w:ascii="Times New Roman" w:hAnsi="Times New Roman"/>
          <w:color w:val="auto"/>
          <w:highlight w:val="none"/>
        </w:rPr>
        <w:t>年</w:t>
      </w:r>
      <w:r>
        <w:rPr>
          <w:rFonts w:hint="eastAsia" w:ascii="Times New Roman" w:hAnsi="Times New Roman"/>
          <w:color w:val="auto"/>
          <w:highlight w:val="none"/>
          <w:lang w:val="en-US" w:eastAsia="zh-CN"/>
        </w:rPr>
        <w:t>7</w:t>
      </w:r>
      <w:r>
        <w:rPr>
          <w:rFonts w:ascii="Times New Roman" w:hAnsi="Times New Roman"/>
          <w:color w:val="auto"/>
          <w:highlight w:val="none"/>
        </w:rPr>
        <w:t>月</w:t>
      </w:r>
      <w:r>
        <w:rPr>
          <w:rFonts w:hint="eastAsia" w:ascii="Times New Roman" w:hAnsi="Times New Roman"/>
          <w:color w:val="auto"/>
          <w:highlight w:val="none"/>
          <w:lang w:val="en-US" w:eastAsia="zh-CN"/>
        </w:rPr>
        <w:t>24</w:t>
      </w:r>
      <w:r>
        <w:rPr>
          <w:rFonts w:ascii="Times New Roman" w:hAnsi="Times New Roman"/>
          <w:color w:val="auto"/>
          <w:highlight w:val="none"/>
        </w:rPr>
        <w:t>日</w:t>
      </w:r>
      <w:r>
        <w:rPr>
          <w:rFonts w:ascii="Times New Roman" w:hAnsi="Times New Roman"/>
          <w:color w:val="auto"/>
          <w:spacing w:val="-6"/>
          <w:highlight w:val="none"/>
        </w:rPr>
        <w:t>）</w:t>
      </w:r>
      <w:r>
        <w:rPr>
          <w:rFonts w:hint="eastAsia" w:ascii="Times New Roman" w:hAnsi="Times New Roman"/>
          <w:color w:val="auto"/>
          <w:spacing w:val="-6"/>
          <w:highlight w:val="none"/>
        </w:rPr>
        <w:t>；</w:t>
      </w:r>
    </w:p>
    <w:p>
      <w:pPr>
        <w:pStyle w:val="104"/>
        <w:pageBreakBefore w:val="0"/>
        <w:widowControl w:val="0"/>
        <w:numPr>
          <w:ilvl w:val="0"/>
          <w:numId w:val="0"/>
        </w:numPr>
        <w:kinsoku/>
        <w:wordWrap/>
        <w:overflowPunct/>
        <w:topLinePunct w:val="0"/>
        <w:autoSpaceDE/>
        <w:autoSpaceDN/>
        <w:bidi w:val="0"/>
        <w:adjustRightInd/>
        <w:snapToGrid/>
        <w:spacing w:line="360" w:lineRule="auto"/>
        <w:ind w:firstLine="456" w:firstLineChars="200"/>
        <w:textAlignment w:val="auto"/>
        <w:rPr>
          <w:rFonts w:ascii="Times New Roman" w:hAnsi="Times New Roman"/>
          <w:color w:val="auto"/>
          <w:spacing w:val="-6"/>
        </w:rPr>
      </w:pPr>
      <w:r>
        <w:rPr>
          <w:rFonts w:hint="eastAsia" w:ascii="Times New Roman" w:hAnsi="Times New Roman"/>
          <w:color w:val="auto"/>
          <w:spacing w:val="-6"/>
          <w:lang w:val="en-US" w:eastAsia="zh-CN"/>
        </w:rPr>
        <w:t>2</w:t>
      </w:r>
      <w:r>
        <w:rPr>
          <w:rFonts w:ascii="Times New Roman" w:hAnsi="Times New Roman"/>
          <w:color w:val="auto"/>
          <w:spacing w:val="-6"/>
        </w:rPr>
        <w:t>、</w:t>
      </w:r>
      <w:r>
        <w:rPr>
          <w:rFonts w:hint="eastAsia" w:ascii="Times New Roman" w:hAnsi="Times New Roman"/>
          <w:color w:val="auto"/>
          <w:spacing w:val="-6"/>
        </w:rPr>
        <w:t>《</w:t>
      </w:r>
      <w:r>
        <w:rPr>
          <w:rFonts w:hint="eastAsia" w:ascii="Times New Roman" w:hAnsi="Times New Roman"/>
          <w:color w:val="auto"/>
          <w:lang w:eastAsia="zh-CN"/>
        </w:rPr>
        <w:t>灵璧县建设投资集团有限公司灵璧县一般工业固废填埋处置工程</w:t>
      </w:r>
      <w:r>
        <w:rPr>
          <w:rFonts w:ascii="Times New Roman" w:hAnsi="Times New Roman"/>
          <w:color w:val="auto"/>
          <w:spacing w:val="-6"/>
        </w:rPr>
        <w:t>环境影响报告书</w:t>
      </w:r>
      <w:r>
        <w:rPr>
          <w:rFonts w:hint="eastAsia" w:ascii="Times New Roman" w:hAnsi="Times New Roman"/>
          <w:color w:val="auto"/>
          <w:spacing w:val="-6"/>
        </w:rPr>
        <w:t>》</w:t>
      </w:r>
      <w:r>
        <w:rPr>
          <w:rFonts w:ascii="Times New Roman" w:hAnsi="Times New Roman"/>
          <w:color w:val="auto"/>
          <w:spacing w:val="-6"/>
        </w:rPr>
        <w:t>（</w:t>
      </w:r>
      <w:r>
        <w:rPr>
          <w:rFonts w:hint="eastAsia" w:ascii="Times New Roman" w:hAnsi="Times New Roman"/>
          <w:color w:val="auto"/>
          <w:lang w:eastAsia="zh-CN"/>
        </w:rPr>
        <w:t>安徽启晨环境科技有限公司</w:t>
      </w:r>
      <w:r>
        <w:rPr>
          <w:rFonts w:ascii="Times New Roman" w:hAnsi="Times New Roman"/>
          <w:color w:val="auto"/>
          <w:spacing w:val="-6"/>
        </w:rPr>
        <w:t>，</w:t>
      </w:r>
      <w:r>
        <w:rPr>
          <w:rFonts w:ascii="Times New Roman" w:hAnsi="Times New Roman"/>
          <w:color w:val="auto"/>
        </w:rPr>
        <w:t>20</w:t>
      </w:r>
      <w:r>
        <w:rPr>
          <w:rFonts w:hint="eastAsia" w:ascii="Times New Roman" w:hAnsi="Times New Roman"/>
          <w:color w:val="auto"/>
          <w:lang w:val="en-US" w:eastAsia="zh-CN"/>
        </w:rPr>
        <w:t>20</w:t>
      </w:r>
      <w:r>
        <w:rPr>
          <w:rFonts w:ascii="Times New Roman" w:hAnsi="Times New Roman"/>
          <w:color w:val="auto"/>
        </w:rPr>
        <w:t>年</w:t>
      </w:r>
      <w:r>
        <w:rPr>
          <w:rFonts w:hint="eastAsia" w:ascii="Times New Roman" w:hAnsi="Times New Roman"/>
          <w:color w:val="auto"/>
          <w:lang w:val="en-US" w:eastAsia="zh-CN"/>
        </w:rPr>
        <w:t>10</w:t>
      </w:r>
      <w:r>
        <w:rPr>
          <w:rFonts w:ascii="Times New Roman" w:hAnsi="Times New Roman"/>
          <w:color w:val="auto"/>
        </w:rPr>
        <w:t>月</w:t>
      </w:r>
      <w:r>
        <w:rPr>
          <w:rFonts w:ascii="Times New Roman" w:hAnsi="Times New Roman"/>
          <w:color w:val="auto"/>
          <w:spacing w:val="-6"/>
        </w:rPr>
        <w:t xml:space="preserve">）； </w:t>
      </w:r>
    </w:p>
    <w:p>
      <w:pPr>
        <w:pStyle w:val="104"/>
        <w:pageBreakBefore w:val="0"/>
        <w:widowControl w:val="0"/>
        <w:kinsoku/>
        <w:wordWrap/>
        <w:overflowPunct/>
        <w:topLinePunct w:val="0"/>
        <w:autoSpaceDE/>
        <w:autoSpaceDN/>
        <w:bidi w:val="0"/>
        <w:adjustRightInd/>
        <w:snapToGrid/>
        <w:spacing w:line="360" w:lineRule="auto"/>
        <w:ind w:firstLine="456"/>
        <w:textAlignment w:val="auto"/>
        <w:rPr>
          <w:rFonts w:ascii="Times New Roman" w:hAnsi="Times New Roman"/>
          <w:color w:val="auto"/>
          <w:spacing w:val="-6"/>
          <w:highlight w:val="none"/>
        </w:rPr>
      </w:pPr>
      <w:r>
        <w:rPr>
          <w:rFonts w:hint="eastAsia" w:ascii="Times New Roman" w:hAnsi="Times New Roman"/>
          <w:color w:val="auto"/>
          <w:spacing w:val="-6"/>
          <w:highlight w:val="none"/>
          <w:lang w:val="en-US" w:eastAsia="zh-CN"/>
        </w:rPr>
        <w:t>3</w:t>
      </w:r>
      <w:r>
        <w:rPr>
          <w:rFonts w:ascii="Times New Roman" w:hAnsi="Times New Roman"/>
          <w:color w:val="auto"/>
          <w:spacing w:val="-6"/>
          <w:highlight w:val="none"/>
        </w:rPr>
        <w:t>、</w:t>
      </w:r>
      <w:r>
        <w:rPr>
          <w:rFonts w:hint="eastAsia" w:ascii="Times New Roman" w:hAnsi="Times New Roman"/>
          <w:color w:val="auto"/>
          <w:spacing w:val="-6"/>
          <w:highlight w:val="none"/>
        </w:rPr>
        <w:t>《关于</w:t>
      </w:r>
      <w:r>
        <w:rPr>
          <w:rFonts w:hint="eastAsia" w:ascii="Times New Roman" w:hAnsi="Times New Roman"/>
          <w:color w:val="auto"/>
          <w:highlight w:val="none"/>
          <w:lang w:eastAsia="zh-CN"/>
        </w:rPr>
        <w:t>灵璧县建设投资集团有限公司灵璧县一般工业固废填埋处置工程</w:t>
      </w:r>
      <w:r>
        <w:rPr>
          <w:rFonts w:hint="eastAsia" w:ascii="Times New Roman" w:hAnsi="Times New Roman"/>
          <w:color w:val="auto"/>
          <w:spacing w:val="-6"/>
          <w:highlight w:val="none"/>
        </w:rPr>
        <w:t>环境影响报告书的审批意见》</w:t>
      </w:r>
      <w:r>
        <w:rPr>
          <w:rFonts w:ascii="Times New Roman" w:hAnsi="Times New Roman"/>
          <w:color w:val="auto"/>
          <w:spacing w:val="-6"/>
          <w:highlight w:val="none"/>
        </w:rPr>
        <w:t>（</w:t>
      </w:r>
      <w:r>
        <w:rPr>
          <w:rFonts w:hint="eastAsia" w:ascii="Times New Roman" w:hAnsi="Times New Roman"/>
          <w:color w:val="auto"/>
          <w:szCs w:val="24"/>
          <w:highlight w:val="none"/>
          <w:lang w:eastAsia="zh-CN"/>
        </w:rPr>
        <w:t>灵环建</w:t>
      </w:r>
      <w:r>
        <w:rPr>
          <w:rFonts w:hint="eastAsia" w:ascii="Times New Roman" w:hAnsi="Times New Roman"/>
          <w:color w:val="auto"/>
          <w:szCs w:val="24"/>
          <w:highlight w:val="none"/>
        </w:rPr>
        <w:t>[20</w:t>
      </w:r>
      <w:r>
        <w:rPr>
          <w:rFonts w:hint="eastAsia" w:ascii="Times New Roman" w:hAnsi="Times New Roman"/>
          <w:color w:val="auto"/>
          <w:szCs w:val="24"/>
          <w:highlight w:val="none"/>
          <w:lang w:val="en-US" w:eastAsia="zh-CN"/>
        </w:rPr>
        <w:t>20</w:t>
      </w:r>
      <w:r>
        <w:rPr>
          <w:rFonts w:hint="eastAsia" w:ascii="Times New Roman" w:hAnsi="Times New Roman"/>
          <w:color w:val="auto"/>
          <w:szCs w:val="24"/>
          <w:highlight w:val="none"/>
        </w:rPr>
        <w:t>]</w:t>
      </w:r>
      <w:r>
        <w:rPr>
          <w:rFonts w:hint="eastAsia" w:ascii="Times New Roman" w:hAnsi="Times New Roman"/>
          <w:color w:val="auto"/>
          <w:szCs w:val="24"/>
          <w:highlight w:val="none"/>
          <w:lang w:val="en-US" w:eastAsia="zh-CN"/>
        </w:rPr>
        <w:t>36</w:t>
      </w:r>
      <w:r>
        <w:rPr>
          <w:rFonts w:hint="eastAsia" w:ascii="Times New Roman" w:hAnsi="Times New Roman"/>
          <w:color w:val="auto"/>
          <w:szCs w:val="24"/>
          <w:highlight w:val="none"/>
        </w:rPr>
        <w:t>号</w:t>
      </w:r>
      <w:r>
        <w:rPr>
          <w:rFonts w:ascii="Times New Roman" w:hAnsi="Times New Roman"/>
          <w:color w:val="auto"/>
          <w:spacing w:val="-6"/>
          <w:highlight w:val="none"/>
        </w:rPr>
        <w:t>）（</w:t>
      </w:r>
      <w:r>
        <w:rPr>
          <w:rFonts w:hint="eastAsia" w:ascii="Times New Roman" w:hAnsi="Times New Roman"/>
          <w:color w:val="auto"/>
          <w:spacing w:val="-6"/>
          <w:highlight w:val="none"/>
          <w:lang w:eastAsia="zh-CN"/>
        </w:rPr>
        <w:t>宿州市灵璧县</w:t>
      </w:r>
      <w:r>
        <w:rPr>
          <w:rFonts w:hint="eastAsia" w:ascii="Times New Roman" w:hAnsi="Times New Roman"/>
          <w:color w:val="auto"/>
          <w:spacing w:val="-6"/>
          <w:highlight w:val="none"/>
        </w:rPr>
        <w:t>生态环境</w:t>
      </w:r>
      <w:r>
        <w:rPr>
          <w:rFonts w:hint="eastAsia" w:ascii="Times New Roman" w:hAnsi="Times New Roman"/>
          <w:color w:val="auto"/>
          <w:spacing w:val="-6"/>
          <w:highlight w:val="none"/>
          <w:lang w:eastAsia="zh-CN"/>
        </w:rPr>
        <w:t>分</w:t>
      </w:r>
      <w:r>
        <w:rPr>
          <w:rFonts w:hint="eastAsia" w:ascii="Times New Roman" w:hAnsi="Times New Roman"/>
          <w:color w:val="auto"/>
          <w:spacing w:val="-6"/>
          <w:highlight w:val="none"/>
        </w:rPr>
        <w:t>局</w:t>
      </w:r>
      <w:r>
        <w:rPr>
          <w:rFonts w:ascii="Times New Roman" w:hAnsi="Times New Roman"/>
          <w:color w:val="auto"/>
          <w:spacing w:val="-6"/>
          <w:highlight w:val="none"/>
        </w:rPr>
        <w:t>，</w:t>
      </w:r>
      <w:r>
        <w:rPr>
          <w:rFonts w:ascii="Times New Roman" w:hAnsi="Times New Roman"/>
          <w:color w:val="auto"/>
          <w:highlight w:val="none"/>
        </w:rPr>
        <w:t>20</w:t>
      </w:r>
      <w:r>
        <w:rPr>
          <w:rFonts w:hint="eastAsia" w:ascii="Times New Roman" w:hAnsi="Times New Roman"/>
          <w:color w:val="auto"/>
          <w:highlight w:val="none"/>
          <w:lang w:val="en-US" w:eastAsia="zh-CN"/>
        </w:rPr>
        <w:t>20</w:t>
      </w:r>
      <w:r>
        <w:rPr>
          <w:rFonts w:ascii="Times New Roman" w:hAnsi="Times New Roman"/>
          <w:color w:val="auto"/>
          <w:highlight w:val="none"/>
        </w:rPr>
        <w:t>年</w:t>
      </w:r>
      <w:r>
        <w:rPr>
          <w:rFonts w:hint="eastAsia" w:ascii="Times New Roman" w:hAnsi="Times New Roman"/>
          <w:color w:val="auto"/>
          <w:highlight w:val="none"/>
          <w:lang w:val="en-US" w:eastAsia="zh-CN"/>
        </w:rPr>
        <w:t>10</w:t>
      </w:r>
      <w:r>
        <w:rPr>
          <w:rFonts w:ascii="Times New Roman" w:hAnsi="Times New Roman"/>
          <w:color w:val="auto"/>
          <w:highlight w:val="none"/>
        </w:rPr>
        <w:t>月</w:t>
      </w:r>
      <w:r>
        <w:rPr>
          <w:rFonts w:hint="eastAsia" w:ascii="Times New Roman" w:hAnsi="Times New Roman"/>
          <w:color w:val="auto"/>
          <w:highlight w:val="none"/>
          <w:lang w:val="en-US" w:eastAsia="zh-CN"/>
        </w:rPr>
        <w:t>19</w:t>
      </w:r>
      <w:r>
        <w:rPr>
          <w:rFonts w:ascii="Times New Roman" w:hAnsi="Times New Roman"/>
          <w:color w:val="auto"/>
          <w:highlight w:val="none"/>
        </w:rPr>
        <w:t>日</w:t>
      </w:r>
      <w:r>
        <w:rPr>
          <w:rFonts w:ascii="Times New Roman" w:hAnsi="Times New Roman"/>
          <w:color w:val="auto"/>
          <w:spacing w:val="-6"/>
          <w:highlight w:val="none"/>
        </w:rPr>
        <w:t>）</w:t>
      </w:r>
      <w:r>
        <w:rPr>
          <w:rFonts w:hint="eastAsia" w:ascii="Times New Roman" w:hAnsi="Times New Roman"/>
          <w:color w:val="auto"/>
          <w:spacing w:val="-6"/>
          <w:highlight w:val="none"/>
        </w:rPr>
        <w:t>。</w:t>
      </w:r>
    </w:p>
    <w:p>
      <w:pPr>
        <w:pStyle w:val="6"/>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color w:val="auto"/>
        </w:rPr>
      </w:pPr>
      <w:bookmarkStart w:id="6" w:name="_Toc18694"/>
      <w:r>
        <w:rPr>
          <w:rFonts w:hint="eastAsia" w:ascii="Times New Roman" w:hAnsi="Times New Roman"/>
          <w:color w:val="auto"/>
        </w:rPr>
        <w:t>2.4相关评价标准</w:t>
      </w:r>
      <w:bookmarkEnd w:id="6"/>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color w:val="auto"/>
          <w:szCs w:val="24"/>
        </w:rPr>
      </w:pPr>
      <w:r>
        <w:rPr>
          <w:rFonts w:hint="eastAsia" w:ascii="Times New Roman" w:hAnsi="Times New Roman"/>
          <w:color w:val="auto"/>
          <w:szCs w:val="24"/>
        </w:rPr>
        <w:t>1、《大气污染物综合排放标准》（GB16297-1996）；</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color w:val="auto"/>
          <w:szCs w:val="24"/>
        </w:rPr>
      </w:pPr>
      <w:r>
        <w:rPr>
          <w:rFonts w:hint="eastAsia" w:ascii="Times New Roman" w:hAnsi="Times New Roman"/>
          <w:color w:val="auto"/>
          <w:szCs w:val="24"/>
          <w:lang w:val="en-US" w:eastAsia="zh-CN"/>
        </w:rPr>
        <w:t>2</w:t>
      </w:r>
      <w:r>
        <w:rPr>
          <w:rFonts w:hint="eastAsia" w:ascii="Times New Roman" w:hAnsi="Times New Roman"/>
          <w:color w:val="auto"/>
          <w:szCs w:val="24"/>
        </w:rPr>
        <w:t>、</w:t>
      </w:r>
      <w:r>
        <w:rPr>
          <w:rFonts w:ascii="Times New Roman" w:hAnsi="Times New Roman"/>
          <w:color w:val="auto"/>
          <w:szCs w:val="24"/>
        </w:rPr>
        <w:t>《工业企业厂界环境噪声排放标准》（GB12348-2008）；</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color w:val="auto"/>
          <w:szCs w:val="24"/>
        </w:rPr>
      </w:pPr>
      <w:r>
        <w:rPr>
          <w:rFonts w:hint="eastAsia" w:ascii="Times New Roman" w:hAnsi="Times New Roman"/>
          <w:color w:val="auto"/>
          <w:szCs w:val="24"/>
          <w:lang w:val="en-US" w:eastAsia="zh-CN"/>
        </w:rPr>
        <w:t>3</w:t>
      </w:r>
      <w:r>
        <w:rPr>
          <w:rFonts w:ascii="Times New Roman" w:hAnsi="Times New Roman"/>
          <w:color w:val="auto"/>
          <w:szCs w:val="24"/>
        </w:rPr>
        <w:t>、《一般工业固体废弃物贮存、处置场污染控制标准》（GB18599-2001）</w:t>
      </w:r>
      <w:r>
        <w:rPr>
          <w:rFonts w:hint="eastAsia" w:ascii="Times New Roman" w:hAnsi="Times New Roman"/>
          <w:color w:val="auto"/>
        </w:rPr>
        <w:t>及</w:t>
      </w:r>
      <w:r>
        <w:rPr>
          <w:rFonts w:ascii="Times New Roman" w:hAnsi="Times New Roman"/>
          <w:color w:val="auto"/>
        </w:rPr>
        <w:t>环保部公告2013年第36号</w:t>
      </w:r>
      <w:r>
        <w:rPr>
          <w:rFonts w:hint="eastAsia" w:ascii="Times New Roman" w:hAnsi="Times New Roman"/>
          <w:color w:val="auto"/>
        </w:rPr>
        <w:t>修改单要求</w:t>
      </w:r>
      <w:r>
        <w:rPr>
          <w:rFonts w:ascii="Times New Roman" w:hAnsi="Times New Roman"/>
          <w:color w:val="auto"/>
          <w:szCs w:val="24"/>
        </w:rPr>
        <w:t>；</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color w:val="auto"/>
          <w:szCs w:val="24"/>
        </w:rPr>
      </w:pPr>
      <w:r>
        <w:rPr>
          <w:rFonts w:hint="eastAsia" w:ascii="Times New Roman" w:hAnsi="Times New Roman"/>
          <w:color w:val="auto"/>
          <w:szCs w:val="24"/>
          <w:lang w:val="en-US" w:eastAsia="zh-CN"/>
        </w:rPr>
        <w:t>4</w:t>
      </w:r>
      <w:r>
        <w:rPr>
          <w:rFonts w:ascii="Times New Roman" w:hAnsi="Times New Roman"/>
          <w:color w:val="auto"/>
          <w:szCs w:val="24"/>
        </w:rPr>
        <w:t>、</w:t>
      </w:r>
      <w:r>
        <w:rPr>
          <w:rFonts w:hint="eastAsia" w:ascii="Times New Roman" w:hAnsi="Times New Roman"/>
          <w:color w:val="auto"/>
          <w:szCs w:val="24"/>
        </w:rPr>
        <w:t>《土壤环境质量建设用地土壤污染风险管控标准（试行）》（GB36600-2018）；</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color w:val="auto"/>
          <w:szCs w:val="24"/>
        </w:rPr>
      </w:pPr>
      <w:r>
        <w:rPr>
          <w:rFonts w:hint="eastAsia" w:ascii="Times New Roman" w:hAnsi="Times New Roman"/>
          <w:color w:val="auto"/>
          <w:szCs w:val="24"/>
          <w:lang w:val="en-US" w:eastAsia="zh-CN"/>
        </w:rPr>
        <w:t>5</w:t>
      </w:r>
      <w:r>
        <w:rPr>
          <w:rFonts w:hint="eastAsia" w:ascii="Times New Roman" w:hAnsi="Times New Roman"/>
          <w:color w:val="auto"/>
          <w:szCs w:val="24"/>
        </w:rPr>
        <w:t>、</w:t>
      </w:r>
      <w:r>
        <w:rPr>
          <w:rFonts w:ascii="Times New Roman" w:hAnsi="Times New Roman"/>
          <w:color w:val="auto"/>
          <w:szCs w:val="24"/>
        </w:rPr>
        <w:t>《地下水质量标准》（GB/T14848-</w:t>
      </w:r>
      <w:r>
        <w:rPr>
          <w:rFonts w:hint="eastAsia" w:ascii="Times New Roman" w:hAnsi="Times New Roman"/>
          <w:color w:val="auto"/>
          <w:szCs w:val="24"/>
        </w:rPr>
        <w:t>2017</w:t>
      </w:r>
      <w:r>
        <w:rPr>
          <w:rFonts w:ascii="Times New Roman" w:hAnsi="Times New Roman"/>
          <w:color w:val="auto"/>
          <w:szCs w:val="24"/>
        </w:rPr>
        <w:t>）</w:t>
      </w:r>
      <w:r>
        <w:rPr>
          <w:rFonts w:hint="eastAsia" w:ascii="Times New Roman" w:hAnsi="Times New Roman"/>
          <w:color w:val="auto"/>
          <w:szCs w:val="24"/>
        </w:rPr>
        <w:t>。</w:t>
      </w:r>
    </w:p>
    <w:p>
      <w:pPr>
        <w:pStyle w:val="23"/>
        <w:spacing w:after="0" w:line="520" w:lineRule="exact"/>
        <w:ind w:right="-283" w:rightChars="-135"/>
        <w:rPr>
          <w:rFonts w:ascii="Times New Roman" w:hAnsi="Times New Roman"/>
          <w:color w:val="auto"/>
          <w:sz w:val="24"/>
        </w:rPr>
      </w:pPr>
    </w:p>
    <w:p>
      <w:pPr>
        <w:pStyle w:val="5"/>
        <w:spacing w:before="156" w:after="156"/>
        <w:jc w:val="center"/>
        <w:rPr>
          <w:rFonts w:ascii="Times New Roman" w:hAnsi="Times New Roman"/>
          <w:color w:val="auto"/>
        </w:rPr>
        <w:sectPr>
          <w:footerReference r:id="rId7" w:type="default"/>
          <w:pgSz w:w="11906" w:h="16838"/>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bookmarkStart w:id="7" w:name="_Toc507454863"/>
    </w:p>
    <w:p>
      <w:pPr>
        <w:pStyle w:val="5"/>
        <w:pageBreakBefore w:val="0"/>
        <w:widowControl w:val="0"/>
        <w:kinsoku/>
        <w:wordWrap/>
        <w:overflowPunct/>
        <w:topLinePunct w:val="0"/>
        <w:autoSpaceDE/>
        <w:autoSpaceDN/>
        <w:bidi w:val="0"/>
        <w:adjustRightInd/>
        <w:snapToGrid/>
        <w:spacing w:beforeLines="0" w:afterLines="0" w:line="360" w:lineRule="auto"/>
        <w:jc w:val="center"/>
        <w:textAlignment w:val="auto"/>
        <w:rPr>
          <w:rFonts w:ascii="Times New Roman" w:hAnsi="Times New Roman"/>
          <w:color w:val="auto"/>
        </w:rPr>
      </w:pPr>
      <w:bookmarkStart w:id="8" w:name="_Toc12264"/>
      <w:r>
        <w:rPr>
          <w:rFonts w:hint="eastAsia" w:ascii="Times New Roman" w:hAnsi="Times New Roman"/>
          <w:color w:val="auto"/>
        </w:rPr>
        <w:t>三、工程建设情况</w:t>
      </w:r>
      <w:bookmarkEnd w:id="7"/>
      <w:bookmarkEnd w:id="8"/>
    </w:p>
    <w:p>
      <w:pPr>
        <w:pStyle w:val="6"/>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color w:val="auto"/>
        </w:rPr>
      </w:pPr>
      <w:bookmarkStart w:id="9" w:name="_Toc11301"/>
      <w:bookmarkStart w:id="10" w:name="_Toc507454864"/>
      <w:r>
        <w:rPr>
          <w:rFonts w:ascii="Times New Roman" w:hAnsi="Times New Roman"/>
          <w:color w:val="auto"/>
        </w:rPr>
        <w:t>3.1</w:t>
      </w:r>
      <w:r>
        <w:rPr>
          <w:rFonts w:hint="eastAsia" w:ascii="Times New Roman" w:hAnsi="Times New Roman"/>
          <w:color w:val="auto"/>
        </w:rPr>
        <w:t>地理位置及平面布置</w:t>
      </w:r>
      <w:bookmarkEnd w:id="9"/>
      <w:bookmarkEnd w:id="10"/>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cs="Times New Roman"/>
          <w:color w:val="auto"/>
          <w:spacing w:val="-6"/>
          <w:sz w:val="24"/>
          <w:highlight w:val="yellow"/>
        </w:rPr>
      </w:pPr>
      <w:r>
        <w:rPr>
          <w:rFonts w:hint="eastAsia" w:ascii="Times New Roman" w:hAnsi="Times New Roman"/>
          <w:color w:val="auto"/>
          <w:sz w:val="24"/>
          <w:lang w:eastAsia="zh-CN"/>
        </w:rPr>
        <w:t>建设场址位于安徽省宿州市灵璧县三山矿坑（经度为117.639756，纬度为33.568825），项目区南侧为灵璧县生活垃圾填埋场，东西侧和北侧均为空地。</w:t>
      </w:r>
      <w:r>
        <w:rPr>
          <w:rFonts w:hint="eastAsia" w:ascii="Times New Roman" w:hAnsi="Times New Roman" w:cs="Times New Roman"/>
          <w:color w:val="auto"/>
          <w:spacing w:val="-6"/>
          <w:sz w:val="24"/>
        </w:rPr>
        <w:t>项目地理位置图详见图3</w:t>
      </w:r>
      <w:r>
        <w:rPr>
          <w:rFonts w:ascii="Times New Roman" w:hAnsi="Times New Roman" w:cs="Times New Roman"/>
          <w:color w:val="auto"/>
          <w:spacing w:val="-6"/>
          <w:sz w:val="24"/>
        </w:rPr>
        <w:t>.1</w:t>
      </w:r>
      <w:r>
        <w:rPr>
          <w:rFonts w:hint="eastAsia" w:ascii="Times New Roman" w:hAnsi="Times New Roman" w:cs="Times New Roman"/>
          <w:color w:val="auto"/>
          <w:spacing w:val="-6"/>
          <w:sz w:val="24"/>
        </w:rPr>
        <w:t>-1。</w:t>
      </w:r>
    </w:p>
    <w:p>
      <w:pPr>
        <w:pStyle w:val="104"/>
        <w:ind w:firstLine="480" w:firstLineChars="0"/>
        <w:jc w:val="left"/>
        <w:rPr>
          <w:rFonts w:hint="eastAsia" w:ascii="Times New Roman" w:hAnsi="Times New Roman"/>
          <w:color w:val="auto"/>
          <w:szCs w:val="24"/>
          <w:lang w:eastAsia="zh-CN"/>
        </w:rPr>
      </w:pPr>
      <w:r>
        <w:rPr>
          <w:rFonts w:hint="eastAsia" w:ascii="Times New Roman" w:hAnsi="Times New Roman"/>
          <w:color w:val="auto"/>
          <w:szCs w:val="24"/>
          <w:lang w:eastAsia="zh-CN"/>
        </w:rPr>
        <w:t>灵璧县一般工业固废填埋场总占地面积约为18亩，场区与外围道路连接处设置大门（03J012-1-75），四周设置围墙（03J012-1-47）。为保证库区垃圾堆体的稳定性及防止场外雨水进入垃圾堆体，沿垃圾库区设环场锚固平台，平台顶宽3m。堤顶设有巡视道路，便于封场后运行维护和检修，巡视道路外侧设置安全围栏（03J012-1-55）；一般工业固废填埋场场区东侧与进场道路连接并设置回转平台。项目总平面布置图见图</w:t>
      </w:r>
      <w:r>
        <w:rPr>
          <w:rFonts w:hint="eastAsia" w:ascii="Times New Roman" w:hAnsi="Times New Roman"/>
          <w:color w:val="auto"/>
          <w:szCs w:val="24"/>
          <w:lang w:val="en-US" w:eastAsia="zh-CN"/>
        </w:rPr>
        <w:t>3</w:t>
      </w:r>
      <w:r>
        <w:rPr>
          <w:rFonts w:hint="eastAsia" w:ascii="Times New Roman" w:hAnsi="Times New Roman"/>
          <w:color w:val="auto"/>
          <w:szCs w:val="24"/>
          <w:lang w:eastAsia="zh-CN"/>
        </w:rPr>
        <w:t>.1-</w:t>
      </w:r>
      <w:r>
        <w:rPr>
          <w:rFonts w:hint="eastAsia" w:ascii="Times New Roman" w:hAnsi="Times New Roman"/>
          <w:color w:val="auto"/>
          <w:szCs w:val="24"/>
          <w:lang w:val="en-US" w:eastAsia="zh-CN"/>
        </w:rPr>
        <w:t>2</w:t>
      </w:r>
      <w:r>
        <w:rPr>
          <w:rFonts w:hint="eastAsia" w:ascii="Times New Roman" w:hAnsi="Times New Roman"/>
          <w:color w:val="auto"/>
          <w:szCs w:val="24"/>
          <w:lang w:eastAsia="zh-CN"/>
        </w:rPr>
        <w:t>。</w:t>
      </w:r>
    </w:p>
    <w:p>
      <w:pPr>
        <w:pStyle w:val="9"/>
        <w:rPr>
          <w:rFonts w:hint="eastAsia" w:ascii="Times New Roman" w:hAnsi="Times New Roman" w:eastAsia="宋体" w:cs="宋体"/>
          <w:color w:val="auto"/>
          <w:sz w:val="24"/>
        </w:rPr>
      </w:pPr>
    </w:p>
    <w:p>
      <w:pPr>
        <w:pStyle w:val="9"/>
        <w:rPr>
          <w:rFonts w:hint="eastAsia" w:ascii="Times New Roman" w:hAnsi="Times New Roman" w:eastAsia="宋体" w:cs="宋体"/>
          <w:color w:val="auto"/>
          <w:sz w:val="24"/>
        </w:rPr>
      </w:pPr>
    </w:p>
    <w:p>
      <w:pPr>
        <w:pStyle w:val="9"/>
        <w:rPr>
          <w:rFonts w:hint="eastAsia" w:ascii="Times New Roman" w:hAnsi="Times New Roman" w:eastAsia="宋体" w:cs="宋体"/>
          <w:color w:val="auto"/>
          <w:sz w:val="24"/>
        </w:rPr>
      </w:pPr>
    </w:p>
    <w:p>
      <w:pPr>
        <w:pStyle w:val="9"/>
        <w:rPr>
          <w:rFonts w:hint="eastAsia" w:ascii="Times New Roman" w:hAnsi="Times New Roman" w:eastAsia="宋体" w:cs="宋体"/>
          <w:color w:val="auto"/>
          <w:sz w:val="24"/>
        </w:rPr>
      </w:pPr>
    </w:p>
    <w:p>
      <w:pPr>
        <w:pStyle w:val="9"/>
        <w:rPr>
          <w:rFonts w:hint="eastAsia" w:ascii="Times New Roman" w:hAnsi="Times New Roman" w:eastAsia="宋体" w:cs="宋体"/>
          <w:color w:val="auto"/>
          <w:sz w:val="24"/>
        </w:rPr>
      </w:pPr>
    </w:p>
    <w:p>
      <w:pPr>
        <w:pStyle w:val="9"/>
        <w:rPr>
          <w:rFonts w:hint="eastAsia" w:ascii="Times New Roman" w:hAnsi="Times New Roman" w:eastAsia="宋体" w:cs="宋体"/>
          <w:color w:val="auto"/>
          <w:sz w:val="24"/>
        </w:rPr>
      </w:pPr>
    </w:p>
    <w:p>
      <w:pPr>
        <w:pStyle w:val="9"/>
        <w:rPr>
          <w:rFonts w:hint="eastAsia" w:ascii="Times New Roman" w:hAnsi="Times New Roman" w:eastAsia="宋体" w:cs="宋体"/>
          <w:color w:val="auto"/>
          <w:sz w:val="24"/>
        </w:rPr>
      </w:pPr>
    </w:p>
    <w:p>
      <w:pPr>
        <w:pStyle w:val="9"/>
        <w:rPr>
          <w:rFonts w:hint="eastAsia" w:ascii="Times New Roman" w:hAnsi="Times New Roman" w:eastAsia="宋体" w:cs="宋体"/>
          <w:color w:val="auto"/>
          <w:sz w:val="24"/>
        </w:rPr>
      </w:pPr>
    </w:p>
    <w:p>
      <w:pPr>
        <w:pStyle w:val="9"/>
        <w:rPr>
          <w:rFonts w:hint="eastAsia" w:ascii="Times New Roman" w:hAnsi="Times New Roman" w:eastAsia="宋体" w:cs="宋体"/>
          <w:color w:val="auto"/>
          <w:sz w:val="24"/>
        </w:rPr>
      </w:pPr>
    </w:p>
    <w:p>
      <w:pPr>
        <w:pStyle w:val="9"/>
        <w:rPr>
          <w:rFonts w:hint="eastAsia" w:ascii="Times New Roman" w:hAnsi="Times New Roman" w:eastAsia="宋体" w:cs="宋体"/>
          <w:color w:val="auto"/>
          <w:sz w:val="24"/>
        </w:rPr>
        <w:sectPr>
          <w:pgSz w:w="11905" w:h="16838"/>
          <w:pgMar w:top="1361" w:right="1361" w:bottom="1361" w:left="1361" w:header="794" w:footer="850" w:gutter="0"/>
          <w:pgBorders>
            <w:top w:val="none" w:sz="0" w:space="0"/>
            <w:left w:val="none" w:sz="0" w:space="0"/>
            <w:bottom w:val="none" w:sz="0" w:space="0"/>
            <w:right w:val="none" w:sz="0" w:space="0"/>
          </w:pgBorders>
          <w:pgNumType w:fmt="decimal"/>
          <w:cols w:space="720" w:num="1"/>
          <w:rtlGutter w:val="0"/>
          <w:docGrid w:type="lines" w:linePitch="314" w:charSpace="0"/>
        </w:sectPr>
      </w:pPr>
    </w:p>
    <w:p>
      <w:pPr>
        <w:pStyle w:val="9"/>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ascii="Times New Roman" w:hAnsi="Times New Roman"/>
          <w:color w:val="auto"/>
        </w:rPr>
      </w:pPr>
      <w:r>
        <w:rPr>
          <w:rFonts w:ascii="Times New Roman" w:hAnsi="Times New Roman"/>
          <w:color w:val="auto"/>
          <w:sz w:val="21"/>
        </w:rPr>
        <mc:AlternateContent>
          <mc:Choice Requires="wps">
            <w:drawing>
              <wp:anchor distT="0" distB="0" distL="114300" distR="114300" simplePos="0" relativeHeight="251666432" behindDoc="0" locked="0" layoutInCell="1" allowOverlap="1">
                <wp:simplePos x="0" y="0"/>
                <wp:positionH relativeFrom="column">
                  <wp:posOffset>8325485</wp:posOffset>
                </wp:positionH>
                <wp:positionV relativeFrom="paragraph">
                  <wp:posOffset>-83185</wp:posOffset>
                </wp:positionV>
                <wp:extent cx="1104900" cy="1190625"/>
                <wp:effectExtent l="0" t="0" r="0" b="0"/>
                <wp:wrapNone/>
                <wp:docPr id="10" name="文本框 1473"/>
                <wp:cNvGraphicFramePr/>
                <a:graphic xmlns:a="http://schemas.openxmlformats.org/drawingml/2006/main">
                  <a:graphicData uri="http://schemas.microsoft.com/office/word/2010/wordprocessingShape">
                    <wps:wsp>
                      <wps:cNvSpPr txBox="1"/>
                      <wps:spPr>
                        <a:xfrm>
                          <a:off x="0" y="0"/>
                          <a:ext cx="1104900" cy="1190625"/>
                        </a:xfrm>
                        <a:prstGeom prst="rect">
                          <a:avLst/>
                        </a:prstGeom>
                        <a:noFill/>
                        <a:ln>
                          <a:noFill/>
                        </a:ln>
                      </wps:spPr>
                      <wps:txbx>
                        <w:txbxContent>
                          <w:p>
                            <w:r>
                              <w:drawing>
                                <wp:inline distT="0" distB="0" distL="114300" distR="114300">
                                  <wp:extent cx="539750" cy="652145"/>
                                  <wp:effectExtent l="0" t="0" r="12700" b="14605"/>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11"/>
                                          <a:stretch>
                                            <a:fillRect/>
                                          </a:stretch>
                                        </pic:blipFill>
                                        <pic:spPr>
                                          <a:xfrm>
                                            <a:off x="0" y="0"/>
                                            <a:ext cx="539750" cy="652145"/>
                                          </a:xfrm>
                                          <a:prstGeom prst="rect">
                                            <a:avLst/>
                                          </a:prstGeom>
                                          <a:noFill/>
                                          <a:ln>
                                            <a:noFill/>
                                          </a:ln>
                                        </pic:spPr>
                                      </pic:pic>
                                    </a:graphicData>
                                  </a:graphic>
                                </wp:inline>
                              </w:drawing>
                            </w:r>
                          </w:p>
                        </w:txbxContent>
                      </wps:txbx>
                      <wps:bodyPr upright="1"/>
                    </wps:wsp>
                  </a:graphicData>
                </a:graphic>
              </wp:anchor>
            </w:drawing>
          </mc:Choice>
          <mc:Fallback>
            <w:pict>
              <v:shape id="文本框 1473" o:spid="_x0000_s1026" o:spt="202" type="#_x0000_t202" style="position:absolute;left:0pt;margin-left:655.55pt;margin-top:-6.55pt;height:93.75pt;width:87pt;z-index:251666432;mso-width-relative:page;mso-height-relative:page;" filled="f" stroked="f" coordsize="21600,21600" o:gfxdata="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FPI9DvX&#10;AAAADQEAAA8AAAAAAAAAAQAgAAAAIgAAAGRycy9kb3ducmV2LnhtbFBLAQIUABQAAAAIAIdO4kCR&#10;3qe6rwEAAFMDAAAOAAAAAAAAAAEAIAAAACYBAABkcnMvZTJvRG9jLnhtbFBLBQYAAAAABgAGAFkB&#10;AABHBQAAAAA=&#10;">
                <v:fill on="f" focussize="0,0"/>
                <v:stroke on="f"/>
                <v:imagedata o:title=""/>
                <o:lock v:ext="edit" aspectratio="f"/>
                <v:textbox>
                  <w:txbxContent>
                    <w:p>
                      <w:r>
                        <w:drawing>
                          <wp:inline distT="0" distB="0" distL="114300" distR="114300">
                            <wp:extent cx="539750" cy="652145"/>
                            <wp:effectExtent l="0" t="0" r="12700" b="14605"/>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11"/>
                                    <a:stretch>
                                      <a:fillRect/>
                                    </a:stretch>
                                  </pic:blipFill>
                                  <pic:spPr>
                                    <a:xfrm>
                                      <a:off x="0" y="0"/>
                                      <a:ext cx="539750" cy="652145"/>
                                    </a:xfrm>
                                    <a:prstGeom prst="rect">
                                      <a:avLst/>
                                    </a:prstGeom>
                                    <a:noFill/>
                                    <a:ln>
                                      <a:noFill/>
                                    </a:ln>
                                  </pic:spPr>
                                </pic:pic>
                              </a:graphicData>
                            </a:graphic>
                          </wp:inline>
                        </w:drawing>
                      </w:r>
                    </w:p>
                  </w:txbxContent>
                </v:textbox>
              </v:shape>
            </w:pict>
          </mc:Fallback>
        </mc:AlternateContent>
      </w:r>
      <w:r>
        <w:rPr>
          <w:rFonts w:ascii="Times New Roman" w:hAnsi="Times New Roman"/>
          <w:color w:val="auto"/>
          <w:sz w:val="21"/>
        </w:rPr>
        <mc:AlternateContent>
          <mc:Choice Requires="wps">
            <w:drawing>
              <wp:anchor distT="0" distB="0" distL="114300" distR="114300" simplePos="0" relativeHeight="251665408" behindDoc="0" locked="0" layoutInCell="1" allowOverlap="1">
                <wp:simplePos x="0" y="0"/>
                <wp:positionH relativeFrom="column">
                  <wp:posOffset>3867785</wp:posOffset>
                </wp:positionH>
                <wp:positionV relativeFrom="paragraph">
                  <wp:posOffset>2604135</wp:posOffset>
                </wp:positionV>
                <wp:extent cx="1037590" cy="304800"/>
                <wp:effectExtent l="332105" t="5080" r="20955" b="242570"/>
                <wp:wrapNone/>
                <wp:docPr id="8" name="自选图形 1474"/>
                <wp:cNvGraphicFramePr/>
                <a:graphic xmlns:a="http://schemas.openxmlformats.org/drawingml/2006/main">
                  <a:graphicData uri="http://schemas.microsoft.com/office/word/2010/wordprocessingShape">
                    <wps:wsp>
                      <wps:cNvSpPr/>
                      <wps:spPr>
                        <a:xfrm>
                          <a:off x="0" y="0"/>
                          <a:ext cx="1037590" cy="304800"/>
                        </a:xfrm>
                        <a:prstGeom prst="wedgeRoundRectCallout">
                          <a:avLst>
                            <a:gd name="adj1" fmla="val -78495"/>
                            <a:gd name="adj2" fmla="val 118648"/>
                            <a:gd name="adj3" fmla="val 16667"/>
                          </a:avLst>
                        </a:prstGeom>
                        <a:noFill/>
                        <a:ln w="9525" cap="flat" cmpd="sng">
                          <a:solidFill>
                            <a:srgbClr val="000000"/>
                          </a:solidFill>
                          <a:prstDash val="solid"/>
                          <a:miter/>
                          <a:headEnd type="none" w="med" len="med"/>
                          <a:tailEnd type="none" w="med" len="med"/>
                        </a:ln>
                      </wps:spPr>
                      <wps:txbx>
                        <w:txbxContent>
                          <w:p>
                            <w:pPr>
                              <w:rPr>
                                <w:rFonts w:hint="eastAsia" w:eastAsia="宋体"/>
                                <w:lang w:eastAsia="zh-CN"/>
                              </w:rPr>
                            </w:pPr>
                            <w:r>
                              <w:rPr>
                                <w:rFonts w:hint="eastAsia"/>
                                <w:lang w:eastAsia="zh-CN"/>
                              </w:rPr>
                              <w:t>项目所在地</w:t>
                            </w:r>
                          </w:p>
                        </w:txbxContent>
                      </wps:txbx>
                      <wps:bodyPr upright="1"/>
                    </wps:wsp>
                  </a:graphicData>
                </a:graphic>
              </wp:anchor>
            </w:drawing>
          </mc:Choice>
          <mc:Fallback>
            <w:pict>
              <v:shape id="自选图形 1474" o:spid="_x0000_s1026" o:spt="62" type="#_x0000_t62" style="position:absolute;left:0pt;margin-left:304.55pt;margin-top:205.05pt;height:24pt;width:81.7pt;z-index:251665408;mso-width-relative:page;mso-height-relative:page;" filled="f" stroked="t" coordsize="21600,21600" o:gfxdata="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jSLFY2gAAAAsBAAAPAAAAAAAAAAEA&#10;IAAAACIAAABkcnMvZG93bnJldi54bWxQSwECFAAUAAAACACHTuJA04ZeWkYCAACRBAAADgAAAAAA&#10;AAABACAAAAApAQAAZHJzL2Uyb0RvYy54bWxQSwUGAAAAAAYABgBZAQAA4QUAAAAA&#10;" adj="-6155,36428,14400">
                <v:fill on="f" focussize="0,0"/>
                <v:stroke color="#000000" joinstyle="miter"/>
                <v:imagedata o:title=""/>
                <o:lock v:ext="edit" aspectratio="f"/>
                <v:textbox>
                  <w:txbxContent>
                    <w:p>
                      <w:pPr>
                        <w:rPr>
                          <w:rFonts w:hint="eastAsia" w:eastAsia="宋体"/>
                          <w:lang w:eastAsia="zh-CN"/>
                        </w:rPr>
                      </w:pPr>
                      <w:r>
                        <w:rPr>
                          <w:rFonts w:hint="eastAsia"/>
                          <w:lang w:eastAsia="zh-CN"/>
                        </w:rPr>
                        <w:t>项目所在地</w:t>
                      </w:r>
                    </w:p>
                  </w:txbxContent>
                </v:textbox>
              </v:shape>
            </w:pict>
          </mc:Fallback>
        </mc:AlternateContent>
      </w:r>
      <w:r>
        <w:rPr>
          <w:rFonts w:ascii="Times New Roman" w:hAnsi="Times New Roman"/>
          <w:color w:val="auto"/>
        </w:rPr>
        <w:drawing>
          <wp:inline distT="0" distB="0" distL="114300" distR="114300">
            <wp:extent cx="8963025" cy="4968240"/>
            <wp:effectExtent l="0" t="0" r="9525" b="3810"/>
            <wp:docPr id="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
                    <pic:cNvPicPr>
                      <a:picLocks noChangeAspect="1"/>
                    </pic:cNvPicPr>
                  </pic:nvPicPr>
                  <pic:blipFill>
                    <a:blip r:embed="rId12"/>
                    <a:stretch>
                      <a:fillRect/>
                    </a:stretch>
                  </pic:blipFill>
                  <pic:spPr>
                    <a:xfrm>
                      <a:off x="0" y="0"/>
                      <a:ext cx="8963025" cy="4968240"/>
                    </a:xfrm>
                    <a:prstGeom prst="rect">
                      <a:avLst/>
                    </a:prstGeom>
                    <a:noFill/>
                    <a:ln>
                      <a:noFill/>
                    </a:ln>
                  </pic:spPr>
                </pic:pic>
              </a:graphicData>
            </a:graphic>
          </wp:inline>
        </w:drawing>
      </w:r>
    </w:p>
    <w:p>
      <w:pPr>
        <w:pStyle w:val="9"/>
        <w:keepNext w:val="0"/>
        <w:keepLines w:val="0"/>
        <w:pageBreakBefore w:val="0"/>
        <w:widowControl w:val="0"/>
        <w:kinsoku/>
        <w:wordWrap/>
        <w:overflowPunct/>
        <w:topLinePunct w:val="0"/>
        <w:autoSpaceDE/>
        <w:autoSpaceDN/>
        <w:bidi w:val="0"/>
        <w:adjustRightInd/>
        <w:snapToGrid/>
        <w:spacing w:line="360" w:lineRule="auto"/>
        <w:ind w:firstLine="0"/>
        <w:jc w:val="center"/>
        <w:textAlignment w:val="auto"/>
        <w:rPr>
          <w:rFonts w:hint="default" w:ascii="Times New Roman" w:hAnsi="Times New Roman" w:eastAsia="宋体"/>
          <w:b/>
          <w:bCs/>
          <w:color w:val="auto"/>
          <w:sz w:val="21"/>
          <w:szCs w:val="21"/>
          <w:lang w:val="en-US" w:eastAsia="zh-CN"/>
        </w:rPr>
      </w:pPr>
      <w:r>
        <w:rPr>
          <w:rFonts w:hint="eastAsia" w:ascii="Times New Roman" w:hAnsi="Times New Roman"/>
          <w:b/>
          <w:bCs/>
          <w:color w:val="auto"/>
          <w:sz w:val="21"/>
          <w:szCs w:val="21"/>
          <w:lang w:eastAsia="zh-CN"/>
        </w:rPr>
        <w:t>图</w:t>
      </w:r>
      <w:r>
        <w:rPr>
          <w:rFonts w:hint="eastAsia" w:ascii="Times New Roman" w:hAnsi="Times New Roman"/>
          <w:b/>
          <w:bCs/>
          <w:color w:val="auto"/>
          <w:sz w:val="21"/>
          <w:szCs w:val="21"/>
          <w:lang w:val="en-US" w:eastAsia="zh-CN"/>
        </w:rPr>
        <w:t>3.1-1  项目地理位置图</w:t>
      </w:r>
    </w:p>
    <w:p>
      <w:pPr>
        <w:pStyle w:val="7"/>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eastAsia" w:ascii="Times New Roman" w:hAnsi="Times New Roman" w:eastAsia="宋体" w:cs="宋体"/>
          <w:b w:val="0"/>
          <w:color w:val="auto"/>
          <w:sz w:val="24"/>
          <w:szCs w:val="24"/>
          <w:lang w:val="en-US" w:eastAsia="zh-CN"/>
        </w:rPr>
        <w:sectPr>
          <w:pgSz w:w="16838" w:h="11905" w:orient="landscape"/>
          <w:pgMar w:top="1361" w:right="1361" w:bottom="1361" w:left="1361" w:header="794" w:footer="850" w:gutter="0"/>
          <w:pgBorders>
            <w:top w:val="none" w:sz="0" w:space="0"/>
            <w:left w:val="none" w:sz="0" w:space="0"/>
            <w:bottom w:val="none" w:sz="0" w:space="0"/>
            <w:right w:val="none" w:sz="0" w:space="0"/>
          </w:pgBorders>
          <w:pgNumType w:fmt="decimal"/>
          <w:cols w:space="720" w:num="1"/>
          <w:rtlGutter w:val="0"/>
          <w:docGrid w:type="lines" w:linePitch="314" w:charSpace="0"/>
        </w:sectPr>
      </w:pPr>
    </w:p>
    <w:p>
      <w:pPr>
        <w:pStyle w:val="104"/>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ascii="Times New Roman" w:hAnsi="Times New Roman"/>
          <w:color w:val="auto"/>
        </w:rPr>
      </w:pPr>
      <w:r>
        <w:rPr>
          <w:rFonts w:ascii="Times New Roman" w:hAnsi="Times New Roman"/>
          <w:sz w:val="24"/>
        </w:rPr>
        <mc:AlternateContent>
          <mc:Choice Requires="wps">
            <w:drawing>
              <wp:anchor distT="0" distB="0" distL="114300" distR="114300" simplePos="0" relativeHeight="251717632" behindDoc="0" locked="0" layoutInCell="1" allowOverlap="1">
                <wp:simplePos x="0" y="0"/>
                <wp:positionH relativeFrom="column">
                  <wp:posOffset>2423160</wp:posOffset>
                </wp:positionH>
                <wp:positionV relativeFrom="paragraph">
                  <wp:posOffset>3770630</wp:posOffset>
                </wp:positionV>
                <wp:extent cx="999490" cy="285750"/>
                <wp:effectExtent l="0" t="0" r="0" b="0"/>
                <wp:wrapNone/>
                <wp:docPr id="84" name="文本框 1541"/>
                <wp:cNvGraphicFramePr/>
                <a:graphic xmlns:a="http://schemas.openxmlformats.org/drawingml/2006/main">
                  <a:graphicData uri="http://schemas.microsoft.com/office/word/2010/wordprocessingShape">
                    <wps:wsp>
                      <wps:cNvSpPr txBox="1"/>
                      <wps:spPr>
                        <a:xfrm>
                          <a:off x="0" y="0"/>
                          <a:ext cx="999490" cy="285750"/>
                        </a:xfrm>
                        <a:prstGeom prst="rect">
                          <a:avLst/>
                        </a:prstGeom>
                        <a:noFill/>
                        <a:ln>
                          <a:noFill/>
                        </a:ln>
                      </wps:spPr>
                      <wps:txbx>
                        <w:txbxContent>
                          <w:p>
                            <w:pPr>
                              <w:rPr>
                                <w:rFonts w:hint="eastAsia" w:eastAsiaTheme="minorEastAsia"/>
                                <w:lang w:eastAsia="zh-CN"/>
                              </w:rPr>
                            </w:pPr>
                            <w:r>
                              <w:rPr>
                                <w:rFonts w:hint="eastAsia"/>
                                <w:lang w:eastAsia="zh-CN"/>
                              </w:rPr>
                              <w:t>渗滤液收集井</w:t>
                            </w:r>
                          </w:p>
                        </w:txbxContent>
                      </wps:txbx>
                      <wps:bodyPr upright="1"/>
                    </wps:wsp>
                  </a:graphicData>
                </a:graphic>
              </wp:anchor>
            </w:drawing>
          </mc:Choice>
          <mc:Fallback>
            <w:pict>
              <v:shape id="文本框 1541" o:spid="_x0000_s1026" o:spt="202" type="#_x0000_t202" style="position:absolute;left:0pt;margin-left:190.8pt;margin-top:296.9pt;height:22.5pt;width:78.7pt;z-index:251717632;mso-width-relative:page;mso-height-relative:page;" filled="f" stroked="f" coordsize="21600,21600" o:gfxdata="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AR3jNh&#10;1wAAAAsBAAAPAAAAAAAAAAEAIAAAACIAAABkcnMvZG93bnJldi54bWxQSwECFAAUAAAACACHTuJA&#10;03SJlrABAABRAwAADgAAAAAAAAABACAAAAAmAQAAZHJzL2Uyb0RvYy54bWxQSwUGAAAAAAYABgBZ&#10;AQAASAUAAAAA&#10;">
                <v:fill on="f" focussize="0,0"/>
                <v:stroke on="f"/>
                <v:imagedata o:title=""/>
                <o:lock v:ext="edit" aspectratio="f"/>
                <v:textbox>
                  <w:txbxContent>
                    <w:p>
                      <w:pPr>
                        <w:rPr>
                          <w:rFonts w:hint="eastAsia" w:eastAsiaTheme="minorEastAsia"/>
                          <w:lang w:eastAsia="zh-CN"/>
                        </w:rPr>
                      </w:pPr>
                      <w:r>
                        <w:rPr>
                          <w:rFonts w:hint="eastAsia"/>
                          <w:lang w:eastAsia="zh-CN"/>
                        </w:rPr>
                        <w:t>渗滤液收集井</w:t>
                      </w:r>
                    </w:p>
                  </w:txbxContent>
                </v:textbox>
              </v:shape>
            </w:pict>
          </mc:Fallback>
        </mc:AlternateContent>
      </w:r>
      <w:r>
        <w:rPr>
          <w:rFonts w:ascii="Times New Roman" w:hAnsi="Times New Roman"/>
          <w:sz w:val="24"/>
        </w:rPr>
        <mc:AlternateContent>
          <mc:Choice Requires="wps">
            <w:drawing>
              <wp:anchor distT="0" distB="0" distL="114300" distR="114300" simplePos="0" relativeHeight="251716608" behindDoc="0" locked="0" layoutInCell="1" allowOverlap="1">
                <wp:simplePos x="0" y="0"/>
                <wp:positionH relativeFrom="column">
                  <wp:posOffset>2718435</wp:posOffset>
                </wp:positionH>
                <wp:positionV relativeFrom="paragraph">
                  <wp:posOffset>3656330</wp:posOffset>
                </wp:positionV>
                <wp:extent cx="125730" cy="125730"/>
                <wp:effectExtent l="4445" t="4445" r="22225" b="22225"/>
                <wp:wrapNone/>
                <wp:docPr id="83" name="椭圆 1540"/>
                <wp:cNvGraphicFramePr/>
                <a:graphic xmlns:a="http://schemas.openxmlformats.org/drawingml/2006/main">
                  <a:graphicData uri="http://schemas.microsoft.com/office/word/2010/wordprocessingShape">
                    <wps:wsp>
                      <wps:cNvSpPr/>
                      <wps:spPr>
                        <a:xfrm>
                          <a:off x="0" y="0"/>
                          <a:ext cx="125730" cy="125730"/>
                        </a:xfrm>
                        <a:prstGeom prst="ellipse">
                          <a:avLst/>
                        </a:prstGeom>
                        <a:solidFill>
                          <a:srgbClr val="FFFFFF"/>
                        </a:solidFill>
                        <a:ln w="9525" cap="flat" cmpd="sng">
                          <a:solidFill>
                            <a:srgbClr val="EC04FA"/>
                          </a:solidFill>
                          <a:prstDash val="solid"/>
                          <a:headEnd type="none" w="med" len="med"/>
                          <a:tailEnd type="none" w="med" len="med"/>
                        </a:ln>
                      </wps:spPr>
                      <wps:bodyPr upright="1"/>
                    </wps:wsp>
                  </a:graphicData>
                </a:graphic>
              </wp:anchor>
            </w:drawing>
          </mc:Choice>
          <mc:Fallback>
            <w:pict>
              <v:shape id="椭圆 1540" o:spid="_x0000_s1026" o:spt="3" type="#_x0000_t3" style="position:absolute;left:0pt;margin-left:214.05pt;margin-top:287.9pt;height:9.9pt;width:9.9pt;z-index:251716608;mso-width-relative:page;mso-height-relative:page;" fillcolor="#FFFFFF" filled="t" stroked="t" coordsize="21600,21600" o:gfxdata="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D6jk3TaAAAACwEAAA8AAAAAAAAAAQAgAAAAIgAAAGRycy9kb3du&#10;cmV2LnhtbFBLAQIUABQAAAAIAIdO4kApi2FP/QEAABoEAAAOAAAAAAAAAAEAIAAAACkBAABkcnMv&#10;ZTJvRG9jLnhtbFBLBQYAAAAABgAGAFkBAACYBQAAAAA=&#10;">
                <v:fill on="t" focussize="0,0"/>
                <v:stroke color="#EC04FA" joinstyle="round"/>
                <v:imagedata o:title=""/>
                <o:lock v:ext="edit" aspectratio="f"/>
              </v:shape>
            </w:pict>
          </mc:Fallback>
        </mc:AlternateContent>
      </w:r>
      <w:r>
        <w:rPr>
          <w:rFonts w:ascii="Times New Roman" w:hAnsi="Times New Roman"/>
          <w:color w:val="auto"/>
        </w:rPr>
        <w:drawing>
          <wp:inline distT="0" distB="0" distL="114300" distR="114300">
            <wp:extent cx="7705725" cy="5505450"/>
            <wp:effectExtent l="0" t="0" r="9525" b="0"/>
            <wp:docPr id="3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7"/>
                    <pic:cNvPicPr>
                      <a:picLocks noChangeAspect="1"/>
                    </pic:cNvPicPr>
                  </pic:nvPicPr>
                  <pic:blipFill>
                    <a:blip r:embed="rId13"/>
                    <a:stretch>
                      <a:fillRect/>
                    </a:stretch>
                  </pic:blipFill>
                  <pic:spPr>
                    <a:xfrm>
                      <a:off x="0" y="0"/>
                      <a:ext cx="7705725" cy="5505450"/>
                    </a:xfrm>
                    <a:prstGeom prst="rect">
                      <a:avLst/>
                    </a:prstGeom>
                    <a:noFill/>
                    <a:ln>
                      <a:noFill/>
                    </a:ln>
                  </pic:spPr>
                </pic:pic>
              </a:graphicData>
            </a:graphic>
          </wp:inline>
        </w:drawing>
      </w:r>
    </w:p>
    <w:p>
      <w:pPr>
        <w:pStyle w:val="104"/>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b/>
          <w:bCs/>
          <w:color w:val="auto"/>
          <w:sz w:val="21"/>
          <w:szCs w:val="21"/>
          <w:lang w:val="en-US" w:eastAsia="zh-CN"/>
        </w:rPr>
        <w:sectPr>
          <w:pgSz w:w="16838" w:h="11906" w:orient="landscape"/>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r>
        <w:rPr>
          <w:rFonts w:hint="eastAsia" w:ascii="Times New Roman" w:hAnsi="Times New Roman"/>
          <w:b/>
          <w:bCs/>
          <w:color w:val="auto"/>
          <w:sz w:val="21"/>
          <w:szCs w:val="21"/>
          <w:lang w:eastAsia="zh-CN"/>
        </w:rPr>
        <w:t>图</w:t>
      </w:r>
      <w:r>
        <w:rPr>
          <w:rFonts w:hint="eastAsia" w:ascii="Times New Roman" w:hAnsi="Times New Roman"/>
          <w:b/>
          <w:bCs/>
          <w:color w:val="auto"/>
          <w:sz w:val="21"/>
          <w:szCs w:val="21"/>
          <w:lang w:val="en-US" w:eastAsia="zh-CN"/>
        </w:rPr>
        <w:t>3.1-2  项目总平面布置图</w:t>
      </w:r>
    </w:p>
    <w:p>
      <w:pPr>
        <w:pStyle w:val="6"/>
        <w:pageBreakBefore w:val="0"/>
        <w:widowControl w:val="0"/>
        <w:kinsoku/>
        <w:wordWrap/>
        <w:overflowPunct/>
        <w:topLinePunct w:val="0"/>
        <w:bidi w:val="0"/>
        <w:adjustRightInd/>
        <w:snapToGrid/>
        <w:spacing w:before="0" w:after="0" w:line="360" w:lineRule="auto"/>
        <w:textAlignment w:val="auto"/>
        <w:rPr>
          <w:rFonts w:hint="eastAsia" w:ascii="Times New Roman" w:hAnsi="Times New Roman"/>
          <w:color w:val="auto"/>
          <w:lang w:eastAsia="zh-CN"/>
        </w:rPr>
      </w:pPr>
      <w:bookmarkStart w:id="11" w:name="_Toc6132"/>
      <w:r>
        <w:rPr>
          <w:rFonts w:hint="eastAsia" w:ascii="Times New Roman" w:hAnsi="Times New Roman"/>
          <w:color w:val="auto"/>
        </w:rPr>
        <w:t>3.</w:t>
      </w:r>
      <w:r>
        <w:rPr>
          <w:rFonts w:hint="eastAsia" w:ascii="Times New Roman" w:hAnsi="Times New Roman"/>
          <w:color w:val="auto"/>
          <w:lang w:val="en-US" w:eastAsia="zh-CN"/>
        </w:rPr>
        <w:t>2</w:t>
      </w:r>
      <w:r>
        <w:rPr>
          <w:rFonts w:hint="eastAsia" w:ascii="Times New Roman" w:hAnsi="Times New Roman"/>
          <w:color w:val="auto"/>
          <w:lang w:eastAsia="zh-CN"/>
        </w:rPr>
        <w:t>工程内容及规模</w:t>
      </w:r>
      <w:bookmarkEnd w:id="11"/>
    </w:p>
    <w:p>
      <w:pPr>
        <w:pStyle w:val="62"/>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2"/>
        <w:rPr>
          <w:rFonts w:hint="eastAsia" w:ascii="Times New Roman" w:hAnsi="Times New Roman"/>
          <w:b/>
          <w:bCs/>
          <w:color w:val="auto"/>
          <w:sz w:val="28"/>
          <w:szCs w:val="28"/>
          <w:lang w:val="en-US" w:eastAsia="zh-CN"/>
        </w:rPr>
      </w:pPr>
      <w:bookmarkStart w:id="12" w:name="_Toc6499"/>
      <w:r>
        <w:rPr>
          <w:rFonts w:hint="eastAsia" w:ascii="Times New Roman" w:hAnsi="Times New Roman"/>
          <w:b/>
          <w:bCs/>
          <w:color w:val="auto"/>
          <w:sz w:val="28"/>
          <w:szCs w:val="28"/>
          <w:lang w:val="en-US" w:eastAsia="zh-CN"/>
        </w:rPr>
        <w:t>3.2.1工程规模</w:t>
      </w:r>
      <w:bookmarkEnd w:id="12"/>
    </w:p>
    <w:p>
      <w:pPr>
        <w:pStyle w:val="62"/>
        <w:keepNext w:val="0"/>
        <w:keepLines w:val="0"/>
        <w:pageBreakBefore w:val="0"/>
        <w:widowControl w:val="0"/>
        <w:kinsoku/>
        <w:wordWrap/>
        <w:overflowPunct/>
        <w:topLinePunct w:val="0"/>
        <w:autoSpaceDE/>
        <w:autoSpaceDN/>
        <w:bidi w:val="0"/>
        <w:adjustRightInd/>
        <w:snapToGrid/>
        <w:spacing w:line="360" w:lineRule="auto"/>
        <w:ind w:firstLine="480" w:firstLineChars="0"/>
        <w:textAlignment w:val="auto"/>
        <w:rPr>
          <w:rFonts w:hint="eastAsia" w:ascii="Times New Roman" w:hAnsi="Times New Roman" w:eastAsia="宋体" w:cs="宋体"/>
          <w:color w:val="auto"/>
          <w:sz w:val="24"/>
          <w:lang w:eastAsia="zh-CN"/>
        </w:rPr>
      </w:pPr>
      <w:r>
        <w:rPr>
          <w:rFonts w:hint="eastAsia" w:ascii="Times New Roman" w:hAnsi="Times New Roman" w:eastAsia="宋体" w:cs="宋体"/>
          <w:color w:val="auto"/>
          <w:sz w:val="24"/>
        </w:rPr>
        <w:t>本项目库区占地面积12000平方米，库区垃圾主坝坝顶标高为37m，坝顶宽3m，坝轴线长100m、坝体上游坡度为1:0.2，下游坡度为1:0.25。填埋库区设计总库容约15万m</w:t>
      </w:r>
      <w:r>
        <w:rPr>
          <w:rFonts w:hint="eastAsia" w:ascii="Times New Roman" w:hAnsi="Times New Roman" w:eastAsia="宋体" w:cs="宋体"/>
          <w:color w:val="auto"/>
          <w:sz w:val="24"/>
          <w:vertAlign w:val="superscript"/>
        </w:rPr>
        <w:t>3</w:t>
      </w:r>
      <w:r>
        <w:rPr>
          <w:rFonts w:hint="eastAsia" w:ascii="Times New Roman" w:hAnsi="Times New Roman" w:eastAsia="宋体" w:cs="宋体"/>
          <w:color w:val="auto"/>
          <w:sz w:val="24"/>
        </w:rPr>
        <w:t>。本工程服务范围为灵璧县县域，服务对象主要为</w:t>
      </w:r>
      <w:r>
        <w:rPr>
          <w:rFonts w:hint="eastAsia" w:cs="宋体"/>
          <w:color w:val="auto"/>
          <w:sz w:val="24"/>
          <w:lang w:eastAsia="zh-CN"/>
        </w:rPr>
        <w:t>轻度污染土壤。</w:t>
      </w:r>
    </w:p>
    <w:p>
      <w:pPr>
        <w:pStyle w:val="62"/>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2"/>
        <w:rPr>
          <w:rFonts w:hint="eastAsia" w:ascii="Times New Roman" w:hAnsi="Times New Roman" w:cs="Times New Roman"/>
          <w:b/>
          <w:bCs/>
          <w:color w:val="auto"/>
          <w:sz w:val="28"/>
          <w:szCs w:val="28"/>
          <w:lang w:val="en-US" w:eastAsia="zh-CN"/>
        </w:rPr>
      </w:pPr>
      <w:bookmarkStart w:id="13" w:name="_Toc21299"/>
      <w:r>
        <w:rPr>
          <w:rFonts w:hint="eastAsia" w:ascii="Times New Roman" w:hAnsi="Times New Roman" w:cs="Times New Roman"/>
          <w:b/>
          <w:bCs/>
          <w:color w:val="auto"/>
          <w:sz w:val="28"/>
          <w:szCs w:val="28"/>
          <w:lang w:val="en-US" w:eastAsia="zh-CN"/>
        </w:rPr>
        <w:t>3.2.2工程内容</w:t>
      </w:r>
      <w:bookmarkEnd w:id="13"/>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宋体"/>
          <w:color w:val="auto"/>
          <w:sz w:val="24"/>
        </w:rPr>
      </w:pPr>
      <w:r>
        <w:rPr>
          <w:rFonts w:hint="eastAsia" w:ascii="Times New Roman" w:hAnsi="Times New Roman" w:eastAsia="宋体" w:cs="宋体"/>
          <w:color w:val="auto"/>
          <w:sz w:val="24"/>
          <w:lang w:eastAsia="zh-CN"/>
        </w:rPr>
        <w:t>填埋场工程内容主要包括：</w:t>
      </w:r>
      <w:r>
        <w:rPr>
          <w:rFonts w:hint="eastAsia" w:ascii="Times New Roman" w:hAnsi="Times New Roman" w:eastAsia="宋体" w:cs="宋体"/>
          <w:color w:val="auto"/>
          <w:sz w:val="24"/>
        </w:rPr>
        <w:t>主体工程</w:t>
      </w:r>
      <w:r>
        <w:rPr>
          <w:rFonts w:hint="eastAsia" w:ascii="Times New Roman" w:hAnsi="Times New Roman" w:eastAsia="宋体" w:cs="宋体"/>
          <w:color w:val="auto"/>
          <w:sz w:val="24"/>
          <w:lang w:eastAsia="zh-CN"/>
        </w:rPr>
        <w:t>、辅助工程以及公用</w:t>
      </w:r>
      <w:r>
        <w:rPr>
          <w:rFonts w:hint="eastAsia" w:ascii="Times New Roman" w:hAnsi="Times New Roman" w:eastAsia="宋体" w:cs="宋体"/>
          <w:color w:val="auto"/>
          <w:sz w:val="24"/>
        </w:rPr>
        <w:t>工程。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宋体"/>
          <w:color w:val="auto"/>
          <w:sz w:val="24"/>
          <w:lang w:eastAsia="zh-CN"/>
        </w:rPr>
      </w:pPr>
      <w:r>
        <w:rPr>
          <w:rFonts w:hint="eastAsia" w:ascii="Times New Roman" w:hAnsi="Times New Roman" w:eastAsia="宋体" w:cs="宋体"/>
          <w:color w:val="auto"/>
          <w:sz w:val="24"/>
          <w:lang w:eastAsia="zh-CN"/>
        </w:rPr>
        <w:t>本项目主要建设库区工程、防渗工程、渗滤液收集系统工程、防洪工程、以及填埋道路系统等。本项目的实际建设内容与环评内容情况对比具体见表3</w:t>
      </w:r>
      <w:r>
        <w:rPr>
          <w:rFonts w:hint="eastAsia" w:ascii="Times New Roman" w:hAnsi="Times New Roman" w:eastAsia="宋体" w:cs="宋体"/>
          <w:color w:val="auto"/>
          <w:sz w:val="24"/>
          <w:lang w:val="en-US" w:eastAsia="zh-CN"/>
        </w:rPr>
        <w:t>.2-1</w:t>
      </w:r>
      <w:r>
        <w:rPr>
          <w:rFonts w:hint="eastAsia" w:ascii="Times New Roman" w:hAnsi="Times New Roman" w:eastAsia="宋体" w:cs="宋体"/>
          <w:color w:val="auto"/>
          <w:sz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ascii="Times New Roman" w:hAnsi="Times New Roman" w:cs="Times New Roman"/>
          <w:b/>
          <w:color w:val="auto"/>
          <w:szCs w:val="21"/>
        </w:rPr>
      </w:pPr>
      <w:r>
        <w:rPr>
          <w:rFonts w:ascii="Times New Roman" w:hAnsi="Times New Roman" w:cs="Times New Roman"/>
          <w:b/>
          <w:color w:val="auto"/>
          <w:szCs w:val="21"/>
        </w:rPr>
        <w:t>表3</w:t>
      </w:r>
      <w:r>
        <w:rPr>
          <w:rFonts w:hint="eastAsia" w:ascii="Times New Roman" w:hAnsi="Times New Roman" w:cs="Times New Roman"/>
          <w:b/>
          <w:color w:val="auto"/>
          <w:szCs w:val="21"/>
        </w:rPr>
        <w:t>.3-</w:t>
      </w:r>
      <w:r>
        <w:rPr>
          <w:rFonts w:ascii="Times New Roman" w:hAnsi="Times New Roman" w:cs="Times New Roman"/>
          <w:b/>
          <w:color w:val="auto"/>
          <w:szCs w:val="21"/>
        </w:rPr>
        <w:t>1</w:t>
      </w:r>
      <w:r>
        <w:rPr>
          <w:rFonts w:hint="eastAsia" w:ascii="Times New Roman" w:hAnsi="Times New Roman" w:cs="Times New Roman"/>
          <w:b/>
          <w:color w:val="auto"/>
          <w:szCs w:val="21"/>
          <w:lang w:val="en-US" w:eastAsia="zh-CN"/>
        </w:rPr>
        <w:t xml:space="preserve">  </w:t>
      </w:r>
      <w:r>
        <w:rPr>
          <w:rFonts w:ascii="Times New Roman" w:hAnsi="Times New Roman" w:cs="Times New Roman"/>
          <w:b/>
          <w:color w:val="auto"/>
          <w:szCs w:val="21"/>
        </w:rPr>
        <w:t>工程建设情况对照表</w:t>
      </w:r>
    </w:p>
    <w:tbl>
      <w:tblPr>
        <w:tblStyle w:val="29"/>
        <w:tblW w:w="4996"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31"/>
        <w:gridCol w:w="825"/>
        <w:gridCol w:w="4871"/>
        <w:gridCol w:w="4940"/>
        <w:gridCol w:w="295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255" w:type="pct"/>
            <w:tcBorders>
              <w:tl2br w:val="nil"/>
              <w:tr2bl w:val="nil"/>
            </w:tcBorders>
            <w:noWrap w:val="0"/>
            <w:vAlign w:val="center"/>
          </w:tcPr>
          <w:p>
            <w:pPr>
              <w:jc w:val="center"/>
              <w:rPr>
                <w:rFonts w:hint="eastAsia" w:ascii="Times New Roman" w:hAnsi="Times New Roman" w:eastAsia="宋体" w:cs="宋体"/>
                <w:b/>
                <w:bCs/>
                <w:color w:val="auto"/>
                <w:szCs w:val="21"/>
                <w:lang w:eastAsia="zh-CN"/>
              </w:rPr>
            </w:pPr>
            <w:r>
              <w:rPr>
                <w:rFonts w:hint="eastAsia" w:ascii="Times New Roman" w:hAnsi="Times New Roman" w:eastAsia="宋体" w:cs="宋体"/>
                <w:b/>
                <w:bCs/>
                <w:color w:val="auto"/>
                <w:szCs w:val="21"/>
                <w:lang w:eastAsia="zh-CN"/>
              </w:rPr>
              <w:t>工程类别</w:t>
            </w:r>
          </w:p>
        </w:tc>
        <w:tc>
          <w:tcPr>
            <w:tcW w:w="288" w:type="pct"/>
            <w:tcBorders>
              <w:tl2br w:val="nil"/>
              <w:tr2bl w:val="nil"/>
            </w:tcBorders>
            <w:noWrap w:val="0"/>
            <w:vAlign w:val="center"/>
          </w:tcPr>
          <w:p>
            <w:pPr>
              <w:jc w:val="center"/>
              <w:rPr>
                <w:rFonts w:hint="eastAsia" w:ascii="Times New Roman" w:hAnsi="Times New Roman" w:eastAsia="宋体" w:cs="宋体"/>
                <w:b/>
                <w:bCs/>
                <w:color w:val="auto"/>
                <w:szCs w:val="21"/>
                <w:lang w:eastAsia="zh-CN"/>
              </w:rPr>
            </w:pPr>
            <w:r>
              <w:rPr>
                <w:rFonts w:hint="eastAsia" w:ascii="Times New Roman" w:hAnsi="Times New Roman" w:eastAsia="宋体" w:cs="宋体"/>
                <w:b/>
                <w:bCs/>
                <w:color w:val="auto"/>
                <w:szCs w:val="21"/>
                <w:lang w:eastAsia="zh-CN"/>
              </w:rPr>
              <w:t>单项工程名称</w:t>
            </w:r>
          </w:p>
        </w:tc>
        <w:tc>
          <w:tcPr>
            <w:tcW w:w="1700" w:type="pct"/>
            <w:tcBorders>
              <w:tl2br w:val="nil"/>
              <w:tr2bl w:val="nil"/>
            </w:tcBorders>
            <w:noWrap w:val="0"/>
            <w:vAlign w:val="center"/>
          </w:tcPr>
          <w:p>
            <w:pPr>
              <w:jc w:val="center"/>
              <w:rPr>
                <w:rFonts w:hint="eastAsia" w:ascii="Times New Roman" w:hAnsi="Times New Roman" w:eastAsia="宋体" w:cs="宋体"/>
                <w:b/>
                <w:bCs/>
                <w:color w:val="auto"/>
                <w:szCs w:val="21"/>
                <w:lang w:eastAsia="zh-CN"/>
              </w:rPr>
            </w:pPr>
            <w:r>
              <w:rPr>
                <w:rFonts w:hint="eastAsia" w:ascii="Times New Roman" w:hAnsi="Times New Roman" w:eastAsia="宋体" w:cs="宋体"/>
                <w:b/>
                <w:bCs/>
                <w:color w:val="auto"/>
                <w:szCs w:val="21"/>
                <w:lang w:eastAsia="zh-CN"/>
              </w:rPr>
              <w:t>环评内容</w:t>
            </w:r>
          </w:p>
        </w:tc>
        <w:tc>
          <w:tcPr>
            <w:tcW w:w="1724" w:type="pct"/>
            <w:tcBorders>
              <w:tl2br w:val="nil"/>
              <w:tr2bl w:val="nil"/>
            </w:tcBorders>
            <w:noWrap w:val="0"/>
            <w:vAlign w:val="center"/>
          </w:tcPr>
          <w:p>
            <w:pPr>
              <w:jc w:val="center"/>
              <w:rPr>
                <w:rFonts w:hint="eastAsia" w:ascii="Times New Roman" w:hAnsi="Times New Roman" w:eastAsia="宋体" w:cs="宋体"/>
                <w:b/>
                <w:bCs/>
                <w:color w:val="auto"/>
                <w:szCs w:val="21"/>
                <w:lang w:eastAsia="zh-CN"/>
              </w:rPr>
            </w:pPr>
            <w:r>
              <w:rPr>
                <w:rFonts w:hint="eastAsia" w:ascii="Times New Roman" w:hAnsi="Times New Roman" w:eastAsia="宋体" w:cs="宋体"/>
                <w:b/>
                <w:bCs/>
                <w:color w:val="auto"/>
                <w:szCs w:val="21"/>
                <w:lang w:eastAsia="zh-CN"/>
              </w:rPr>
              <w:t>实际建设情况</w:t>
            </w:r>
          </w:p>
        </w:tc>
        <w:tc>
          <w:tcPr>
            <w:tcW w:w="1031" w:type="pct"/>
            <w:tcBorders>
              <w:tl2br w:val="nil"/>
              <w:tr2bl w:val="nil"/>
            </w:tcBorders>
            <w:noWrap w:val="0"/>
            <w:vAlign w:val="center"/>
          </w:tcPr>
          <w:p>
            <w:pPr>
              <w:jc w:val="center"/>
              <w:rPr>
                <w:rFonts w:hint="eastAsia" w:ascii="Times New Roman" w:hAnsi="Times New Roman" w:eastAsia="宋体" w:cs="宋体"/>
                <w:b/>
                <w:bCs/>
                <w:color w:val="auto"/>
                <w:szCs w:val="21"/>
                <w:lang w:eastAsia="zh-CN"/>
              </w:rPr>
            </w:pPr>
            <w:r>
              <w:rPr>
                <w:rFonts w:hint="eastAsia" w:ascii="Times New Roman" w:hAnsi="Times New Roman" w:eastAsia="宋体" w:cs="宋体"/>
                <w:b/>
                <w:bCs/>
                <w:color w:val="auto"/>
                <w:szCs w:val="21"/>
                <w:lang w:eastAsia="zh-CN"/>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5" w:type="pct"/>
            <w:vMerge w:val="restart"/>
            <w:tcBorders>
              <w:tl2br w:val="nil"/>
              <w:tr2bl w:val="nil"/>
            </w:tcBorders>
            <w:noWrap w:val="0"/>
            <w:vAlign w:val="center"/>
          </w:tcPr>
          <w:p>
            <w:pPr>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rPr>
              <w:t>主体</w:t>
            </w:r>
          </w:p>
          <w:p>
            <w:pPr>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rPr>
              <w:t>工程</w:t>
            </w:r>
          </w:p>
        </w:tc>
        <w:tc>
          <w:tcPr>
            <w:tcW w:w="288" w:type="pct"/>
            <w:tcBorders>
              <w:tl2br w:val="nil"/>
              <w:tr2bl w:val="nil"/>
            </w:tcBorders>
            <w:noWrap w:val="0"/>
            <w:vAlign w:val="center"/>
          </w:tcPr>
          <w:p>
            <w:pPr>
              <w:jc w:val="center"/>
              <w:rPr>
                <w:rFonts w:hint="eastAsia" w:ascii="Times New Roman" w:hAnsi="Times New Roman" w:eastAsia="宋体" w:cs="宋体"/>
                <w:color w:val="auto"/>
                <w:sz w:val="21"/>
                <w:szCs w:val="21"/>
              </w:rPr>
            </w:pPr>
            <w:r>
              <w:rPr>
                <w:rFonts w:hint="eastAsia" w:ascii="Times New Roman" w:hAnsi="Times New Roman" w:eastAsia="宋体" w:cs="宋体"/>
                <w:color w:val="auto"/>
                <w:sz w:val="21"/>
                <w:szCs w:val="21"/>
              </w:rPr>
              <w:t>库区工程</w:t>
            </w:r>
          </w:p>
        </w:tc>
        <w:tc>
          <w:tcPr>
            <w:tcW w:w="1700" w:type="pct"/>
            <w:tcBorders>
              <w:tl2br w:val="nil"/>
              <w:tr2bl w:val="nil"/>
            </w:tcBorders>
            <w:noWrap w:val="0"/>
            <w:vAlign w:val="center"/>
          </w:tcPr>
          <w:p>
            <w:pPr>
              <w:jc w:val="center"/>
              <w:rPr>
                <w:rFonts w:hint="eastAsia" w:ascii="Times New Roman" w:hAnsi="Times New Roman" w:eastAsia="宋体" w:cs="宋体"/>
                <w:color w:val="auto"/>
                <w:sz w:val="21"/>
                <w:szCs w:val="21"/>
              </w:rPr>
            </w:pPr>
            <w:r>
              <w:rPr>
                <w:rFonts w:hint="eastAsia" w:ascii="Times New Roman" w:hAnsi="Times New Roman" w:eastAsia="宋体" w:cs="宋体"/>
                <w:color w:val="auto"/>
                <w:sz w:val="21"/>
                <w:szCs w:val="21"/>
              </w:rPr>
              <w:t>拟建库区占地面积</w:t>
            </w:r>
            <w:r>
              <w:rPr>
                <w:rFonts w:hint="eastAsia" w:ascii="Times New Roman" w:hAnsi="Times New Roman" w:eastAsia="宋体" w:cs="宋体"/>
                <w:color w:val="auto"/>
                <w:sz w:val="21"/>
                <w:szCs w:val="21"/>
                <w:lang w:eastAsia="zh-CN"/>
              </w:rPr>
              <w:t>12000平方米</w:t>
            </w:r>
            <w:r>
              <w:rPr>
                <w:rFonts w:hint="eastAsia" w:ascii="Times New Roman" w:hAnsi="Times New Roman" w:eastAsia="宋体" w:cs="宋体"/>
                <w:color w:val="auto"/>
                <w:sz w:val="21"/>
                <w:szCs w:val="21"/>
              </w:rPr>
              <w:t>，库区垃圾主坝坝顶标高为37m，坝顶宽3m，坝轴线长</w:t>
            </w:r>
            <w:r>
              <w:rPr>
                <w:rFonts w:hint="eastAsia" w:ascii="Times New Roman" w:hAnsi="Times New Roman" w:eastAsia="宋体" w:cs="宋体"/>
                <w:color w:val="auto"/>
                <w:sz w:val="21"/>
                <w:szCs w:val="21"/>
                <w:lang w:val="en-US" w:eastAsia="zh-CN"/>
              </w:rPr>
              <w:t>10</w:t>
            </w:r>
            <w:r>
              <w:rPr>
                <w:rFonts w:hint="eastAsia" w:ascii="Times New Roman" w:hAnsi="Times New Roman" w:eastAsia="宋体" w:cs="宋体"/>
                <w:color w:val="auto"/>
                <w:sz w:val="21"/>
                <w:szCs w:val="21"/>
              </w:rPr>
              <w:t>0m、坝体上游坡度为1:0.2，下游坡度为1:0.25</w:t>
            </w:r>
            <w:r>
              <w:rPr>
                <w:rFonts w:hint="eastAsia" w:ascii="Times New Roman" w:hAnsi="Times New Roman" w:eastAsia="宋体" w:cs="宋体"/>
                <w:color w:val="auto"/>
                <w:sz w:val="21"/>
                <w:szCs w:val="21"/>
                <w:lang w:eastAsia="zh-CN"/>
              </w:rPr>
              <w:t>。</w:t>
            </w:r>
            <w:r>
              <w:rPr>
                <w:rFonts w:hint="eastAsia" w:ascii="Times New Roman" w:hAnsi="Times New Roman" w:eastAsia="宋体" w:cs="宋体"/>
                <w:color w:val="auto"/>
                <w:sz w:val="21"/>
                <w:szCs w:val="21"/>
              </w:rPr>
              <w:t>填埋库区设计总库容约</w:t>
            </w:r>
            <w:r>
              <w:rPr>
                <w:rFonts w:hint="eastAsia" w:ascii="Times New Roman" w:hAnsi="Times New Roman" w:eastAsia="宋体" w:cs="宋体"/>
                <w:color w:val="auto"/>
                <w:sz w:val="21"/>
                <w:szCs w:val="21"/>
                <w:lang w:val="en-US" w:eastAsia="zh-CN"/>
              </w:rPr>
              <w:t>15</w:t>
            </w:r>
            <w:r>
              <w:rPr>
                <w:rFonts w:hint="eastAsia" w:ascii="Times New Roman" w:hAnsi="Times New Roman" w:eastAsia="宋体" w:cs="宋体"/>
                <w:color w:val="auto"/>
                <w:sz w:val="21"/>
                <w:szCs w:val="21"/>
              </w:rPr>
              <w:t>万m</w:t>
            </w:r>
            <w:r>
              <w:rPr>
                <w:rFonts w:hint="eastAsia" w:ascii="Times New Roman" w:hAnsi="Times New Roman" w:eastAsia="宋体" w:cs="宋体"/>
                <w:color w:val="auto"/>
                <w:sz w:val="21"/>
                <w:szCs w:val="21"/>
                <w:vertAlign w:val="superscript"/>
              </w:rPr>
              <w:t>3</w:t>
            </w:r>
            <w:r>
              <w:rPr>
                <w:rFonts w:hint="eastAsia" w:ascii="Times New Roman" w:hAnsi="Times New Roman" w:eastAsia="宋体" w:cs="宋体"/>
                <w:color w:val="auto"/>
                <w:sz w:val="21"/>
                <w:szCs w:val="21"/>
              </w:rPr>
              <w:t>。</w:t>
            </w:r>
          </w:p>
        </w:tc>
        <w:tc>
          <w:tcPr>
            <w:tcW w:w="1724" w:type="pct"/>
            <w:tcBorders>
              <w:tl2br w:val="nil"/>
              <w:tr2bl w:val="nil"/>
            </w:tcBorders>
            <w:noWrap w:val="0"/>
            <w:vAlign w:val="center"/>
          </w:tcPr>
          <w:p>
            <w:pPr>
              <w:jc w:val="center"/>
              <w:rPr>
                <w:rFonts w:hint="eastAsia" w:ascii="Times New Roman" w:hAnsi="Times New Roman" w:eastAsia="宋体" w:cs="宋体"/>
                <w:color w:val="auto"/>
                <w:sz w:val="21"/>
                <w:szCs w:val="21"/>
              </w:rPr>
            </w:pPr>
            <w:r>
              <w:rPr>
                <w:rFonts w:hint="eastAsia" w:ascii="Times New Roman" w:hAnsi="Times New Roman" w:eastAsia="宋体" w:cs="宋体"/>
                <w:color w:val="auto"/>
                <w:sz w:val="21"/>
                <w:szCs w:val="21"/>
              </w:rPr>
              <w:t>库区占地面积</w:t>
            </w:r>
            <w:r>
              <w:rPr>
                <w:rFonts w:hint="eastAsia" w:ascii="Times New Roman" w:hAnsi="Times New Roman" w:eastAsia="宋体" w:cs="宋体"/>
                <w:color w:val="auto"/>
                <w:sz w:val="21"/>
                <w:szCs w:val="21"/>
                <w:lang w:eastAsia="zh-CN"/>
              </w:rPr>
              <w:t>12000平方米</w:t>
            </w:r>
            <w:r>
              <w:rPr>
                <w:rFonts w:hint="eastAsia" w:ascii="Times New Roman" w:hAnsi="Times New Roman" w:eastAsia="宋体" w:cs="宋体"/>
                <w:color w:val="auto"/>
                <w:sz w:val="21"/>
                <w:szCs w:val="21"/>
              </w:rPr>
              <w:t>，库区垃圾主坝坝顶标高为37m，坝顶宽3m，坝轴线长</w:t>
            </w:r>
            <w:r>
              <w:rPr>
                <w:rFonts w:hint="eastAsia" w:ascii="Times New Roman" w:hAnsi="Times New Roman" w:eastAsia="宋体" w:cs="宋体"/>
                <w:color w:val="auto"/>
                <w:sz w:val="21"/>
                <w:szCs w:val="21"/>
                <w:lang w:val="en-US" w:eastAsia="zh-CN"/>
              </w:rPr>
              <w:t>10</w:t>
            </w:r>
            <w:r>
              <w:rPr>
                <w:rFonts w:hint="eastAsia" w:ascii="Times New Roman" w:hAnsi="Times New Roman" w:eastAsia="宋体" w:cs="宋体"/>
                <w:color w:val="auto"/>
                <w:sz w:val="21"/>
                <w:szCs w:val="21"/>
              </w:rPr>
              <w:t>0m、坝体上游坡度为1:0.2，下游坡度为1:0.25</w:t>
            </w:r>
            <w:r>
              <w:rPr>
                <w:rFonts w:hint="eastAsia" w:ascii="Times New Roman" w:hAnsi="Times New Roman" w:eastAsia="宋体" w:cs="宋体"/>
                <w:color w:val="auto"/>
                <w:sz w:val="21"/>
                <w:szCs w:val="21"/>
                <w:lang w:eastAsia="zh-CN"/>
              </w:rPr>
              <w:t>。</w:t>
            </w:r>
            <w:r>
              <w:rPr>
                <w:rFonts w:hint="eastAsia" w:ascii="Times New Roman" w:hAnsi="Times New Roman" w:eastAsia="宋体" w:cs="宋体"/>
                <w:color w:val="auto"/>
                <w:sz w:val="21"/>
                <w:szCs w:val="21"/>
              </w:rPr>
              <w:t>填埋库区总库容约</w:t>
            </w:r>
            <w:r>
              <w:rPr>
                <w:rFonts w:hint="eastAsia" w:ascii="Times New Roman" w:hAnsi="Times New Roman" w:eastAsia="宋体" w:cs="宋体"/>
                <w:color w:val="auto"/>
                <w:sz w:val="21"/>
                <w:szCs w:val="21"/>
                <w:lang w:val="en-US" w:eastAsia="zh-CN"/>
              </w:rPr>
              <w:t>14.8</w:t>
            </w:r>
            <w:r>
              <w:rPr>
                <w:rFonts w:hint="eastAsia" w:ascii="Times New Roman" w:hAnsi="Times New Roman" w:eastAsia="宋体" w:cs="宋体"/>
                <w:color w:val="auto"/>
                <w:sz w:val="21"/>
                <w:szCs w:val="21"/>
              </w:rPr>
              <w:t>万m</w:t>
            </w:r>
            <w:r>
              <w:rPr>
                <w:rFonts w:hint="eastAsia" w:ascii="Times New Roman" w:hAnsi="Times New Roman" w:eastAsia="宋体" w:cs="宋体"/>
                <w:color w:val="auto"/>
                <w:sz w:val="21"/>
                <w:szCs w:val="21"/>
                <w:vertAlign w:val="superscript"/>
              </w:rPr>
              <w:t>3</w:t>
            </w:r>
            <w:r>
              <w:rPr>
                <w:rFonts w:hint="eastAsia" w:ascii="Times New Roman" w:hAnsi="Times New Roman" w:eastAsia="宋体" w:cs="宋体"/>
                <w:color w:val="auto"/>
                <w:sz w:val="21"/>
                <w:szCs w:val="21"/>
              </w:rPr>
              <w:t>。</w:t>
            </w:r>
          </w:p>
        </w:tc>
        <w:tc>
          <w:tcPr>
            <w:tcW w:w="1031" w:type="pct"/>
            <w:tcBorders>
              <w:tl2br w:val="nil"/>
              <w:tr2bl w:val="nil"/>
            </w:tcBorders>
            <w:noWrap w:val="0"/>
            <w:vAlign w:val="center"/>
          </w:tcPr>
          <w:p>
            <w:pPr>
              <w:jc w:val="center"/>
              <w:rPr>
                <w:rFonts w:hint="eastAsia" w:ascii="Times New Roman" w:hAnsi="Times New Roman" w:eastAsia="宋体" w:cs="宋体"/>
                <w:color w:val="auto"/>
                <w:sz w:val="21"/>
                <w:szCs w:val="21"/>
                <w:lang w:eastAsia="zh-CN"/>
              </w:rPr>
            </w:pPr>
            <w:r>
              <w:rPr>
                <w:rFonts w:hint="eastAsia" w:ascii="Times New Roman" w:hAnsi="Times New Roman" w:eastAsia="宋体" w:cs="宋体"/>
                <w:color w:val="auto"/>
                <w:sz w:val="21"/>
                <w:szCs w:val="21"/>
                <w:lang w:eastAsia="zh-CN"/>
              </w:rPr>
              <w:t>一致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5" w:type="pct"/>
            <w:vMerge w:val="continue"/>
            <w:tcBorders>
              <w:tl2br w:val="nil"/>
              <w:tr2bl w:val="nil"/>
            </w:tcBorders>
            <w:noWrap w:val="0"/>
            <w:vAlign w:val="center"/>
          </w:tcPr>
          <w:p>
            <w:pPr>
              <w:jc w:val="center"/>
              <w:rPr>
                <w:rFonts w:hint="eastAsia" w:ascii="Times New Roman" w:hAnsi="Times New Roman" w:eastAsia="宋体" w:cs="宋体"/>
                <w:color w:val="auto"/>
                <w:szCs w:val="21"/>
              </w:rPr>
            </w:pPr>
          </w:p>
        </w:tc>
        <w:tc>
          <w:tcPr>
            <w:tcW w:w="288" w:type="pct"/>
            <w:tcBorders>
              <w:tl2br w:val="nil"/>
              <w:tr2bl w:val="nil"/>
            </w:tcBorders>
            <w:noWrap w:val="0"/>
            <w:vAlign w:val="center"/>
          </w:tcPr>
          <w:p>
            <w:pPr>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rPr>
              <w:t>防渗</w:t>
            </w:r>
            <w:r>
              <w:rPr>
                <w:rFonts w:hint="eastAsia" w:ascii="Times New Roman" w:hAnsi="Times New Roman" w:eastAsia="宋体" w:cs="宋体"/>
                <w:color w:val="auto"/>
                <w:szCs w:val="21"/>
                <w:lang w:eastAsia="zh-CN"/>
              </w:rPr>
              <w:t>工程</w:t>
            </w:r>
          </w:p>
        </w:tc>
        <w:tc>
          <w:tcPr>
            <w:tcW w:w="1700" w:type="pct"/>
            <w:tcBorders>
              <w:tl2br w:val="nil"/>
              <w:tr2bl w:val="nil"/>
            </w:tcBorders>
            <w:noWrap w:val="0"/>
            <w:vAlign w:val="center"/>
          </w:tcPr>
          <w:p>
            <w:pPr>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rPr>
              <w:t>工程采用</w:t>
            </w:r>
            <w:r>
              <w:rPr>
                <w:rFonts w:hint="eastAsia" w:ascii="Times New Roman" w:hAnsi="Times New Roman" w:eastAsia="宋体" w:cs="宋体"/>
                <w:color w:val="auto"/>
                <w:szCs w:val="21"/>
                <w:lang w:eastAsia="zh-CN"/>
              </w:rPr>
              <w:t>人工</w:t>
            </w:r>
            <w:r>
              <w:rPr>
                <w:rFonts w:hint="eastAsia" w:ascii="Times New Roman" w:hAnsi="Times New Roman" w:eastAsia="宋体" w:cs="宋体"/>
                <w:color w:val="auto"/>
                <w:szCs w:val="21"/>
              </w:rPr>
              <w:t>水平防渗系统</w:t>
            </w:r>
            <w:r>
              <w:rPr>
                <w:rFonts w:hint="eastAsia" w:ascii="Times New Roman" w:hAnsi="Times New Roman" w:eastAsia="宋体" w:cs="宋体"/>
                <w:color w:val="auto"/>
                <w:szCs w:val="21"/>
                <w:lang w:eastAsia="zh-CN"/>
              </w:rPr>
              <w:t>，填埋场贮存库区采用水平复合防渗结构，防渗结构设计包括场底防渗、边坡防渗、防渗系统的锚固等</w:t>
            </w:r>
            <w:r>
              <w:rPr>
                <w:rFonts w:hint="eastAsia" w:ascii="Times New Roman" w:hAnsi="Times New Roman" w:eastAsia="宋体" w:cs="宋体"/>
                <w:color w:val="auto"/>
                <w:szCs w:val="21"/>
              </w:rPr>
              <w:t>。</w:t>
            </w:r>
            <w:r>
              <w:rPr>
                <w:rFonts w:hint="eastAsia" w:ascii="Times New Roman" w:hAnsi="Times New Roman" w:eastAsia="宋体" w:cs="宋体"/>
                <w:color w:val="auto"/>
                <w:szCs w:val="21"/>
                <w:lang w:eastAsia="zh-CN"/>
              </w:rPr>
              <w:t>衬里材料采用高密度聚乙烯防渗膜，要求天然或人工防渗材料的渗透系数不应大于1.0×10</w:t>
            </w:r>
            <w:r>
              <w:rPr>
                <w:rFonts w:hint="eastAsia" w:ascii="Times New Roman" w:hAnsi="Times New Roman" w:eastAsia="宋体" w:cs="宋体"/>
                <w:color w:val="auto"/>
                <w:szCs w:val="21"/>
                <w:vertAlign w:val="superscript"/>
                <w:lang w:eastAsia="zh-CN"/>
              </w:rPr>
              <w:t>-7</w:t>
            </w:r>
            <w:r>
              <w:rPr>
                <w:rFonts w:hint="eastAsia" w:ascii="Times New Roman" w:hAnsi="Times New Roman" w:eastAsia="宋体" w:cs="宋体"/>
                <w:color w:val="auto"/>
                <w:szCs w:val="21"/>
                <w:lang w:eastAsia="zh-CN"/>
              </w:rPr>
              <w:t>cm/s。</w:t>
            </w:r>
          </w:p>
        </w:tc>
        <w:tc>
          <w:tcPr>
            <w:tcW w:w="1724" w:type="pct"/>
            <w:tcBorders>
              <w:tl2br w:val="nil"/>
              <w:tr2bl w:val="nil"/>
            </w:tcBorders>
            <w:noWrap w:val="0"/>
            <w:vAlign w:val="center"/>
          </w:tcPr>
          <w:p>
            <w:pPr>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rPr>
              <w:t>工程采用</w:t>
            </w:r>
            <w:r>
              <w:rPr>
                <w:rFonts w:hint="eastAsia" w:ascii="Times New Roman" w:hAnsi="Times New Roman" w:eastAsia="宋体" w:cs="宋体"/>
                <w:color w:val="auto"/>
                <w:szCs w:val="21"/>
                <w:lang w:eastAsia="zh-CN"/>
              </w:rPr>
              <w:t>人工</w:t>
            </w:r>
            <w:r>
              <w:rPr>
                <w:rFonts w:hint="eastAsia" w:ascii="Times New Roman" w:hAnsi="Times New Roman" w:eastAsia="宋体" w:cs="宋体"/>
                <w:color w:val="auto"/>
                <w:szCs w:val="21"/>
              </w:rPr>
              <w:t>水平防渗系统</w:t>
            </w:r>
            <w:r>
              <w:rPr>
                <w:rFonts w:hint="eastAsia" w:ascii="Times New Roman" w:hAnsi="Times New Roman" w:eastAsia="宋体" w:cs="宋体"/>
                <w:color w:val="auto"/>
                <w:szCs w:val="21"/>
                <w:lang w:eastAsia="zh-CN"/>
              </w:rPr>
              <w:t>，填埋场贮存库区采用水平复合防渗结构，防渗结构设计包括场底防渗、边坡防渗、防渗系统的锚固等</w:t>
            </w:r>
            <w:r>
              <w:rPr>
                <w:rFonts w:hint="eastAsia" w:ascii="Times New Roman" w:hAnsi="Times New Roman" w:eastAsia="宋体" w:cs="宋体"/>
                <w:color w:val="auto"/>
                <w:szCs w:val="21"/>
              </w:rPr>
              <w:t>。</w:t>
            </w:r>
            <w:r>
              <w:rPr>
                <w:rFonts w:hint="eastAsia" w:ascii="Times New Roman" w:hAnsi="Times New Roman" w:eastAsia="宋体" w:cs="宋体"/>
                <w:color w:val="auto"/>
                <w:szCs w:val="21"/>
                <w:lang w:eastAsia="zh-CN"/>
              </w:rPr>
              <w:t>衬里材料采用高密度聚乙烯防渗膜，人工防渗材料的渗透系数不大于</w:t>
            </w:r>
            <w:r>
              <w:rPr>
                <w:rFonts w:hint="eastAsia" w:ascii="Times New Roman" w:hAnsi="Times New Roman" w:eastAsia="宋体" w:cs="宋体"/>
                <w:color w:val="auto"/>
                <w:szCs w:val="21"/>
                <w:lang w:val="en-US" w:eastAsia="zh-CN"/>
              </w:rPr>
              <w:t>5</w:t>
            </w:r>
            <w:r>
              <w:rPr>
                <w:rFonts w:hint="eastAsia" w:ascii="Times New Roman" w:hAnsi="Times New Roman" w:eastAsia="宋体" w:cs="宋体"/>
                <w:color w:val="auto"/>
                <w:szCs w:val="21"/>
                <w:lang w:eastAsia="zh-CN"/>
              </w:rPr>
              <w:t>.0×10</w:t>
            </w:r>
            <w:r>
              <w:rPr>
                <w:rFonts w:hint="eastAsia" w:ascii="Times New Roman" w:hAnsi="Times New Roman" w:eastAsia="宋体" w:cs="宋体"/>
                <w:color w:val="auto"/>
                <w:szCs w:val="21"/>
                <w:vertAlign w:val="superscript"/>
                <w:lang w:eastAsia="zh-CN"/>
              </w:rPr>
              <w:t>-</w:t>
            </w:r>
            <w:r>
              <w:rPr>
                <w:rFonts w:hint="eastAsia" w:ascii="Times New Roman" w:hAnsi="Times New Roman" w:eastAsia="宋体" w:cs="宋体"/>
                <w:color w:val="auto"/>
                <w:szCs w:val="21"/>
                <w:vertAlign w:val="superscript"/>
                <w:lang w:val="en-US" w:eastAsia="zh-CN"/>
              </w:rPr>
              <w:t>8</w:t>
            </w:r>
            <w:r>
              <w:rPr>
                <w:rFonts w:hint="eastAsia" w:ascii="Times New Roman" w:hAnsi="Times New Roman" w:eastAsia="宋体" w:cs="宋体"/>
                <w:color w:val="auto"/>
                <w:szCs w:val="21"/>
                <w:lang w:eastAsia="zh-CN"/>
              </w:rPr>
              <w:t>cm/s。</w:t>
            </w:r>
          </w:p>
        </w:tc>
        <w:tc>
          <w:tcPr>
            <w:tcW w:w="1031" w:type="pct"/>
            <w:tcBorders>
              <w:tl2br w:val="nil"/>
              <w:tr2bl w:val="nil"/>
            </w:tcBorders>
            <w:noWrap w:val="0"/>
            <w:vAlign w:val="center"/>
          </w:tcPr>
          <w:p>
            <w:pPr>
              <w:jc w:val="center"/>
              <w:rPr>
                <w:rFonts w:hint="eastAsia" w:ascii="Times New Roman" w:hAnsi="Times New Roman" w:eastAsia="宋体" w:cs="宋体"/>
                <w:color w:val="auto"/>
                <w:szCs w:val="21"/>
              </w:rPr>
            </w:pPr>
            <w:r>
              <w:rPr>
                <w:rFonts w:hint="eastAsia" w:ascii="Times New Roman" w:hAnsi="Times New Roman" w:eastAsia="宋体" w:cs="宋体"/>
                <w:color w:val="auto"/>
                <w:sz w:val="21"/>
                <w:szCs w:val="21"/>
                <w:lang w:eastAsia="zh-CN"/>
              </w:rPr>
              <w:t>一致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5" w:type="pct"/>
            <w:vMerge w:val="continue"/>
            <w:tcBorders>
              <w:tl2br w:val="nil"/>
              <w:tr2bl w:val="nil"/>
            </w:tcBorders>
            <w:noWrap w:val="0"/>
            <w:vAlign w:val="center"/>
          </w:tcPr>
          <w:p>
            <w:pPr>
              <w:jc w:val="center"/>
              <w:rPr>
                <w:rFonts w:hint="eastAsia" w:ascii="Times New Roman" w:hAnsi="Times New Roman" w:eastAsia="宋体" w:cs="宋体"/>
                <w:color w:val="auto"/>
                <w:szCs w:val="21"/>
              </w:rPr>
            </w:pPr>
          </w:p>
        </w:tc>
        <w:tc>
          <w:tcPr>
            <w:tcW w:w="288" w:type="pct"/>
            <w:tcBorders>
              <w:tl2br w:val="nil"/>
              <w:tr2bl w:val="nil"/>
            </w:tcBorders>
            <w:noWrap w:val="0"/>
            <w:vAlign w:val="center"/>
          </w:tcPr>
          <w:p>
            <w:pPr>
              <w:jc w:val="center"/>
              <w:rPr>
                <w:rFonts w:hint="eastAsia" w:ascii="Times New Roman" w:hAnsi="Times New Roman" w:eastAsia="宋体" w:cs="宋体"/>
                <w:color w:val="auto"/>
                <w:szCs w:val="21"/>
                <w:lang w:eastAsia="zh-CN"/>
              </w:rPr>
            </w:pPr>
            <w:r>
              <w:rPr>
                <w:rFonts w:hint="eastAsia" w:ascii="Times New Roman" w:hAnsi="Times New Roman" w:eastAsia="宋体" w:cs="宋体"/>
                <w:color w:val="auto"/>
                <w:szCs w:val="21"/>
                <w:lang w:eastAsia="zh-CN"/>
              </w:rPr>
              <w:t>渗滤液收集系统</w:t>
            </w:r>
          </w:p>
        </w:tc>
        <w:tc>
          <w:tcPr>
            <w:tcW w:w="1700" w:type="pct"/>
            <w:tcBorders>
              <w:tl2br w:val="nil"/>
              <w:tr2bl w:val="nil"/>
            </w:tcBorders>
            <w:noWrap w:val="0"/>
            <w:vAlign w:val="center"/>
          </w:tcPr>
          <w:p>
            <w:pPr>
              <w:jc w:val="center"/>
              <w:rPr>
                <w:rFonts w:hint="eastAsia" w:ascii="Times New Roman" w:hAnsi="Times New Roman" w:eastAsia="宋体" w:cs="宋体"/>
                <w:color w:val="auto"/>
                <w:szCs w:val="21"/>
                <w:lang w:eastAsia="zh-CN"/>
              </w:rPr>
            </w:pPr>
            <w:r>
              <w:rPr>
                <w:rFonts w:hint="eastAsia" w:ascii="Times New Roman" w:hAnsi="Times New Roman" w:eastAsia="宋体" w:cs="宋体"/>
                <w:color w:val="auto"/>
                <w:szCs w:val="21"/>
                <w:lang w:eastAsia="zh-CN"/>
              </w:rPr>
              <w:t>渗滤液收集采用场底导渗盲沟的方式，填埋区场底渗滤液导排系统由场底导流层、导排盲沟、集水井组成。在对场底进行平整后敷设500mm厚的碎石导流层，在导流层内构建纵横交错的主盲沟和次盲沟。主盲沟沿基底构建的主脊线布置，以2</w:t>
            </w:r>
            <w:r>
              <w:rPr>
                <w:rFonts w:hint="eastAsia" w:ascii="Times New Roman" w:hAnsi="Times New Roman" w:eastAsia="宋体" w:cs="宋体"/>
                <w:color w:val="auto"/>
                <w:szCs w:val="21"/>
                <w:lang w:val="en-US" w:eastAsia="zh-CN"/>
              </w:rPr>
              <w:t>%</w:t>
            </w:r>
            <w:r>
              <w:rPr>
                <w:rFonts w:hint="eastAsia" w:ascii="Times New Roman" w:hAnsi="Times New Roman" w:eastAsia="宋体" w:cs="宋体"/>
                <w:color w:val="auto"/>
                <w:szCs w:val="21"/>
                <w:lang w:eastAsia="zh-CN"/>
              </w:rPr>
              <w:t>的坡度倾向渗滤液竖井，盲沟内安装DN400 HDPE 穿孔管；次盲沟沿主盲沟两侧布置，与主盲沟交错形成鱼鳞状导排体系，盲沟内安装DN200 HDPE 穿孔管。</w:t>
            </w:r>
          </w:p>
        </w:tc>
        <w:tc>
          <w:tcPr>
            <w:tcW w:w="1724" w:type="pct"/>
            <w:tcBorders>
              <w:tl2br w:val="nil"/>
              <w:tr2bl w:val="nil"/>
            </w:tcBorders>
            <w:noWrap w:val="0"/>
            <w:vAlign w:val="center"/>
          </w:tcPr>
          <w:p>
            <w:pPr>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Cs w:val="21"/>
                <w:lang w:eastAsia="zh-CN"/>
              </w:rPr>
              <w:t>渗滤液收集采用场底导渗盲沟的方式，填埋区场底渗滤液导排系统由场底导流层、导排盲沟、集水井组成。在对场底进行平整后敷设500mm厚的碎石导流层，在导流层内构建纵横交错的主盲沟和次盲沟。主盲沟沿基底构建的主脊线布置，以2</w:t>
            </w:r>
            <w:r>
              <w:rPr>
                <w:rFonts w:hint="eastAsia" w:ascii="Times New Roman" w:hAnsi="Times New Roman" w:eastAsia="宋体" w:cs="宋体"/>
                <w:color w:val="auto"/>
                <w:szCs w:val="21"/>
                <w:lang w:val="en-US" w:eastAsia="zh-CN"/>
              </w:rPr>
              <w:t>%</w:t>
            </w:r>
            <w:r>
              <w:rPr>
                <w:rFonts w:hint="eastAsia" w:ascii="Times New Roman" w:hAnsi="Times New Roman" w:eastAsia="宋体" w:cs="宋体"/>
                <w:color w:val="auto"/>
                <w:szCs w:val="21"/>
                <w:lang w:eastAsia="zh-CN"/>
              </w:rPr>
              <w:t>的坡度倾向渗滤液竖井，盲沟内安装DN400 HDPE 穿孔管；次盲沟沿主盲沟两侧布置，与主盲沟交错形成鱼鳞状导排体系，盲沟内安装DN200 HDPE 穿孔管。</w:t>
            </w:r>
          </w:p>
        </w:tc>
        <w:tc>
          <w:tcPr>
            <w:tcW w:w="1031" w:type="pct"/>
            <w:tcBorders>
              <w:tl2br w:val="nil"/>
              <w:tr2bl w:val="nil"/>
            </w:tcBorders>
            <w:noWrap w:val="0"/>
            <w:vAlign w:val="center"/>
          </w:tcPr>
          <w:p>
            <w:pPr>
              <w:jc w:val="center"/>
              <w:rPr>
                <w:rFonts w:hint="eastAsia" w:ascii="Times New Roman" w:hAnsi="Times New Roman" w:eastAsia="宋体" w:cs="宋体"/>
                <w:color w:val="auto"/>
                <w:szCs w:val="21"/>
                <w:lang w:eastAsia="zh-CN"/>
              </w:rPr>
            </w:pPr>
            <w:r>
              <w:rPr>
                <w:rFonts w:hint="eastAsia" w:ascii="Times New Roman" w:hAnsi="Times New Roman" w:eastAsia="宋体" w:cs="宋体"/>
                <w:color w:val="auto"/>
                <w:sz w:val="21"/>
                <w:szCs w:val="21"/>
                <w:lang w:eastAsia="zh-CN"/>
              </w:rPr>
              <w:t>一致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5" w:type="pct"/>
            <w:vMerge w:val="continue"/>
            <w:tcBorders>
              <w:tl2br w:val="nil"/>
              <w:tr2bl w:val="nil"/>
            </w:tcBorders>
            <w:noWrap w:val="0"/>
            <w:vAlign w:val="center"/>
          </w:tcPr>
          <w:p>
            <w:pPr>
              <w:jc w:val="center"/>
              <w:rPr>
                <w:rFonts w:hint="eastAsia" w:ascii="Times New Roman" w:hAnsi="Times New Roman" w:eastAsia="宋体" w:cs="宋体"/>
                <w:color w:val="auto"/>
                <w:szCs w:val="21"/>
              </w:rPr>
            </w:pPr>
          </w:p>
        </w:tc>
        <w:tc>
          <w:tcPr>
            <w:tcW w:w="288" w:type="pct"/>
            <w:tcBorders>
              <w:tl2br w:val="nil"/>
              <w:tr2bl w:val="nil"/>
            </w:tcBorders>
            <w:noWrap w:val="0"/>
            <w:vAlign w:val="center"/>
          </w:tcPr>
          <w:p>
            <w:pPr>
              <w:jc w:val="center"/>
              <w:rPr>
                <w:rFonts w:hint="eastAsia" w:ascii="Times New Roman" w:hAnsi="Times New Roman" w:eastAsia="宋体" w:cs="宋体"/>
                <w:color w:val="auto"/>
                <w:szCs w:val="21"/>
                <w:lang w:eastAsia="zh-CN"/>
              </w:rPr>
            </w:pPr>
            <w:r>
              <w:rPr>
                <w:rFonts w:hint="eastAsia" w:ascii="Times New Roman" w:hAnsi="Times New Roman" w:eastAsia="宋体" w:cs="宋体"/>
                <w:color w:val="auto"/>
                <w:szCs w:val="21"/>
                <w:lang w:eastAsia="zh-CN"/>
              </w:rPr>
              <w:t>防洪工程（</w:t>
            </w:r>
            <w:r>
              <w:rPr>
                <w:rFonts w:hint="eastAsia" w:ascii="Times New Roman" w:hAnsi="Times New Roman" w:eastAsia="宋体" w:cs="宋体"/>
                <w:color w:val="auto"/>
                <w:szCs w:val="21"/>
              </w:rPr>
              <w:t>雨水导排系统</w:t>
            </w:r>
            <w:r>
              <w:rPr>
                <w:rFonts w:hint="eastAsia" w:ascii="Times New Roman" w:hAnsi="Times New Roman" w:eastAsia="宋体" w:cs="宋体"/>
                <w:color w:val="auto"/>
                <w:szCs w:val="21"/>
                <w:lang w:eastAsia="zh-CN"/>
              </w:rPr>
              <w:t>）</w:t>
            </w:r>
          </w:p>
        </w:tc>
        <w:tc>
          <w:tcPr>
            <w:tcW w:w="1700" w:type="pct"/>
            <w:tcBorders>
              <w:tl2br w:val="nil"/>
              <w:tr2bl w:val="nil"/>
            </w:tcBorders>
            <w:noWrap w:val="0"/>
            <w:vAlign w:val="center"/>
          </w:tcPr>
          <w:p>
            <w:pPr>
              <w:jc w:val="center"/>
              <w:rPr>
                <w:rFonts w:hint="eastAsia" w:ascii="Times New Roman" w:hAnsi="Times New Roman" w:eastAsia="宋体" w:cs="宋体"/>
                <w:color w:val="auto"/>
                <w:szCs w:val="21"/>
                <w:lang w:eastAsia="zh-CN"/>
              </w:rPr>
            </w:pPr>
            <w:r>
              <w:rPr>
                <w:rFonts w:hint="eastAsia" w:ascii="Times New Roman" w:hAnsi="Times New Roman" w:eastAsia="宋体" w:cs="宋体"/>
                <w:color w:val="auto"/>
                <w:szCs w:val="21"/>
                <w:lang w:eastAsia="zh-CN"/>
              </w:rPr>
              <w:t>排水沟断面尺寸为0.8m×0.8m，设计超高为0.2m。雨水经导排后最终从填埋库区西南侧进入附近地表水体或者排水沟。对于堆体顶面排水，设计考虑填埋后单元顶部形成不小于5%的斜坡，汇集的雨水就近排入环库区排水沟，最终进入地表水体。在已铺设HDPE膜，但尚未填埋垃圾的作业区内，利用HDPE膜的锚固沟设置排水边沟，以防止锚固沟以上的汇集雨水的进入。填埋作业区每隔5～10m标高设置一条排水边沟，边沟采用“L”形预制混凝土板沟，板与膜之间采用土工布隔离保护。在被垃圾固化物填埋后，排水边沟改造成渗滤液导排沟。</w:t>
            </w:r>
          </w:p>
        </w:tc>
        <w:tc>
          <w:tcPr>
            <w:tcW w:w="1724" w:type="pct"/>
            <w:tcBorders>
              <w:tl2br w:val="nil"/>
              <w:tr2bl w:val="nil"/>
            </w:tcBorders>
            <w:noWrap w:val="0"/>
            <w:vAlign w:val="center"/>
          </w:tcPr>
          <w:p>
            <w:pPr>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Cs w:val="21"/>
                <w:lang w:eastAsia="zh-CN"/>
              </w:rPr>
              <w:t>排水沟断面尺寸为0.8m×0.8m，设计超高为0.2m。雨水经导排后最终从填埋库区西南侧进入雨水收集池，通过泵送到南侧垃圾填埋场处理。对于堆体顶面排水，考虑填埋后单元顶部形成不小于5%的斜坡，汇集的雨水就近排入环库区排水沟，最终进入地表水体。在已铺设HDPE膜，但尚未填埋垃圾的作业区内，利用HDPE膜的锚固沟设置排水边沟，防止锚固沟以上的汇集雨水的进入。填埋作业区每隔5～10m标高设置一条排水边沟，边沟采用“L”形预制混凝土板沟，板与膜之间采用土工布隔离保护。在被垃圾固化物填埋后，排水边沟改造成渗滤液导排沟。</w:t>
            </w:r>
          </w:p>
        </w:tc>
        <w:tc>
          <w:tcPr>
            <w:tcW w:w="1031" w:type="pct"/>
            <w:tcBorders>
              <w:tl2br w:val="nil"/>
              <w:tr2bl w:val="nil"/>
            </w:tcBorders>
            <w:noWrap w:val="0"/>
            <w:vAlign w:val="center"/>
          </w:tcPr>
          <w:p>
            <w:pPr>
              <w:jc w:val="center"/>
              <w:rPr>
                <w:rFonts w:hint="eastAsia" w:ascii="Times New Roman" w:hAnsi="Times New Roman" w:eastAsia="宋体" w:cs="宋体"/>
                <w:color w:val="auto"/>
                <w:szCs w:val="21"/>
                <w:lang w:eastAsia="zh-CN"/>
              </w:rPr>
            </w:pPr>
            <w:r>
              <w:rPr>
                <w:rFonts w:hint="eastAsia" w:ascii="Times New Roman" w:hAnsi="Times New Roman" w:eastAsia="宋体" w:cs="宋体"/>
                <w:color w:val="auto"/>
                <w:szCs w:val="21"/>
                <w:lang w:eastAsia="zh-CN"/>
              </w:rPr>
              <w:t>实际运营中，初期雨水经导排后最终从填埋库区西南侧进入雨水收集池，通过泵送到南侧垃圾填埋场处理。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5" w:type="pct"/>
            <w:vMerge w:val="restart"/>
            <w:tcBorders>
              <w:tl2br w:val="nil"/>
              <w:tr2bl w:val="nil"/>
            </w:tcBorders>
            <w:noWrap w:val="0"/>
            <w:vAlign w:val="center"/>
          </w:tcPr>
          <w:p>
            <w:pPr>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rPr>
              <w:t>辅助工程</w:t>
            </w:r>
          </w:p>
        </w:tc>
        <w:tc>
          <w:tcPr>
            <w:tcW w:w="288" w:type="pct"/>
            <w:tcBorders>
              <w:tl2br w:val="nil"/>
              <w:tr2bl w:val="nil"/>
            </w:tcBorders>
            <w:noWrap w:val="0"/>
            <w:vAlign w:val="center"/>
          </w:tcPr>
          <w:p>
            <w:pPr>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rPr>
              <w:t>场区道路</w:t>
            </w:r>
          </w:p>
        </w:tc>
        <w:tc>
          <w:tcPr>
            <w:tcW w:w="1700" w:type="pct"/>
            <w:tcBorders>
              <w:tl2br w:val="nil"/>
              <w:tr2bl w:val="nil"/>
            </w:tcBorders>
            <w:noWrap w:val="0"/>
            <w:vAlign w:val="center"/>
          </w:tcPr>
          <w:p>
            <w:pPr>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rPr>
              <w:t>进场道路接入填埋场形成环场道路，环场道路全长约1500m，主要用于一般工业固废运输车与其他车辆的进场。道路车行道宽4.0m，两侧路肩各宽0.5m，单向1.5%的横坡，以利道路雨水排至库区外。</w:t>
            </w:r>
          </w:p>
        </w:tc>
        <w:tc>
          <w:tcPr>
            <w:tcW w:w="1724" w:type="pct"/>
            <w:tcBorders>
              <w:tl2br w:val="nil"/>
              <w:tr2bl w:val="nil"/>
            </w:tcBorders>
            <w:noWrap w:val="0"/>
            <w:vAlign w:val="center"/>
          </w:tcPr>
          <w:p>
            <w:pPr>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Cs w:val="21"/>
              </w:rPr>
              <w:t>进场道路接入填埋场形成环场道路，环场道路全长约1500m，主要用于一般工业固废运输车与其他车辆的进场。道路车行道宽4.0m，两侧路肩各宽0.5m，单向1.5%的横坡，以利道路雨水排至库区外。</w:t>
            </w:r>
          </w:p>
        </w:tc>
        <w:tc>
          <w:tcPr>
            <w:tcW w:w="1031" w:type="pct"/>
            <w:tcBorders>
              <w:tl2br w:val="nil"/>
              <w:tr2bl w:val="nil"/>
            </w:tcBorders>
            <w:noWrap w:val="0"/>
            <w:vAlign w:val="center"/>
          </w:tcPr>
          <w:p>
            <w:pPr>
              <w:jc w:val="center"/>
              <w:rPr>
                <w:rFonts w:hint="eastAsia" w:ascii="Times New Roman" w:hAnsi="Times New Roman" w:eastAsia="宋体" w:cs="宋体"/>
                <w:color w:val="auto"/>
                <w:szCs w:val="21"/>
              </w:rPr>
            </w:pPr>
            <w:r>
              <w:rPr>
                <w:rFonts w:hint="eastAsia" w:ascii="Times New Roman" w:hAnsi="Times New Roman" w:eastAsia="宋体" w:cs="宋体"/>
                <w:color w:val="auto"/>
                <w:sz w:val="21"/>
                <w:szCs w:val="21"/>
                <w:lang w:eastAsia="zh-CN"/>
              </w:rPr>
              <w:t>一致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5" w:type="pct"/>
            <w:vMerge w:val="continue"/>
            <w:tcBorders>
              <w:tl2br w:val="nil"/>
              <w:tr2bl w:val="nil"/>
            </w:tcBorders>
            <w:noWrap w:val="0"/>
            <w:vAlign w:val="center"/>
          </w:tcPr>
          <w:p>
            <w:pPr>
              <w:jc w:val="center"/>
              <w:rPr>
                <w:rFonts w:hint="eastAsia" w:ascii="Times New Roman" w:hAnsi="Times New Roman" w:eastAsia="宋体" w:cs="宋体"/>
                <w:color w:val="auto"/>
                <w:szCs w:val="21"/>
              </w:rPr>
            </w:pPr>
          </w:p>
        </w:tc>
        <w:tc>
          <w:tcPr>
            <w:tcW w:w="288" w:type="pct"/>
            <w:tcBorders>
              <w:tl2br w:val="nil"/>
              <w:tr2bl w:val="nil"/>
            </w:tcBorders>
            <w:noWrap w:val="0"/>
            <w:vAlign w:val="center"/>
          </w:tcPr>
          <w:p>
            <w:pPr>
              <w:jc w:val="center"/>
              <w:rPr>
                <w:rFonts w:hint="eastAsia" w:ascii="Times New Roman" w:hAnsi="Times New Roman" w:eastAsia="宋体" w:cs="宋体"/>
                <w:color w:val="auto"/>
                <w:szCs w:val="21"/>
                <w:lang w:eastAsia="zh-CN"/>
              </w:rPr>
            </w:pPr>
            <w:r>
              <w:rPr>
                <w:rFonts w:hint="eastAsia" w:ascii="Times New Roman" w:hAnsi="Times New Roman" w:eastAsia="宋体" w:cs="宋体"/>
                <w:color w:val="auto"/>
                <w:szCs w:val="21"/>
                <w:lang w:eastAsia="zh-CN"/>
              </w:rPr>
              <w:t>监测井</w:t>
            </w:r>
          </w:p>
        </w:tc>
        <w:tc>
          <w:tcPr>
            <w:tcW w:w="1700" w:type="pct"/>
            <w:tcBorders>
              <w:tl2br w:val="nil"/>
              <w:tr2bl w:val="nil"/>
            </w:tcBorders>
            <w:noWrap w:val="0"/>
            <w:vAlign w:val="center"/>
          </w:tcPr>
          <w:p>
            <w:pPr>
              <w:jc w:val="center"/>
              <w:rPr>
                <w:rFonts w:hint="eastAsia" w:ascii="Times New Roman" w:hAnsi="Times New Roman" w:eastAsia="宋体" w:cs="宋体"/>
                <w:color w:val="auto"/>
                <w:szCs w:val="21"/>
                <w:lang w:eastAsia="zh-CN"/>
              </w:rPr>
            </w:pPr>
            <w:r>
              <w:rPr>
                <w:rFonts w:hint="eastAsia" w:ascii="Times New Roman" w:hAnsi="Times New Roman" w:eastAsia="宋体" w:cs="宋体"/>
                <w:color w:val="auto"/>
                <w:szCs w:val="21"/>
              </w:rPr>
              <w:t>设置5个地下水监测井（井深20m）：2个下游监测井、2个填埋场旁侧厂界污染源监测井、1个上游背景监测井。分别位于填埋库区上游40m处、库区两侧、填埋库区下游30m、50m处各设一个监测井</w:t>
            </w:r>
            <w:r>
              <w:rPr>
                <w:rFonts w:hint="eastAsia" w:ascii="Times New Roman" w:hAnsi="Times New Roman" w:eastAsia="宋体" w:cs="宋体"/>
                <w:color w:val="auto"/>
                <w:szCs w:val="21"/>
                <w:lang w:eastAsia="zh-CN"/>
              </w:rPr>
              <w:t>。</w:t>
            </w:r>
          </w:p>
        </w:tc>
        <w:tc>
          <w:tcPr>
            <w:tcW w:w="1724" w:type="pct"/>
            <w:tcBorders>
              <w:tl2br w:val="nil"/>
              <w:tr2bl w:val="nil"/>
            </w:tcBorders>
            <w:noWrap w:val="0"/>
            <w:vAlign w:val="center"/>
          </w:tcPr>
          <w:p>
            <w:pPr>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rPr>
              <w:t>设置5个地下水监测井（井深20m）：2个下游监测井、2个填埋场旁侧厂界污染源监测井、1个上游背景监测井。分别位于填埋库区上游40m处、库区两侧、填埋库区下游30m、50m处各设一个监测井</w:t>
            </w:r>
            <w:r>
              <w:rPr>
                <w:rFonts w:hint="eastAsia" w:ascii="Times New Roman" w:hAnsi="Times New Roman" w:eastAsia="宋体" w:cs="宋体"/>
                <w:color w:val="auto"/>
                <w:szCs w:val="21"/>
                <w:lang w:eastAsia="zh-CN"/>
              </w:rPr>
              <w:t>。</w:t>
            </w:r>
          </w:p>
        </w:tc>
        <w:tc>
          <w:tcPr>
            <w:tcW w:w="1031" w:type="pct"/>
            <w:tcBorders>
              <w:tl2br w:val="nil"/>
              <w:tr2bl w:val="nil"/>
            </w:tcBorders>
            <w:noWrap w:val="0"/>
            <w:vAlign w:val="center"/>
          </w:tcPr>
          <w:p>
            <w:pPr>
              <w:jc w:val="center"/>
              <w:rPr>
                <w:rFonts w:hint="eastAsia" w:ascii="Times New Roman" w:hAnsi="Times New Roman" w:eastAsia="宋体" w:cs="宋体"/>
                <w:color w:val="auto"/>
                <w:sz w:val="21"/>
                <w:szCs w:val="21"/>
                <w:lang w:eastAsia="zh-CN"/>
              </w:rPr>
            </w:pPr>
            <w:r>
              <w:rPr>
                <w:rFonts w:hint="eastAsia" w:ascii="Times New Roman" w:hAnsi="Times New Roman" w:eastAsia="宋体" w:cs="宋体"/>
                <w:color w:val="auto"/>
                <w:sz w:val="21"/>
                <w:szCs w:val="21"/>
                <w:lang w:eastAsia="zh-CN"/>
              </w:rPr>
              <w:t>一致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5" w:type="pct"/>
            <w:tcBorders>
              <w:tl2br w:val="nil"/>
              <w:tr2bl w:val="nil"/>
            </w:tcBorders>
            <w:noWrap w:val="0"/>
            <w:vAlign w:val="center"/>
          </w:tcPr>
          <w:p>
            <w:pPr>
              <w:jc w:val="center"/>
              <w:rPr>
                <w:rFonts w:hint="eastAsia" w:ascii="Times New Roman" w:hAnsi="Times New Roman" w:eastAsia="宋体" w:cs="宋体"/>
                <w:color w:val="auto"/>
                <w:szCs w:val="21"/>
                <w:lang w:eastAsia="zh-CN"/>
              </w:rPr>
            </w:pPr>
            <w:r>
              <w:rPr>
                <w:rFonts w:hint="eastAsia" w:ascii="Times New Roman" w:hAnsi="Times New Roman" w:eastAsia="宋体" w:cs="宋体"/>
                <w:color w:val="auto"/>
                <w:szCs w:val="21"/>
                <w:lang w:eastAsia="zh-CN"/>
              </w:rPr>
              <w:t>储运工程</w:t>
            </w:r>
          </w:p>
        </w:tc>
        <w:tc>
          <w:tcPr>
            <w:tcW w:w="288" w:type="pct"/>
            <w:tcBorders>
              <w:tl2br w:val="nil"/>
              <w:tr2bl w:val="nil"/>
            </w:tcBorders>
            <w:noWrap w:val="0"/>
            <w:vAlign w:val="center"/>
          </w:tcPr>
          <w:p>
            <w:pPr>
              <w:pStyle w:val="147"/>
              <w:jc w:val="center"/>
              <w:rPr>
                <w:rFonts w:hint="eastAsia" w:ascii="Times New Roman" w:hAnsi="Times New Roman" w:eastAsia="宋体" w:cs="宋体"/>
                <w:color w:val="auto"/>
                <w:szCs w:val="21"/>
              </w:rPr>
            </w:pPr>
            <w:r>
              <w:rPr>
                <w:rFonts w:ascii="Times New Roman" w:hAnsi="Times New Roman" w:eastAsia="宋体"/>
                <w:color w:val="auto"/>
              </w:rPr>
              <w:t>运输路线</w:t>
            </w:r>
          </w:p>
        </w:tc>
        <w:tc>
          <w:tcPr>
            <w:tcW w:w="1700" w:type="pct"/>
            <w:tcBorders>
              <w:tl2br w:val="nil"/>
              <w:tr2bl w:val="nil"/>
            </w:tcBorders>
            <w:noWrap w:val="0"/>
            <w:vAlign w:val="center"/>
          </w:tcPr>
          <w:p>
            <w:pPr>
              <w:pStyle w:val="147"/>
              <w:jc w:val="center"/>
              <w:rPr>
                <w:rFonts w:hint="eastAsia" w:ascii="Times New Roman" w:hAnsi="Times New Roman" w:eastAsia="宋体" w:cs="宋体"/>
                <w:color w:val="auto"/>
                <w:szCs w:val="21"/>
              </w:rPr>
            </w:pPr>
            <w:r>
              <w:rPr>
                <w:rFonts w:ascii="Times New Roman" w:hAnsi="Times New Roman" w:eastAsia="宋体"/>
                <w:color w:val="auto"/>
              </w:rPr>
              <w:t>运输工具为汽车，运输路线全部采用既有公路。</w:t>
            </w:r>
          </w:p>
        </w:tc>
        <w:tc>
          <w:tcPr>
            <w:tcW w:w="1724" w:type="pct"/>
            <w:tcBorders>
              <w:tl2br w:val="nil"/>
              <w:tr2bl w:val="nil"/>
            </w:tcBorders>
            <w:noWrap w:val="0"/>
            <w:vAlign w:val="center"/>
          </w:tcPr>
          <w:p>
            <w:pPr>
              <w:pStyle w:val="147"/>
              <w:jc w:val="center"/>
              <w:rPr>
                <w:rFonts w:hint="eastAsia" w:ascii="Times New Roman" w:hAnsi="Times New Roman" w:eastAsia="宋体" w:cs="宋体"/>
                <w:color w:val="auto"/>
                <w:kern w:val="0"/>
                <w:sz w:val="21"/>
                <w:szCs w:val="21"/>
                <w:lang w:val="en-US" w:eastAsia="zh-CN" w:bidi="ar-SA"/>
              </w:rPr>
            </w:pPr>
            <w:r>
              <w:rPr>
                <w:rFonts w:ascii="Times New Roman" w:hAnsi="Times New Roman" w:eastAsia="宋体"/>
                <w:color w:val="auto"/>
              </w:rPr>
              <w:t>运输工具为汽车，运输路线全部采用既有公路。</w:t>
            </w:r>
          </w:p>
        </w:tc>
        <w:tc>
          <w:tcPr>
            <w:tcW w:w="1031" w:type="pct"/>
            <w:tcBorders>
              <w:tl2br w:val="nil"/>
              <w:tr2bl w:val="nil"/>
            </w:tcBorders>
            <w:noWrap w:val="0"/>
            <w:vAlign w:val="center"/>
          </w:tcPr>
          <w:p>
            <w:pPr>
              <w:pStyle w:val="147"/>
              <w:jc w:val="center"/>
              <w:rPr>
                <w:rFonts w:ascii="Times New Roman" w:hAnsi="Times New Roman" w:eastAsia="宋体"/>
                <w:color w:val="auto"/>
              </w:rPr>
            </w:pPr>
            <w:r>
              <w:rPr>
                <w:rFonts w:hint="eastAsia" w:ascii="Times New Roman" w:hAnsi="Times New Roman" w:eastAsia="宋体" w:cs="宋体"/>
                <w:color w:val="auto"/>
                <w:sz w:val="21"/>
                <w:szCs w:val="21"/>
                <w:lang w:eastAsia="zh-CN"/>
              </w:rPr>
              <w:t>一致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5" w:type="pct"/>
            <w:vMerge w:val="restart"/>
            <w:tcBorders>
              <w:tl2br w:val="nil"/>
              <w:tr2bl w:val="nil"/>
            </w:tcBorders>
            <w:noWrap w:val="0"/>
            <w:vAlign w:val="center"/>
          </w:tcPr>
          <w:p>
            <w:pPr>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rPr>
              <w:t>公用工程</w:t>
            </w:r>
          </w:p>
        </w:tc>
        <w:tc>
          <w:tcPr>
            <w:tcW w:w="288" w:type="pct"/>
            <w:tcBorders>
              <w:tl2br w:val="nil"/>
              <w:tr2bl w:val="nil"/>
            </w:tcBorders>
            <w:noWrap w:val="0"/>
            <w:vAlign w:val="center"/>
          </w:tcPr>
          <w:p>
            <w:pPr>
              <w:pStyle w:val="148"/>
              <w:spacing w:line="240" w:lineRule="auto"/>
              <w:jc w:val="center"/>
              <w:rPr>
                <w:rFonts w:hint="eastAsia" w:ascii="Times New Roman" w:hAnsi="Times New Roman" w:eastAsia="宋体" w:cs="宋体"/>
                <w:color w:val="auto"/>
                <w:szCs w:val="21"/>
              </w:rPr>
            </w:pPr>
            <w:r>
              <w:rPr>
                <w:rFonts w:ascii="Times New Roman" w:hAnsi="Times New Roman" w:eastAsia="宋体"/>
                <w:color w:val="auto"/>
              </w:rPr>
              <w:t>给水系统</w:t>
            </w:r>
          </w:p>
        </w:tc>
        <w:tc>
          <w:tcPr>
            <w:tcW w:w="1700" w:type="pct"/>
            <w:tcBorders>
              <w:tl2br w:val="nil"/>
              <w:tr2bl w:val="nil"/>
            </w:tcBorders>
            <w:noWrap w:val="0"/>
            <w:vAlign w:val="center"/>
          </w:tcPr>
          <w:p>
            <w:pPr>
              <w:pStyle w:val="148"/>
              <w:spacing w:line="240" w:lineRule="auto"/>
              <w:jc w:val="center"/>
              <w:rPr>
                <w:rFonts w:hint="eastAsia" w:ascii="Times New Roman" w:hAnsi="Times New Roman" w:eastAsia="宋体" w:cs="宋体"/>
                <w:color w:val="auto"/>
                <w:szCs w:val="21"/>
                <w:lang w:eastAsia="zh-CN"/>
              </w:rPr>
            </w:pPr>
            <w:r>
              <w:rPr>
                <w:rFonts w:hint="eastAsia" w:ascii="Times New Roman" w:hAnsi="Times New Roman" w:eastAsia="宋体"/>
                <w:color w:val="auto"/>
                <w:lang w:eastAsia="zh-CN"/>
              </w:rPr>
              <w:t>水源来自市政供水管网。</w:t>
            </w:r>
          </w:p>
        </w:tc>
        <w:tc>
          <w:tcPr>
            <w:tcW w:w="1724" w:type="pct"/>
            <w:tcBorders>
              <w:tl2br w:val="nil"/>
              <w:tr2bl w:val="nil"/>
            </w:tcBorders>
            <w:noWrap w:val="0"/>
            <w:vAlign w:val="center"/>
          </w:tcPr>
          <w:p>
            <w:pPr>
              <w:pStyle w:val="148"/>
              <w:spacing w:line="240" w:lineRule="auto"/>
              <w:jc w:val="center"/>
              <w:rPr>
                <w:rFonts w:hint="eastAsia" w:ascii="Times New Roman" w:hAnsi="Times New Roman" w:eastAsia="宋体" w:cs="宋体"/>
                <w:color w:val="auto"/>
                <w:sz w:val="21"/>
                <w:szCs w:val="21"/>
                <w:lang w:val="en-US" w:eastAsia="zh-CN" w:bidi="ar-SA"/>
              </w:rPr>
            </w:pPr>
            <w:r>
              <w:rPr>
                <w:rFonts w:hint="eastAsia" w:ascii="Times New Roman" w:hAnsi="Times New Roman" w:eastAsia="宋体"/>
                <w:color w:val="auto"/>
                <w:lang w:eastAsia="zh-CN"/>
              </w:rPr>
              <w:t>水源来自市政供水管网。</w:t>
            </w:r>
          </w:p>
        </w:tc>
        <w:tc>
          <w:tcPr>
            <w:tcW w:w="1031" w:type="pct"/>
            <w:tcBorders>
              <w:tl2br w:val="nil"/>
              <w:tr2bl w:val="nil"/>
            </w:tcBorders>
            <w:noWrap w:val="0"/>
            <w:vAlign w:val="center"/>
          </w:tcPr>
          <w:p>
            <w:pPr>
              <w:pStyle w:val="148"/>
              <w:spacing w:line="240" w:lineRule="auto"/>
              <w:jc w:val="center"/>
              <w:rPr>
                <w:rFonts w:hint="eastAsia" w:ascii="Times New Roman" w:hAnsi="Times New Roman" w:eastAsia="宋体"/>
                <w:color w:val="auto"/>
                <w:lang w:eastAsia="zh-CN"/>
              </w:rPr>
            </w:pPr>
            <w:r>
              <w:rPr>
                <w:rFonts w:hint="eastAsia" w:ascii="Times New Roman" w:hAnsi="Times New Roman" w:eastAsia="宋体" w:cs="宋体"/>
                <w:color w:val="auto"/>
                <w:sz w:val="21"/>
                <w:szCs w:val="21"/>
                <w:lang w:eastAsia="zh-CN"/>
              </w:rPr>
              <w:t>一致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5" w:type="pct"/>
            <w:vMerge w:val="continue"/>
            <w:tcBorders>
              <w:tl2br w:val="nil"/>
              <w:tr2bl w:val="nil"/>
            </w:tcBorders>
            <w:noWrap w:val="0"/>
            <w:vAlign w:val="center"/>
          </w:tcPr>
          <w:p>
            <w:pPr>
              <w:jc w:val="center"/>
              <w:rPr>
                <w:rFonts w:hint="eastAsia" w:ascii="Times New Roman" w:hAnsi="Times New Roman" w:eastAsia="宋体" w:cs="宋体"/>
                <w:color w:val="auto"/>
                <w:szCs w:val="21"/>
              </w:rPr>
            </w:pPr>
          </w:p>
        </w:tc>
        <w:tc>
          <w:tcPr>
            <w:tcW w:w="288" w:type="pct"/>
            <w:tcBorders>
              <w:tl2br w:val="nil"/>
              <w:tr2bl w:val="nil"/>
            </w:tcBorders>
            <w:noWrap w:val="0"/>
            <w:vAlign w:val="center"/>
          </w:tcPr>
          <w:p>
            <w:pPr>
              <w:pStyle w:val="148"/>
              <w:spacing w:line="240" w:lineRule="auto"/>
              <w:jc w:val="center"/>
              <w:rPr>
                <w:rFonts w:hint="eastAsia" w:ascii="Times New Roman" w:hAnsi="Times New Roman" w:eastAsia="宋体" w:cs="宋体"/>
                <w:color w:val="auto"/>
                <w:szCs w:val="21"/>
              </w:rPr>
            </w:pPr>
            <w:r>
              <w:rPr>
                <w:rFonts w:ascii="Times New Roman" w:hAnsi="Times New Roman" w:eastAsia="宋体"/>
                <w:color w:val="auto"/>
              </w:rPr>
              <w:t>排水系统</w:t>
            </w:r>
          </w:p>
        </w:tc>
        <w:tc>
          <w:tcPr>
            <w:tcW w:w="1700" w:type="pct"/>
            <w:tcBorders>
              <w:tl2br w:val="nil"/>
              <w:tr2bl w:val="nil"/>
            </w:tcBorders>
            <w:noWrap w:val="0"/>
            <w:vAlign w:val="center"/>
          </w:tcPr>
          <w:p>
            <w:pPr>
              <w:pStyle w:val="148"/>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场区采用雨污分流制，</w:t>
            </w:r>
            <w:r>
              <w:rPr>
                <w:rFonts w:hint="eastAsia" w:ascii="Times New Roman" w:hAnsi="Times New Roman" w:eastAsia="宋体"/>
                <w:color w:val="auto"/>
                <w:sz w:val="21"/>
                <w:szCs w:val="21"/>
                <w:lang w:eastAsia="zh-CN"/>
              </w:rPr>
              <w:t>雨水</w:t>
            </w:r>
            <w:r>
              <w:rPr>
                <w:rFonts w:hint="eastAsia" w:ascii="Times New Roman" w:hAnsi="Times New Roman" w:eastAsia="宋体"/>
                <w:color w:val="auto"/>
                <w:sz w:val="21"/>
                <w:szCs w:val="21"/>
              </w:rPr>
              <w:t>通过填埋场四周设排水边沟截除场区上游汇水以及导排场区周围汇水，</w:t>
            </w:r>
            <w:r>
              <w:rPr>
                <w:rFonts w:hint="eastAsia" w:ascii="Times New Roman" w:hAnsi="Times New Roman" w:eastAsia="宋体" w:cs="宋体"/>
                <w:color w:val="auto"/>
                <w:szCs w:val="21"/>
                <w:lang w:eastAsia="zh-CN"/>
              </w:rPr>
              <w:t>雨水经导排后最终从填埋库区西南侧进入附近地表水体或者排水沟。</w:t>
            </w:r>
            <w:r>
              <w:rPr>
                <w:rFonts w:hint="eastAsia" w:ascii="Times New Roman" w:hAnsi="Times New Roman" w:eastAsia="宋体"/>
                <w:color w:val="auto"/>
                <w:sz w:val="21"/>
                <w:szCs w:val="21"/>
              </w:rPr>
              <w:t>填埋区内设置</w:t>
            </w:r>
            <w:r>
              <w:rPr>
                <w:rFonts w:hint="eastAsia" w:ascii="Times New Roman" w:hAnsi="Times New Roman" w:eastAsia="宋体"/>
                <w:color w:val="auto"/>
                <w:sz w:val="21"/>
                <w:szCs w:val="21"/>
                <w:lang w:eastAsia="zh-CN"/>
              </w:rPr>
              <w:t>六</w:t>
            </w:r>
            <w:r>
              <w:rPr>
                <w:rFonts w:hint="eastAsia" w:ascii="Times New Roman" w:hAnsi="Times New Roman" w:eastAsia="宋体"/>
                <w:color w:val="auto"/>
                <w:sz w:val="21"/>
                <w:szCs w:val="21"/>
              </w:rPr>
              <w:t>座收集井，用于收集渗滤液，</w:t>
            </w:r>
            <w:r>
              <w:rPr>
                <w:rFonts w:hint="eastAsia" w:ascii="Times New Roman" w:hAnsi="Times New Roman" w:eastAsia="宋体"/>
                <w:color w:val="auto"/>
                <w:sz w:val="21"/>
                <w:szCs w:val="21"/>
                <w:lang w:eastAsia="zh-CN"/>
              </w:rPr>
              <w:t>渗滤液</w:t>
            </w:r>
            <w:r>
              <w:rPr>
                <w:rFonts w:hint="eastAsia" w:ascii="Times New Roman" w:hAnsi="Times New Roman" w:eastAsia="宋体" w:cs="宋体"/>
                <w:b w:val="0"/>
                <w:bCs w:val="0"/>
                <w:color w:val="auto"/>
                <w:sz w:val="21"/>
                <w:szCs w:val="21"/>
                <w:lang w:eastAsia="zh-CN"/>
              </w:rPr>
              <w:t>收集后定期送入厂区</w:t>
            </w:r>
            <w:r>
              <w:rPr>
                <w:rFonts w:hint="eastAsia" w:ascii="Times New Roman" w:hAnsi="Times New Roman" w:cs="宋体"/>
                <w:b w:val="0"/>
                <w:bCs w:val="0"/>
                <w:color w:val="auto"/>
                <w:sz w:val="21"/>
                <w:szCs w:val="21"/>
                <w:lang w:eastAsia="zh-CN"/>
              </w:rPr>
              <w:t>南</w:t>
            </w:r>
            <w:r>
              <w:rPr>
                <w:rFonts w:hint="eastAsia" w:ascii="Times New Roman" w:hAnsi="Times New Roman" w:eastAsia="宋体" w:cs="宋体"/>
                <w:b w:val="0"/>
                <w:bCs w:val="0"/>
                <w:color w:val="auto"/>
                <w:sz w:val="21"/>
                <w:szCs w:val="21"/>
                <w:lang w:eastAsia="zh-CN"/>
              </w:rPr>
              <w:t>侧的灵璧县生活垃圾填埋场处理，不外排。</w:t>
            </w:r>
            <w:r>
              <w:rPr>
                <w:rFonts w:hint="eastAsia" w:ascii="Times New Roman" w:hAnsi="Times New Roman" w:eastAsia="宋体"/>
                <w:color w:val="auto"/>
                <w:sz w:val="21"/>
                <w:szCs w:val="21"/>
              </w:rPr>
              <w:t>管理区生活污水</w:t>
            </w:r>
            <w:r>
              <w:rPr>
                <w:rFonts w:hint="eastAsia" w:ascii="Times New Roman" w:hAnsi="Times New Roman" w:eastAsia="宋体"/>
                <w:color w:val="auto"/>
                <w:sz w:val="21"/>
                <w:szCs w:val="21"/>
                <w:lang w:eastAsia="zh-CN"/>
              </w:rPr>
              <w:t>用于周边绿化，不外排</w:t>
            </w:r>
            <w:r>
              <w:rPr>
                <w:rFonts w:hint="eastAsia" w:ascii="Times New Roman" w:hAnsi="Times New Roman" w:eastAsia="宋体" w:cs="宋体"/>
                <w:b w:val="0"/>
                <w:bCs w:val="0"/>
                <w:color w:val="auto"/>
                <w:sz w:val="21"/>
                <w:szCs w:val="21"/>
                <w:lang w:eastAsia="zh-CN"/>
              </w:rPr>
              <w:t>。</w:t>
            </w:r>
          </w:p>
        </w:tc>
        <w:tc>
          <w:tcPr>
            <w:tcW w:w="1724" w:type="pct"/>
            <w:tcBorders>
              <w:tl2br w:val="nil"/>
              <w:tr2bl w:val="nil"/>
            </w:tcBorders>
            <w:noWrap w:val="0"/>
            <w:vAlign w:val="center"/>
          </w:tcPr>
          <w:p>
            <w:pPr>
              <w:pStyle w:val="148"/>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olor w:val="auto"/>
                <w:sz w:val="21"/>
                <w:szCs w:val="21"/>
              </w:rPr>
              <w:t>场区采用雨污分流制，</w:t>
            </w:r>
            <w:r>
              <w:rPr>
                <w:rFonts w:hint="eastAsia" w:ascii="Times New Roman" w:hAnsi="Times New Roman" w:eastAsia="宋体"/>
                <w:color w:val="auto"/>
                <w:sz w:val="21"/>
                <w:szCs w:val="21"/>
                <w:lang w:eastAsia="zh-CN"/>
              </w:rPr>
              <w:t>雨水</w:t>
            </w:r>
            <w:r>
              <w:rPr>
                <w:rFonts w:hint="eastAsia" w:ascii="Times New Roman" w:hAnsi="Times New Roman" w:eastAsia="宋体"/>
                <w:color w:val="auto"/>
                <w:sz w:val="21"/>
                <w:szCs w:val="21"/>
              </w:rPr>
              <w:t>通过填埋场四周设排水边沟截除场区上游汇水以及导排场区周围汇水，</w:t>
            </w:r>
            <w:r>
              <w:rPr>
                <w:rFonts w:hint="eastAsia" w:ascii="Times New Roman" w:hAnsi="Times New Roman" w:eastAsia="宋体" w:cs="宋体"/>
                <w:color w:val="auto"/>
                <w:szCs w:val="21"/>
                <w:lang w:eastAsia="zh-CN"/>
              </w:rPr>
              <w:t>初期雨水经导排后最终从填埋库区西南侧进入雨水收集池，通过泵送到南侧垃圾填埋场处理。</w:t>
            </w:r>
            <w:r>
              <w:rPr>
                <w:rFonts w:hint="eastAsia" w:ascii="Times New Roman" w:hAnsi="Times New Roman" w:eastAsia="宋体"/>
                <w:color w:val="auto"/>
                <w:sz w:val="21"/>
                <w:szCs w:val="21"/>
              </w:rPr>
              <w:t>填埋区内设置</w:t>
            </w:r>
            <w:r>
              <w:rPr>
                <w:rFonts w:hint="eastAsia" w:ascii="Times New Roman" w:hAnsi="Times New Roman"/>
                <w:color w:val="auto"/>
                <w:sz w:val="21"/>
                <w:szCs w:val="21"/>
                <w:lang w:eastAsia="zh-CN"/>
              </w:rPr>
              <w:t>一</w:t>
            </w:r>
            <w:r>
              <w:rPr>
                <w:rFonts w:hint="eastAsia" w:ascii="Times New Roman" w:hAnsi="Times New Roman" w:eastAsia="宋体"/>
                <w:color w:val="auto"/>
                <w:sz w:val="21"/>
                <w:szCs w:val="21"/>
              </w:rPr>
              <w:t>座收集井，用于收集渗滤液，</w:t>
            </w:r>
            <w:r>
              <w:rPr>
                <w:rFonts w:hint="eastAsia" w:ascii="Times New Roman" w:hAnsi="Times New Roman" w:eastAsia="宋体"/>
                <w:color w:val="auto"/>
                <w:sz w:val="21"/>
                <w:szCs w:val="21"/>
                <w:lang w:eastAsia="zh-CN"/>
              </w:rPr>
              <w:t>渗滤液</w:t>
            </w:r>
            <w:r>
              <w:rPr>
                <w:rFonts w:hint="eastAsia" w:ascii="Times New Roman" w:hAnsi="Times New Roman" w:eastAsia="宋体" w:cs="宋体"/>
                <w:b w:val="0"/>
                <w:bCs w:val="0"/>
                <w:color w:val="auto"/>
                <w:sz w:val="21"/>
                <w:szCs w:val="21"/>
                <w:lang w:eastAsia="zh-CN"/>
              </w:rPr>
              <w:t>收集后送入厂区</w:t>
            </w:r>
            <w:r>
              <w:rPr>
                <w:rFonts w:hint="eastAsia" w:ascii="Times New Roman" w:hAnsi="Times New Roman" w:cs="宋体"/>
                <w:b w:val="0"/>
                <w:bCs w:val="0"/>
                <w:color w:val="auto"/>
                <w:sz w:val="21"/>
                <w:szCs w:val="21"/>
                <w:lang w:eastAsia="zh-CN"/>
              </w:rPr>
              <w:t>南</w:t>
            </w:r>
            <w:r>
              <w:rPr>
                <w:rFonts w:hint="eastAsia" w:ascii="Times New Roman" w:hAnsi="Times New Roman" w:eastAsia="宋体" w:cs="宋体"/>
                <w:b w:val="0"/>
                <w:bCs w:val="0"/>
                <w:color w:val="auto"/>
                <w:sz w:val="21"/>
                <w:szCs w:val="21"/>
                <w:lang w:eastAsia="zh-CN"/>
              </w:rPr>
              <w:t>侧的灵璧县生活垃圾填埋场处理。</w:t>
            </w:r>
            <w:r>
              <w:rPr>
                <w:rFonts w:hint="eastAsia" w:ascii="Times New Roman" w:hAnsi="Times New Roman" w:cs="宋体"/>
                <w:b w:val="0"/>
                <w:bCs w:val="0"/>
                <w:color w:val="auto"/>
                <w:sz w:val="21"/>
                <w:szCs w:val="21"/>
                <w:lang w:eastAsia="zh-CN"/>
              </w:rPr>
              <w:t>厂区不设</w:t>
            </w:r>
            <w:r>
              <w:rPr>
                <w:rFonts w:hint="eastAsia" w:ascii="Times New Roman" w:hAnsi="Times New Roman"/>
                <w:color w:val="auto"/>
                <w:sz w:val="21"/>
                <w:szCs w:val="21"/>
                <w:lang w:eastAsia="zh-CN"/>
              </w:rPr>
              <w:t>管理</w:t>
            </w:r>
            <w:r>
              <w:rPr>
                <w:rFonts w:hint="eastAsia" w:ascii="Times New Roman" w:hAnsi="Times New Roman" w:eastAsia="宋体"/>
                <w:color w:val="auto"/>
                <w:sz w:val="21"/>
                <w:szCs w:val="21"/>
              </w:rPr>
              <w:t>区</w:t>
            </w:r>
            <w:r>
              <w:rPr>
                <w:rFonts w:hint="eastAsia" w:ascii="Times New Roman" w:hAnsi="Times New Roman"/>
                <w:color w:val="auto"/>
                <w:sz w:val="21"/>
                <w:szCs w:val="21"/>
                <w:lang w:eastAsia="zh-CN"/>
              </w:rPr>
              <w:t>，职工生活用水依托灵璧县生活垃圾填埋场。</w:t>
            </w:r>
          </w:p>
        </w:tc>
        <w:tc>
          <w:tcPr>
            <w:tcW w:w="1031" w:type="pct"/>
            <w:tcBorders>
              <w:tl2br w:val="nil"/>
              <w:tr2bl w:val="nil"/>
            </w:tcBorders>
            <w:noWrap w:val="0"/>
            <w:vAlign w:val="center"/>
          </w:tcPr>
          <w:p>
            <w:pPr>
              <w:jc w:val="center"/>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实际运营过程中，</w:t>
            </w:r>
            <w:r>
              <w:rPr>
                <w:rFonts w:hint="eastAsia" w:ascii="Times New Roman" w:hAnsi="Times New Roman" w:eastAsia="宋体"/>
                <w:color w:val="auto"/>
                <w:sz w:val="21"/>
                <w:szCs w:val="21"/>
                <w:lang w:eastAsia="zh-CN"/>
              </w:rPr>
              <w:t>雨水</w:t>
            </w:r>
            <w:r>
              <w:rPr>
                <w:rFonts w:hint="eastAsia" w:ascii="Times New Roman" w:hAnsi="Times New Roman" w:eastAsia="宋体"/>
                <w:color w:val="auto"/>
                <w:sz w:val="21"/>
                <w:szCs w:val="21"/>
              </w:rPr>
              <w:t>通过填埋场四周设排水边沟截除场区上游汇水以及导排场区周围汇水，</w:t>
            </w:r>
            <w:r>
              <w:rPr>
                <w:rFonts w:hint="eastAsia" w:ascii="Times New Roman" w:hAnsi="Times New Roman" w:eastAsia="宋体" w:cs="宋体"/>
                <w:color w:val="auto"/>
                <w:szCs w:val="21"/>
                <w:lang w:eastAsia="zh-CN"/>
              </w:rPr>
              <w:t>初期雨水经导排后最终从填埋库区西南侧进入雨水收集池，通过泵送到南侧垃圾填埋场处理；</w:t>
            </w:r>
            <w:r>
              <w:rPr>
                <w:rFonts w:hint="eastAsia" w:ascii="Times New Roman" w:hAnsi="Times New Roman" w:eastAsia="宋体"/>
                <w:color w:val="auto"/>
                <w:sz w:val="21"/>
                <w:szCs w:val="21"/>
                <w:lang w:val="en-US" w:eastAsia="zh-CN"/>
              </w:rPr>
              <w:t>渗滤液采用集中收集的方式，渗滤液收集采用场底导渗盲沟的方式，填埋区场底渗滤液导排系统由场底导流层、导排盲沟、集水井组成。在对场底进行平整后敷设500mm厚的碎石导流层，在导流层内构建纵横交错的主盲沟和次盲沟。主盲沟沿基底构建的主脊线布置，以2%的坡度倾向渗滤液竖井，盲沟内安装DN400 HDPE 穿孔管；次盲沟沿主盲沟两侧布置，与主盲沟交错形成鱼鳞状导排体系，盲沟内安装DN200 HDPE 穿孔管，渗滤液收集管线最终汇入1座集水井，1座集水井满足渗滤液收集要求。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5" w:type="pct"/>
            <w:vMerge w:val="continue"/>
            <w:tcBorders>
              <w:tl2br w:val="nil"/>
              <w:tr2bl w:val="nil"/>
            </w:tcBorders>
            <w:noWrap w:val="0"/>
            <w:vAlign w:val="center"/>
          </w:tcPr>
          <w:p>
            <w:pPr>
              <w:jc w:val="center"/>
              <w:rPr>
                <w:rFonts w:hint="eastAsia" w:ascii="Times New Roman" w:hAnsi="Times New Roman" w:eastAsia="宋体" w:cs="宋体"/>
                <w:color w:val="auto"/>
                <w:szCs w:val="21"/>
              </w:rPr>
            </w:pPr>
          </w:p>
        </w:tc>
        <w:tc>
          <w:tcPr>
            <w:tcW w:w="288" w:type="pct"/>
            <w:tcBorders>
              <w:tl2br w:val="nil"/>
              <w:tr2bl w:val="nil"/>
            </w:tcBorders>
            <w:noWrap w:val="0"/>
            <w:vAlign w:val="center"/>
          </w:tcPr>
          <w:p>
            <w:pPr>
              <w:pStyle w:val="148"/>
              <w:spacing w:line="240" w:lineRule="auto"/>
              <w:jc w:val="center"/>
              <w:rPr>
                <w:rFonts w:hint="eastAsia" w:ascii="Times New Roman" w:hAnsi="Times New Roman" w:eastAsia="宋体" w:cs="宋体"/>
                <w:color w:val="auto"/>
                <w:szCs w:val="21"/>
              </w:rPr>
            </w:pPr>
            <w:r>
              <w:rPr>
                <w:rFonts w:ascii="Times New Roman" w:hAnsi="Times New Roman" w:eastAsia="宋体"/>
                <w:color w:val="auto"/>
              </w:rPr>
              <w:t>供电系统</w:t>
            </w:r>
          </w:p>
        </w:tc>
        <w:tc>
          <w:tcPr>
            <w:tcW w:w="1700" w:type="pct"/>
            <w:tcBorders>
              <w:tl2br w:val="nil"/>
              <w:tr2bl w:val="nil"/>
            </w:tcBorders>
            <w:noWrap w:val="0"/>
            <w:vAlign w:val="center"/>
          </w:tcPr>
          <w:p>
            <w:pPr>
              <w:jc w:val="center"/>
              <w:rPr>
                <w:rFonts w:hint="eastAsia" w:ascii="Times New Roman" w:hAnsi="Times New Roman" w:eastAsia="宋体" w:cs="宋体"/>
                <w:color w:val="auto"/>
                <w:szCs w:val="21"/>
              </w:rPr>
            </w:pPr>
            <w:r>
              <w:rPr>
                <w:rFonts w:hint="eastAsia" w:ascii="Times New Roman" w:hAnsi="Times New Roman" w:eastAsia="宋体"/>
                <w:color w:val="auto"/>
              </w:rPr>
              <w:t>填埋场的负荷等级为三级负荷，由就近市政10kV电网接入</w:t>
            </w:r>
            <w:r>
              <w:rPr>
                <w:rFonts w:hint="eastAsia" w:ascii="Times New Roman" w:hAnsi="Times New Roman" w:eastAsia="宋体"/>
                <w:color w:val="auto"/>
                <w:lang w:eastAsia="zh-CN"/>
              </w:rPr>
              <w:t>，在管理用房内设置10/0.4kV变电所，变电所尺寸为4.5m*7.5m，内设10kV负荷开关柜、400kVA干式变压器及相应的低压开关柜。</w:t>
            </w:r>
          </w:p>
        </w:tc>
        <w:tc>
          <w:tcPr>
            <w:tcW w:w="1724" w:type="pct"/>
            <w:tcBorders>
              <w:tl2br w:val="nil"/>
              <w:tr2bl w:val="nil"/>
            </w:tcBorders>
            <w:noWrap w:val="0"/>
            <w:vAlign w:val="center"/>
          </w:tcPr>
          <w:p>
            <w:pPr>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项目区无供电系统，考虑项目建设周期，借用南侧灵璧县生活垃圾填埋场变压器供电。</w:t>
            </w:r>
          </w:p>
        </w:tc>
        <w:tc>
          <w:tcPr>
            <w:tcW w:w="1031" w:type="pct"/>
            <w:tcBorders>
              <w:tl2br w:val="nil"/>
              <w:tr2bl w:val="nil"/>
            </w:tcBorders>
            <w:noWrap w:val="0"/>
            <w:vAlign w:val="center"/>
          </w:tcPr>
          <w:p>
            <w:pPr>
              <w:jc w:val="center"/>
              <w:rPr>
                <w:rFonts w:hint="eastAsia" w:ascii="Times New Roman" w:hAnsi="Times New Roman" w:eastAsia="宋体"/>
                <w:color w:val="auto"/>
                <w:lang w:eastAsia="zh-CN"/>
              </w:rPr>
            </w:pPr>
            <w:r>
              <w:rPr>
                <w:rFonts w:hint="eastAsia" w:ascii="Times New Roman" w:hAnsi="Times New Roman" w:eastAsia="宋体"/>
                <w:color w:val="auto"/>
                <w:lang w:eastAsia="zh-CN"/>
              </w:rPr>
              <w:t>供电依托灵璧县生活垃圾填埋场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5" w:type="pct"/>
            <w:vMerge w:val="restart"/>
            <w:tcBorders>
              <w:tl2br w:val="nil"/>
              <w:tr2bl w:val="nil"/>
            </w:tcBorders>
            <w:noWrap w:val="0"/>
            <w:vAlign w:val="center"/>
          </w:tcPr>
          <w:p>
            <w:pPr>
              <w:jc w:val="center"/>
              <w:rPr>
                <w:rFonts w:hint="eastAsia" w:ascii="Times New Roman" w:hAnsi="Times New Roman" w:eastAsia="宋体" w:cs="宋体"/>
                <w:color w:val="auto"/>
                <w:szCs w:val="21"/>
                <w:lang w:eastAsia="zh-CN"/>
              </w:rPr>
            </w:pPr>
            <w:r>
              <w:rPr>
                <w:rFonts w:hint="eastAsia" w:ascii="Times New Roman" w:hAnsi="Times New Roman" w:eastAsia="宋体" w:cs="宋体"/>
                <w:color w:val="auto"/>
                <w:szCs w:val="21"/>
                <w:lang w:eastAsia="zh-CN"/>
              </w:rPr>
              <w:t>环保工程</w:t>
            </w:r>
          </w:p>
        </w:tc>
        <w:tc>
          <w:tcPr>
            <w:tcW w:w="288" w:type="pct"/>
            <w:tcBorders>
              <w:tl2br w:val="nil"/>
              <w:tr2bl w:val="nil"/>
            </w:tcBorders>
            <w:noWrap w:val="0"/>
            <w:vAlign w:val="center"/>
          </w:tcPr>
          <w:p>
            <w:pPr>
              <w:pStyle w:val="148"/>
              <w:spacing w:line="240" w:lineRule="auto"/>
              <w:jc w:val="center"/>
              <w:rPr>
                <w:rFonts w:hint="eastAsia" w:ascii="Times New Roman" w:hAnsi="Times New Roman" w:eastAsia="宋体"/>
                <w:color w:val="auto"/>
                <w:lang w:eastAsia="zh-CN"/>
              </w:rPr>
            </w:pPr>
            <w:r>
              <w:rPr>
                <w:rFonts w:hint="eastAsia" w:ascii="Times New Roman" w:hAnsi="Times New Roman" w:eastAsia="宋体"/>
                <w:color w:val="auto"/>
                <w:lang w:eastAsia="zh-CN"/>
              </w:rPr>
              <w:t>废水治理</w:t>
            </w:r>
          </w:p>
        </w:tc>
        <w:tc>
          <w:tcPr>
            <w:tcW w:w="1700" w:type="pct"/>
            <w:tcBorders>
              <w:tl2br w:val="nil"/>
              <w:tr2bl w:val="nil"/>
            </w:tcBorders>
            <w:noWrap w:val="0"/>
            <w:vAlign w:val="center"/>
          </w:tcPr>
          <w:p>
            <w:pPr>
              <w:jc w:val="center"/>
              <w:rPr>
                <w:rFonts w:hint="default" w:ascii="Times New Roman" w:hAnsi="Times New Roman" w:eastAsia="宋体"/>
                <w:color w:val="auto"/>
                <w:lang w:val="en-US"/>
              </w:rPr>
            </w:pPr>
            <w:r>
              <w:rPr>
                <w:rFonts w:hint="eastAsia" w:ascii="Times New Roman" w:hAnsi="Times New Roman" w:eastAsia="宋体"/>
                <w:color w:val="auto"/>
                <w:sz w:val="21"/>
                <w:szCs w:val="21"/>
              </w:rPr>
              <w:t>场区采用雨污分流制，</w:t>
            </w:r>
            <w:r>
              <w:rPr>
                <w:rFonts w:hint="eastAsia" w:ascii="Times New Roman" w:hAnsi="Times New Roman" w:eastAsia="宋体"/>
                <w:color w:val="auto"/>
                <w:sz w:val="21"/>
                <w:szCs w:val="21"/>
                <w:lang w:eastAsia="zh-CN"/>
              </w:rPr>
              <w:t>雨水</w:t>
            </w:r>
            <w:r>
              <w:rPr>
                <w:rFonts w:hint="eastAsia" w:ascii="Times New Roman" w:hAnsi="Times New Roman" w:eastAsia="宋体"/>
                <w:color w:val="auto"/>
                <w:sz w:val="21"/>
                <w:szCs w:val="21"/>
              </w:rPr>
              <w:t>通过填埋场四周设排水边沟截除场区上游汇水以及导排场区周围汇水，</w:t>
            </w:r>
            <w:r>
              <w:rPr>
                <w:rFonts w:hint="eastAsia" w:ascii="Times New Roman" w:hAnsi="Times New Roman" w:eastAsia="宋体" w:cs="宋体"/>
                <w:color w:val="auto"/>
                <w:szCs w:val="21"/>
                <w:lang w:eastAsia="zh-CN"/>
              </w:rPr>
              <w:t>雨水经导排后最终从填埋库区西南侧进入附近地表水体或者排水沟。</w:t>
            </w:r>
            <w:r>
              <w:rPr>
                <w:rFonts w:hint="eastAsia" w:ascii="Times New Roman" w:hAnsi="Times New Roman" w:eastAsia="宋体"/>
                <w:color w:val="auto"/>
                <w:sz w:val="21"/>
                <w:szCs w:val="21"/>
              </w:rPr>
              <w:t>填埋区内设置</w:t>
            </w:r>
            <w:r>
              <w:rPr>
                <w:rFonts w:hint="eastAsia" w:ascii="Times New Roman" w:hAnsi="Times New Roman" w:eastAsia="宋体"/>
                <w:color w:val="auto"/>
                <w:sz w:val="21"/>
                <w:szCs w:val="21"/>
                <w:lang w:eastAsia="zh-CN"/>
              </w:rPr>
              <w:t>六</w:t>
            </w:r>
            <w:r>
              <w:rPr>
                <w:rFonts w:hint="eastAsia" w:ascii="Times New Roman" w:hAnsi="Times New Roman" w:eastAsia="宋体"/>
                <w:color w:val="auto"/>
                <w:sz w:val="21"/>
                <w:szCs w:val="21"/>
              </w:rPr>
              <w:t>座收集井，用于收集渗滤液，</w:t>
            </w:r>
            <w:r>
              <w:rPr>
                <w:rFonts w:hint="eastAsia" w:ascii="Times New Roman" w:hAnsi="Times New Roman" w:eastAsia="宋体"/>
                <w:color w:val="auto"/>
                <w:sz w:val="21"/>
                <w:szCs w:val="21"/>
                <w:lang w:eastAsia="zh-CN"/>
              </w:rPr>
              <w:t>渗滤液</w:t>
            </w:r>
            <w:r>
              <w:rPr>
                <w:rFonts w:hint="eastAsia" w:ascii="Times New Roman" w:hAnsi="Times New Roman" w:eastAsia="宋体" w:cs="宋体"/>
                <w:b w:val="0"/>
                <w:bCs w:val="0"/>
                <w:color w:val="auto"/>
                <w:sz w:val="21"/>
                <w:szCs w:val="21"/>
                <w:lang w:eastAsia="zh-CN"/>
              </w:rPr>
              <w:t>收集后定期送入厂区南侧的灵璧县生活垃圾填埋场处理，不外排。</w:t>
            </w:r>
            <w:r>
              <w:rPr>
                <w:rFonts w:hint="eastAsia" w:ascii="Times New Roman" w:hAnsi="Times New Roman" w:eastAsia="宋体"/>
                <w:color w:val="auto"/>
                <w:sz w:val="21"/>
                <w:szCs w:val="21"/>
              </w:rPr>
              <w:t>管理区生活污水</w:t>
            </w:r>
            <w:r>
              <w:rPr>
                <w:rFonts w:hint="eastAsia" w:ascii="Times New Roman" w:hAnsi="Times New Roman" w:eastAsia="宋体"/>
                <w:color w:val="auto"/>
                <w:sz w:val="21"/>
                <w:szCs w:val="21"/>
                <w:lang w:eastAsia="zh-CN"/>
              </w:rPr>
              <w:t>用于周边绿化，不外排</w:t>
            </w:r>
            <w:r>
              <w:rPr>
                <w:rFonts w:hint="eastAsia" w:ascii="Times New Roman" w:hAnsi="Times New Roman" w:eastAsia="宋体" w:cs="宋体"/>
                <w:b w:val="0"/>
                <w:bCs w:val="0"/>
                <w:color w:val="auto"/>
                <w:sz w:val="21"/>
                <w:szCs w:val="21"/>
                <w:lang w:eastAsia="zh-CN"/>
              </w:rPr>
              <w:t>。</w:t>
            </w:r>
          </w:p>
        </w:tc>
        <w:tc>
          <w:tcPr>
            <w:tcW w:w="1724" w:type="pct"/>
            <w:tcBorders>
              <w:tl2br w:val="nil"/>
              <w:tr2bl w:val="nil"/>
            </w:tcBorders>
            <w:noWrap w:val="0"/>
            <w:vAlign w:val="center"/>
          </w:tcPr>
          <w:p>
            <w:pPr>
              <w:jc w:val="center"/>
              <w:rPr>
                <w:rFonts w:hint="eastAsia" w:ascii="Times New Roman" w:hAnsi="Times New Roman" w:eastAsia="宋体" w:cstheme="minorBidi"/>
                <w:color w:val="auto"/>
                <w:kern w:val="2"/>
                <w:sz w:val="21"/>
                <w:szCs w:val="22"/>
                <w:lang w:val="en-US" w:eastAsia="zh-CN" w:bidi="ar-SA"/>
              </w:rPr>
            </w:pPr>
            <w:r>
              <w:rPr>
                <w:rFonts w:hint="eastAsia" w:ascii="Times New Roman" w:hAnsi="Times New Roman" w:eastAsia="宋体"/>
                <w:color w:val="auto"/>
                <w:sz w:val="21"/>
                <w:szCs w:val="21"/>
              </w:rPr>
              <w:t>场区采用雨污分流制，</w:t>
            </w:r>
            <w:r>
              <w:rPr>
                <w:rFonts w:hint="eastAsia" w:ascii="Times New Roman" w:hAnsi="Times New Roman" w:eastAsia="宋体"/>
                <w:color w:val="auto"/>
                <w:sz w:val="21"/>
                <w:szCs w:val="21"/>
                <w:lang w:eastAsia="zh-CN"/>
              </w:rPr>
              <w:t>雨水</w:t>
            </w:r>
            <w:r>
              <w:rPr>
                <w:rFonts w:hint="eastAsia" w:ascii="Times New Roman" w:hAnsi="Times New Roman" w:eastAsia="宋体"/>
                <w:color w:val="auto"/>
                <w:sz w:val="21"/>
                <w:szCs w:val="21"/>
              </w:rPr>
              <w:t>通过填埋场四周设排水边沟截除场区上游汇水以及导排场区周围汇水，</w:t>
            </w:r>
            <w:r>
              <w:rPr>
                <w:rFonts w:hint="eastAsia" w:ascii="Times New Roman" w:hAnsi="Times New Roman" w:eastAsia="宋体" w:cs="宋体"/>
                <w:color w:val="auto"/>
                <w:szCs w:val="21"/>
                <w:lang w:eastAsia="zh-CN"/>
              </w:rPr>
              <w:t>初期雨水经导排后最终从填埋库区西南侧进入雨水收集池，通过泵送到南侧垃圾填埋场处理。</w:t>
            </w:r>
            <w:r>
              <w:rPr>
                <w:rFonts w:hint="eastAsia" w:ascii="Times New Roman" w:hAnsi="Times New Roman" w:eastAsia="宋体"/>
                <w:color w:val="auto"/>
                <w:sz w:val="21"/>
                <w:szCs w:val="21"/>
              </w:rPr>
              <w:t>填埋区内设置</w:t>
            </w:r>
            <w:r>
              <w:rPr>
                <w:rFonts w:hint="eastAsia" w:ascii="Times New Roman" w:hAnsi="Times New Roman" w:eastAsia="宋体"/>
                <w:color w:val="auto"/>
                <w:sz w:val="21"/>
                <w:szCs w:val="21"/>
                <w:lang w:eastAsia="zh-CN"/>
              </w:rPr>
              <w:t>一</w:t>
            </w:r>
            <w:r>
              <w:rPr>
                <w:rFonts w:hint="eastAsia" w:ascii="Times New Roman" w:hAnsi="Times New Roman" w:eastAsia="宋体"/>
                <w:color w:val="auto"/>
                <w:sz w:val="21"/>
                <w:szCs w:val="21"/>
              </w:rPr>
              <w:t>座收集井，用于收集渗滤液，</w:t>
            </w:r>
            <w:r>
              <w:rPr>
                <w:rFonts w:hint="eastAsia" w:ascii="Times New Roman" w:hAnsi="Times New Roman" w:eastAsia="宋体"/>
                <w:color w:val="auto"/>
                <w:sz w:val="21"/>
                <w:szCs w:val="21"/>
                <w:lang w:eastAsia="zh-CN"/>
              </w:rPr>
              <w:t>渗滤液</w:t>
            </w:r>
            <w:r>
              <w:rPr>
                <w:rFonts w:hint="eastAsia" w:ascii="Times New Roman" w:hAnsi="Times New Roman" w:eastAsia="宋体" w:cs="宋体"/>
                <w:b w:val="0"/>
                <w:bCs w:val="0"/>
                <w:color w:val="auto"/>
                <w:sz w:val="21"/>
                <w:szCs w:val="21"/>
                <w:lang w:eastAsia="zh-CN"/>
              </w:rPr>
              <w:t>收集后送入厂区南侧的灵璧县生活垃圾填埋场处理，已于南侧生活垃圾填埋场签署协议（见附件），并建立台账记录。</w:t>
            </w:r>
            <w:r>
              <w:rPr>
                <w:rFonts w:hint="eastAsia" w:ascii="Times New Roman" w:hAnsi="Times New Roman" w:cs="宋体"/>
                <w:b w:val="0"/>
                <w:bCs w:val="0"/>
                <w:color w:val="auto"/>
                <w:sz w:val="21"/>
                <w:szCs w:val="21"/>
                <w:lang w:eastAsia="zh-CN"/>
              </w:rPr>
              <w:t>厂区不设</w:t>
            </w:r>
            <w:r>
              <w:rPr>
                <w:rFonts w:hint="eastAsia" w:ascii="Times New Roman" w:hAnsi="Times New Roman" w:eastAsia="宋体"/>
                <w:color w:val="auto"/>
                <w:sz w:val="21"/>
                <w:szCs w:val="21"/>
              </w:rPr>
              <w:t>管理区</w:t>
            </w:r>
            <w:r>
              <w:rPr>
                <w:rFonts w:hint="eastAsia" w:ascii="Times New Roman" w:hAnsi="Times New Roman"/>
                <w:color w:val="auto"/>
                <w:sz w:val="21"/>
                <w:szCs w:val="21"/>
                <w:lang w:eastAsia="zh-CN"/>
              </w:rPr>
              <w:t>，职工生活用水依托灵璧县生活垃圾填埋场，生活污水依托生活垃圾填埋场的处理设施。</w:t>
            </w:r>
          </w:p>
        </w:tc>
        <w:tc>
          <w:tcPr>
            <w:tcW w:w="1031" w:type="pct"/>
            <w:tcBorders>
              <w:tl2br w:val="nil"/>
              <w:tr2bl w:val="nil"/>
            </w:tcBorders>
            <w:noWrap w:val="0"/>
            <w:vAlign w:val="center"/>
          </w:tcPr>
          <w:p>
            <w:pPr>
              <w:jc w:val="center"/>
              <w:rPr>
                <w:rFonts w:hint="eastAsia" w:ascii="Times New Roman" w:hAnsi="Times New Roman" w:eastAsia="宋体"/>
                <w:color w:val="auto"/>
                <w:sz w:val="21"/>
                <w:szCs w:val="21"/>
              </w:rPr>
            </w:pPr>
            <w:r>
              <w:rPr>
                <w:rFonts w:hint="eastAsia" w:ascii="Times New Roman" w:hAnsi="Times New Roman" w:eastAsia="宋体"/>
                <w:color w:val="auto"/>
                <w:sz w:val="21"/>
                <w:szCs w:val="21"/>
                <w:lang w:val="en-US" w:eastAsia="zh-CN"/>
              </w:rPr>
              <w:t>实际运营过程中，</w:t>
            </w:r>
            <w:r>
              <w:rPr>
                <w:rFonts w:hint="eastAsia" w:ascii="Times New Roman" w:hAnsi="Times New Roman" w:eastAsia="宋体" w:cs="宋体"/>
                <w:color w:val="auto"/>
                <w:szCs w:val="21"/>
                <w:lang w:eastAsia="zh-CN"/>
              </w:rPr>
              <w:t>初期雨水经导排后最终从填埋库区西南侧进入雨水收集池，通过泵送到南侧垃圾填埋场处理；</w:t>
            </w:r>
            <w:r>
              <w:rPr>
                <w:rFonts w:hint="eastAsia" w:ascii="Times New Roman" w:hAnsi="Times New Roman" w:eastAsia="宋体"/>
                <w:color w:val="auto"/>
                <w:sz w:val="21"/>
                <w:szCs w:val="21"/>
                <w:lang w:val="en-US" w:eastAsia="zh-CN"/>
              </w:rPr>
              <w:t>渗滤液采用集中收集的方式，渗滤液收集采用场底导渗盲沟的方式，填埋区场底渗滤液导排系统由场底导流层、导排盲沟、集水井组成。在对场底进行平整后敷设500mm厚的碎石导流层，在导流层内构建纵横交错的主盲沟和次盲沟。主盲沟沿基底构建的主脊线布置，以2%的坡度倾向渗滤液竖井，盲沟内安装DN400 HDPE 穿孔管；次盲沟沿主盲沟两侧布置，与主盲沟交错形成鱼鳞状导排体系，盲沟内安装DN200 HDPE 穿孔管，渗滤液收集管线最终汇入1座集水井，1座集水井满足渗滤液收集要求。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5" w:type="pct"/>
            <w:vMerge w:val="continue"/>
            <w:tcBorders>
              <w:tl2br w:val="nil"/>
              <w:tr2bl w:val="nil"/>
            </w:tcBorders>
            <w:noWrap w:val="0"/>
            <w:vAlign w:val="center"/>
          </w:tcPr>
          <w:p>
            <w:pPr>
              <w:jc w:val="center"/>
              <w:rPr>
                <w:rFonts w:hint="eastAsia" w:ascii="Times New Roman" w:hAnsi="Times New Roman" w:eastAsia="宋体" w:cs="宋体"/>
                <w:color w:val="auto"/>
                <w:szCs w:val="21"/>
                <w:lang w:eastAsia="zh-CN"/>
              </w:rPr>
            </w:pPr>
          </w:p>
        </w:tc>
        <w:tc>
          <w:tcPr>
            <w:tcW w:w="288" w:type="pct"/>
            <w:vMerge w:val="restart"/>
            <w:tcBorders>
              <w:tl2br w:val="nil"/>
              <w:tr2bl w:val="nil"/>
            </w:tcBorders>
            <w:noWrap w:val="0"/>
            <w:vAlign w:val="center"/>
          </w:tcPr>
          <w:p>
            <w:pPr>
              <w:pStyle w:val="148"/>
              <w:spacing w:line="240" w:lineRule="auto"/>
              <w:jc w:val="center"/>
              <w:rPr>
                <w:rFonts w:hint="eastAsia" w:ascii="Times New Roman" w:hAnsi="Times New Roman" w:eastAsia="宋体"/>
                <w:color w:val="auto"/>
                <w:lang w:eastAsia="zh-CN"/>
              </w:rPr>
            </w:pPr>
            <w:r>
              <w:rPr>
                <w:rFonts w:hint="eastAsia" w:ascii="Times New Roman" w:hAnsi="Times New Roman" w:eastAsia="宋体"/>
                <w:color w:val="auto"/>
                <w:lang w:eastAsia="zh-CN"/>
              </w:rPr>
              <w:t>废气治理措施</w:t>
            </w:r>
          </w:p>
        </w:tc>
        <w:tc>
          <w:tcPr>
            <w:tcW w:w="1700" w:type="pct"/>
            <w:tcBorders>
              <w:tl2br w:val="nil"/>
              <w:tr2bl w:val="nil"/>
            </w:tcBorders>
            <w:noWrap w:val="0"/>
            <w:vAlign w:val="center"/>
          </w:tcPr>
          <w:p>
            <w:pPr>
              <w:pStyle w:val="149"/>
              <w:spacing w:line="240" w:lineRule="auto"/>
              <w:ind w:firstLine="0" w:firstLineChars="0"/>
              <w:jc w:val="center"/>
              <w:rPr>
                <w:rFonts w:hint="eastAsia" w:ascii="Times New Roman" w:hAnsi="Times New Roman" w:eastAsia="宋体"/>
                <w:color w:val="auto"/>
                <w:lang w:eastAsia="zh-CN"/>
              </w:rPr>
            </w:pPr>
            <w:r>
              <w:rPr>
                <w:rFonts w:hint="eastAsia" w:ascii="Times New Roman" w:hAnsi="Times New Roman" w:eastAsia="宋体" w:cs="宋体"/>
                <w:color w:val="auto"/>
                <w:sz w:val="21"/>
                <w:szCs w:val="21"/>
                <w:lang w:eastAsia="zh-CN"/>
              </w:rPr>
              <w:t>填埋场设置自动喷淋系统，填埋作业时洒水抑尘；填埋作业面覆盖防尘网，填埋至设计高度时及时覆土；</w:t>
            </w:r>
            <w:r>
              <w:rPr>
                <w:rFonts w:hint="eastAsia" w:ascii="Times New Roman" w:hAnsi="Times New Roman" w:eastAsia="宋体" w:cs="宋体"/>
                <w:color w:val="auto"/>
                <w:sz w:val="21"/>
                <w:szCs w:val="21"/>
              </w:rPr>
              <w:t>填埋固体废物要轻卸，严禁凌空抛洒；车辆上应覆盖蓬布，防止渣土跑、冒、撒、漏等污染环境；所有临时堆放的多尘物料均用帆布覆盖；场地要定期洒水；运输车量进入填埋场地应低速行驶</w:t>
            </w:r>
            <w:r>
              <w:rPr>
                <w:rFonts w:hint="eastAsia" w:ascii="Times New Roman" w:hAnsi="Times New Roman" w:eastAsia="宋体" w:cs="宋体"/>
                <w:color w:val="auto"/>
                <w:sz w:val="21"/>
                <w:szCs w:val="21"/>
                <w:lang w:eastAsia="zh-CN"/>
              </w:rPr>
              <w:t>。</w:t>
            </w:r>
          </w:p>
        </w:tc>
        <w:tc>
          <w:tcPr>
            <w:tcW w:w="1724" w:type="pct"/>
            <w:tcBorders>
              <w:tl2br w:val="nil"/>
              <w:tr2bl w:val="nil"/>
            </w:tcBorders>
            <w:noWrap w:val="0"/>
            <w:vAlign w:val="center"/>
          </w:tcPr>
          <w:p>
            <w:pPr>
              <w:pStyle w:val="149"/>
              <w:spacing w:line="240" w:lineRule="auto"/>
              <w:ind w:firstLine="0" w:firstLineChars="0"/>
              <w:jc w:val="center"/>
              <w:rPr>
                <w:rFonts w:hint="eastAsia" w:ascii="Times New Roman" w:hAnsi="Times New Roman" w:eastAsia="宋体" w:cstheme="minorBidi"/>
                <w:color w:val="auto"/>
                <w:kern w:val="2"/>
                <w:sz w:val="24"/>
                <w:szCs w:val="24"/>
                <w:lang w:val="en-US" w:eastAsia="zh-CN" w:bidi="ar-SA"/>
              </w:rPr>
            </w:pPr>
            <w:r>
              <w:rPr>
                <w:rFonts w:hint="eastAsia" w:ascii="Times New Roman" w:hAnsi="Times New Roman" w:eastAsia="宋体" w:cs="宋体"/>
                <w:color w:val="auto"/>
                <w:sz w:val="21"/>
                <w:szCs w:val="21"/>
                <w:lang w:eastAsia="zh-CN"/>
              </w:rPr>
              <w:t>填埋场未设置自动喷淋系统；填埋作业面覆盖防尘网，填埋至设计高度时及时覆土；</w:t>
            </w:r>
            <w:r>
              <w:rPr>
                <w:rFonts w:hint="eastAsia" w:ascii="Times New Roman" w:hAnsi="Times New Roman" w:eastAsia="宋体" w:cs="宋体"/>
                <w:color w:val="auto"/>
                <w:sz w:val="21"/>
                <w:szCs w:val="21"/>
              </w:rPr>
              <w:t>填埋固体废物要轻卸，严禁凌空抛洒；车辆上应覆盖蓬布，防止渣土跑、冒、撒、漏等污染环境；所有临时堆放的多尘物料均用帆布覆盖；运输车量进入填埋场地应低速行驶</w:t>
            </w:r>
            <w:r>
              <w:rPr>
                <w:rFonts w:hint="eastAsia" w:ascii="Times New Roman" w:hAnsi="Times New Roman" w:eastAsia="宋体" w:cs="宋体"/>
                <w:color w:val="auto"/>
                <w:sz w:val="21"/>
                <w:szCs w:val="21"/>
                <w:lang w:eastAsia="zh-CN"/>
              </w:rPr>
              <w:t>。</w:t>
            </w:r>
          </w:p>
        </w:tc>
        <w:tc>
          <w:tcPr>
            <w:tcW w:w="1031" w:type="pct"/>
            <w:tcBorders>
              <w:tl2br w:val="nil"/>
              <w:tr2bl w:val="nil"/>
            </w:tcBorders>
            <w:noWrap w:val="0"/>
            <w:vAlign w:val="center"/>
          </w:tcPr>
          <w:p>
            <w:pPr>
              <w:pStyle w:val="149"/>
              <w:spacing w:line="240" w:lineRule="auto"/>
              <w:ind w:firstLine="0" w:firstLineChars="0"/>
              <w:jc w:val="center"/>
              <w:rPr>
                <w:rFonts w:hint="eastAsia" w:ascii="Times New Roman" w:hAnsi="Times New Roman" w:eastAsia="宋体" w:cs="宋体"/>
                <w:color w:val="auto"/>
                <w:sz w:val="21"/>
                <w:szCs w:val="21"/>
                <w:lang w:eastAsia="zh-CN"/>
              </w:rPr>
            </w:pPr>
            <w:r>
              <w:rPr>
                <w:rFonts w:hint="eastAsia" w:ascii="Times New Roman" w:hAnsi="Times New Roman" w:eastAsia="宋体" w:cs="宋体"/>
                <w:color w:val="auto"/>
                <w:sz w:val="21"/>
                <w:szCs w:val="21"/>
                <w:lang w:eastAsia="zh-CN"/>
              </w:rPr>
              <w:t>填埋作业时洒水抑</w:t>
            </w:r>
            <w:r>
              <w:rPr>
                <w:rFonts w:hint="eastAsia" w:ascii="Times New Roman" w:hAnsi="Times New Roman" w:eastAsia="宋体" w:cstheme="minorBidi"/>
                <w:color w:val="auto"/>
                <w:kern w:val="2"/>
                <w:sz w:val="21"/>
                <w:szCs w:val="21"/>
                <w:lang w:val="en-US" w:eastAsia="zh-CN" w:bidi="ar-SA"/>
              </w:rPr>
              <w:t>尘；实际运行中，填埋的对象主要为轻度污染土壤，土壤的含湿量较高，通过定期洒水车洒水抑尘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5" w:type="pct"/>
            <w:vMerge w:val="continue"/>
            <w:tcBorders>
              <w:tl2br w:val="nil"/>
              <w:tr2bl w:val="nil"/>
            </w:tcBorders>
            <w:noWrap w:val="0"/>
            <w:vAlign w:val="center"/>
          </w:tcPr>
          <w:p>
            <w:pPr>
              <w:jc w:val="center"/>
              <w:rPr>
                <w:rFonts w:hint="eastAsia" w:ascii="Times New Roman" w:hAnsi="Times New Roman" w:eastAsia="宋体" w:cs="宋体"/>
                <w:color w:val="auto"/>
                <w:szCs w:val="21"/>
                <w:lang w:eastAsia="zh-CN"/>
              </w:rPr>
            </w:pPr>
          </w:p>
        </w:tc>
        <w:tc>
          <w:tcPr>
            <w:tcW w:w="288" w:type="pct"/>
            <w:vMerge w:val="continue"/>
            <w:tcBorders>
              <w:tl2br w:val="nil"/>
              <w:tr2bl w:val="nil"/>
            </w:tcBorders>
            <w:noWrap w:val="0"/>
            <w:vAlign w:val="center"/>
          </w:tcPr>
          <w:p>
            <w:pPr>
              <w:pStyle w:val="148"/>
              <w:spacing w:line="240" w:lineRule="auto"/>
              <w:jc w:val="center"/>
              <w:rPr>
                <w:rFonts w:hint="eastAsia" w:ascii="Times New Roman" w:hAnsi="Times New Roman" w:eastAsia="宋体"/>
                <w:color w:val="auto"/>
                <w:lang w:eastAsia="zh-CN"/>
              </w:rPr>
            </w:pPr>
          </w:p>
        </w:tc>
        <w:tc>
          <w:tcPr>
            <w:tcW w:w="1700" w:type="pct"/>
            <w:tcBorders>
              <w:tl2br w:val="nil"/>
              <w:tr2bl w:val="nil"/>
            </w:tcBorders>
            <w:noWrap w:val="0"/>
            <w:vAlign w:val="center"/>
          </w:tcPr>
          <w:p>
            <w:pPr>
              <w:jc w:val="center"/>
              <w:rPr>
                <w:rFonts w:hint="eastAsia" w:ascii="Times New Roman" w:hAnsi="Times New Roman" w:eastAsia="宋体"/>
                <w:color w:val="auto"/>
                <w:lang w:eastAsia="zh-CN"/>
              </w:rPr>
            </w:pPr>
            <w:r>
              <w:rPr>
                <w:rFonts w:hint="eastAsia" w:ascii="Times New Roman" w:hAnsi="Times New Roman" w:eastAsia="宋体" w:cs="宋体"/>
                <w:color w:val="auto"/>
                <w:szCs w:val="21"/>
              </w:rPr>
              <w:t>硬化路面、</w:t>
            </w:r>
            <w:r>
              <w:rPr>
                <w:rFonts w:hint="eastAsia" w:ascii="Times New Roman" w:hAnsi="Times New Roman" w:eastAsia="宋体" w:cs="宋体"/>
                <w:color w:val="auto"/>
                <w:szCs w:val="21"/>
                <w:lang w:eastAsia="zh-CN"/>
              </w:rPr>
              <w:t>道路清扫、</w:t>
            </w:r>
            <w:r>
              <w:rPr>
                <w:rFonts w:hint="eastAsia" w:ascii="Times New Roman" w:hAnsi="Times New Roman" w:eastAsia="宋体" w:cs="宋体"/>
                <w:color w:val="auto"/>
                <w:szCs w:val="21"/>
              </w:rPr>
              <w:t>控制车速、洒水降尘</w:t>
            </w:r>
            <w:r>
              <w:rPr>
                <w:rFonts w:hint="eastAsia" w:ascii="Times New Roman" w:hAnsi="Times New Roman" w:eastAsia="宋体" w:cs="宋体"/>
                <w:color w:val="auto"/>
                <w:szCs w:val="21"/>
                <w:lang w:eastAsia="zh-CN"/>
              </w:rPr>
              <w:t>。</w:t>
            </w:r>
          </w:p>
        </w:tc>
        <w:tc>
          <w:tcPr>
            <w:tcW w:w="1724" w:type="pct"/>
            <w:tcBorders>
              <w:tl2br w:val="nil"/>
              <w:tr2bl w:val="nil"/>
            </w:tcBorders>
            <w:noWrap w:val="0"/>
            <w:vAlign w:val="center"/>
          </w:tcPr>
          <w:p>
            <w:pPr>
              <w:jc w:val="center"/>
              <w:rPr>
                <w:rFonts w:hint="eastAsia" w:ascii="Times New Roman" w:hAnsi="Times New Roman" w:eastAsia="宋体" w:cstheme="minorBidi"/>
                <w:color w:val="auto"/>
                <w:kern w:val="2"/>
                <w:sz w:val="21"/>
                <w:szCs w:val="22"/>
                <w:lang w:val="en-US" w:eastAsia="zh-CN" w:bidi="ar-SA"/>
              </w:rPr>
            </w:pPr>
            <w:r>
              <w:rPr>
                <w:rFonts w:hint="eastAsia" w:ascii="Times New Roman" w:hAnsi="Times New Roman" w:eastAsia="宋体" w:cs="宋体"/>
                <w:color w:val="auto"/>
                <w:szCs w:val="21"/>
              </w:rPr>
              <w:t>硬化路面、</w:t>
            </w:r>
            <w:r>
              <w:rPr>
                <w:rFonts w:hint="eastAsia" w:ascii="Times New Roman" w:hAnsi="Times New Roman" w:eastAsia="宋体" w:cs="宋体"/>
                <w:color w:val="auto"/>
                <w:szCs w:val="21"/>
                <w:lang w:eastAsia="zh-CN"/>
              </w:rPr>
              <w:t>道路清扫、</w:t>
            </w:r>
            <w:r>
              <w:rPr>
                <w:rFonts w:hint="eastAsia" w:ascii="Times New Roman" w:hAnsi="Times New Roman" w:eastAsia="宋体" w:cs="宋体"/>
                <w:color w:val="auto"/>
                <w:szCs w:val="21"/>
              </w:rPr>
              <w:t>控制车速、洒水降尘</w:t>
            </w:r>
            <w:r>
              <w:rPr>
                <w:rFonts w:hint="eastAsia" w:ascii="Times New Roman" w:hAnsi="Times New Roman" w:eastAsia="宋体" w:cs="宋体"/>
                <w:color w:val="auto"/>
                <w:szCs w:val="21"/>
                <w:lang w:eastAsia="zh-CN"/>
              </w:rPr>
              <w:t>。</w:t>
            </w:r>
          </w:p>
        </w:tc>
        <w:tc>
          <w:tcPr>
            <w:tcW w:w="1031" w:type="pct"/>
            <w:tcBorders>
              <w:tl2br w:val="nil"/>
              <w:tr2bl w:val="nil"/>
            </w:tcBorders>
            <w:noWrap w:val="0"/>
            <w:vAlign w:val="center"/>
          </w:tcPr>
          <w:p>
            <w:pPr>
              <w:jc w:val="center"/>
              <w:rPr>
                <w:rFonts w:hint="eastAsia" w:ascii="Times New Roman" w:hAnsi="Times New Roman" w:eastAsia="宋体" w:cs="宋体"/>
                <w:color w:val="auto"/>
                <w:szCs w:val="21"/>
              </w:rPr>
            </w:pPr>
            <w:r>
              <w:rPr>
                <w:rFonts w:hint="eastAsia" w:ascii="Times New Roman" w:hAnsi="Times New Roman" w:eastAsia="宋体" w:cs="宋体"/>
                <w:color w:val="auto"/>
                <w:sz w:val="21"/>
                <w:szCs w:val="21"/>
                <w:lang w:eastAsia="zh-CN"/>
              </w:rPr>
              <w:t>一致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5" w:type="pct"/>
            <w:vMerge w:val="continue"/>
            <w:tcBorders>
              <w:tl2br w:val="nil"/>
              <w:tr2bl w:val="nil"/>
            </w:tcBorders>
            <w:noWrap w:val="0"/>
            <w:vAlign w:val="center"/>
          </w:tcPr>
          <w:p>
            <w:pPr>
              <w:jc w:val="center"/>
              <w:rPr>
                <w:rFonts w:hint="eastAsia" w:ascii="Times New Roman" w:hAnsi="Times New Roman" w:eastAsia="宋体" w:cs="宋体"/>
                <w:color w:val="auto"/>
                <w:szCs w:val="21"/>
                <w:lang w:eastAsia="zh-CN"/>
              </w:rPr>
            </w:pPr>
          </w:p>
        </w:tc>
        <w:tc>
          <w:tcPr>
            <w:tcW w:w="288" w:type="pct"/>
            <w:tcBorders>
              <w:tl2br w:val="nil"/>
              <w:tr2bl w:val="nil"/>
            </w:tcBorders>
            <w:noWrap w:val="0"/>
            <w:vAlign w:val="center"/>
          </w:tcPr>
          <w:p>
            <w:pPr>
              <w:pStyle w:val="148"/>
              <w:spacing w:line="240" w:lineRule="auto"/>
              <w:jc w:val="center"/>
              <w:rPr>
                <w:rFonts w:hint="eastAsia" w:ascii="Times New Roman" w:hAnsi="Times New Roman" w:eastAsia="宋体"/>
                <w:color w:val="auto"/>
                <w:lang w:eastAsia="zh-CN"/>
              </w:rPr>
            </w:pPr>
            <w:r>
              <w:rPr>
                <w:rFonts w:hint="eastAsia" w:ascii="Times New Roman" w:hAnsi="Times New Roman" w:eastAsia="宋体"/>
                <w:color w:val="auto"/>
                <w:lang w:eastAsia="zh-CN"/>
              </w:rPr>
              <w:t>噪声治理</w:t>
            </w:r>
          </w:p>
        </w:tc>
        <w:tc>
          <w:tcPr>
            <w:tcW w:w="1700" w:type="pct"/>
            <w:tcBorders>
              <w:tl2br w:val="nil"/>
              <w:tr2bl w:val="nil"/>
            </w:tcBorders>
            <w:noWrap w:val="0"/>
            <w:vAlign w:val="center"/>
          </w:tcPr>
          <w:p>
            <w:pPr>
              <w:jc w:val="center"/>
              <w:rPr>
                <w:rFonts w:hint="eastAsia" w:ascii="Times New Roman" w:hAnsi="Times New Roman" w:eastAsia="宋体"/>
                <w:color w:val="auto"/>
              </w:rPr>
            </w:pPr>
            <w:r>
              <w:rPr>
                <w:rFonts w:hint="eastAsia" w:ascii="Times New Roman" w:hAnsi="Times New Roman" w:eastAsia="宋体"/>
                <w:color w:val="auto"/>
                <w:lang w:val="zh-CN" w:eastAsia="zh-CN"/>
              </w:rPr>
              <w:t>本工程夜间基本不进行填埋操作，故夜间噪声影响可不考虑。该填埋场填埋机械大多位于填埋库区作业，受距离衰减、绿化隔离带等影响，运行期噪声影响较小。同时本工程处理量不大，作业机械运作时间不长，且为歇性作业。因此环评建议各类机械设备加强基座减振，时常维护，保持机械维持在良好的工作状况下，并修建绿化带，降低噪声的影响，使其噪声厂界达标，同时严格禁止夜间施工。</w:t>
            </w:r>
          </w:p>
        </w:tc>
        <w:tc>
          <w:tcPr>
            <w:tcW w:w="1724" w:type="pct"/>
            <w:tcBorders>
              <w:tl2br w:val="nil"/>
              <w:tr2bl w:val="nil"/>
            </w:tcBorders>
            <w:noWrap w:val="0"/>
            <w:vAlign w:val="center"/>
          </w:tcPr>
          <w:p>
            <w:pPr>
              <w:jc w:val="center"/>
              <w:rPr>
                <w:rFonts w:hint="eastAsia" w:ascii="Times New Roman" w:hAnsi="Times New Roman" w:eastAsia="宋体" w:cstheme="minorBidi"/>
                <w:color w:val="auto"/>
                <w:kern w:val="2"/>
                <w:sz w:val="21"/>
                <w:szCs w:val="22"/>
                <w:lang w:val="zh-CN" w:eastAsia="zh-CN" w:bidi="ar-SA"/>
              </w:rPr>
            </w:pPr>
            <w:r>
              <w:rPr>
                <w:rFonts w:hint="eastAsia" w:ascii="Times New Roman" w:hAnsi="Times New Roman" w:eastAsia="宋体"/>
                <w:color w:val="auto"/>
                <w:lang w:val="zh-CN" w:eastAsia="zh-CN"/>
              </w:rPr>
              <w:t>各类机械设备加强基座减振，时常维护，保持机械维持在良好的工作状况下，并修建绿化带，降低噪声的影响，使其噪声厂界达标，同时严格禁止夜间施工。</w:t>
            </w:r>
          </w:p>
        </w:tc>
        <w:tc>
          <w:tcPr>
            <w:tcW w:w="1031" w:type="pct"/>
            <w:tcBorders>
              <w:tl2br w:val="nil"/>
              <w:tr2bl w:val="nil"/>
            </w:tcBorders>
            <w:noWrap w:val="0"/>
            <w:vAlign w:val="center"/>
          </w:tcPr>
          <w:p>
            <w:pPr>
              <w:jc w:val="center"/>
              <w:rPr>
                <w:rFonts w:hint="eastAsia" w:ascii="Times New Roman" w:hAnsi="Times New Roman" w:eastAsia="宋体"/>
                <w:color w:val="auto"/>
                <w:lang w:val="zh-CN" w:eastAsia="zh-CN"/>
              </w:rPr>
            </w:pPr>
            <w:r>
              <w:rPr>
                <w:rFonts w:hint="eastAsia" w:ascii="Times New Roman" w:hAnsi="Times New Roman" w:eastAsia="宋体" w:cs="宋体"/>
                <w:color w:val="auto"/>
                <w:sz w:val="21"/>
                <w:szCs w:val="21"/>
                <w:lang w:eastAsia="zh-CN"/>
              </w:rPr>
              <w:t>一致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5" w:type="pct"/>
            <w:vMerge w:val="continue"/>
            <w:tcBorders>
              <w:tl2br w:val="nil"/>
              <w:tr2bl w:val="nil"/>
            </w:tcBorders>
            <w:noWrap w:val="0"/>
            <w:vAlign w:val="center"/>
          </w:tcPr>
          <w:p>
            <w:pPr>
              <w:jc w:val="center"/>
              <w:rPr>
                <w:rFonts w:hint="eastAsia" w:ascii="Times New Roman" w:hAnsi="Times New Roman" w:eastAsia="宋体" w:cs="宋体"/>
                <w:color w:val="auto"/>
                <w:szCs w:val="21"/>
                <w:lang w:eastAsia="zh-CN"/>
              </w:rPr>
            </w:pPr>
          </w:p>
        </w:tc>
        <w:tc>
          <w:tcPr>
            <w:tcW w:w="288" w:type="pct"/>
            <w:tcBorders>
              <w:tl2br w:val="nil"/>
              <w:tr2bl w:val="nil"/>
            </w:tcBorders>
            <w:noWrap w:val="0"/>
            <w:vAlign w:val="center"/>
          </w:tcPr>
          <w:p>
            <w:pPr>
              <w:pStyle w:val="148"/>
              <w:spacing w:line="240" w:lineRule="auto"/>
              <w:jc w:val="center"/>
              <w:rPr>
                <w:rFonts w:hint="eastAsia" w:ascii="Times New Roman" w:hAnsi="Times New Roman" w:eastAsia="宋体"/>
                <w:color w:val="auto"/>
                <w:lang w:eastAsia="zh-CN"/>
              </w:rPr>
            </w:pPr>
            <w:r>
              <w:rPr>
                <w:rFonts w:hint="eastAsia" w:ascii="Times New Roman" w:hAnsi="Times New Roman" w:eastAsia="宋体"/>
                <w:color w:val="auto"/>
                <w:lang w:eastAsia="zh-CN"/>
              </w:rPr>
              <w:t>固废治理</w:t>
            </w:r>
          </w:p>
        </w:tc>
        <w:tc>
          <w:tcPr>
            <w:tcW w:w="1700" w:type="pct"/>
            <w:tcBorders>
              <w:tl2br w:val="nil"/>
              <w:tr2bl w:val="nil"/>
            </w:tcBorders>
            <w:noWrap w:val="0"/>
            <w:vAlign w:val="center"/>
          </w:tcPr>
          <w:p>
            <w:pPr>
              <w:jc w:val="center"/>
              <w:rPr>
                <w:rFonts w:hint="eastAsia" w:ascii="Times New Roman" w:hAnsi="Times New Roman" w:eastAsia="宋体"/>
                <w:color w:val="auto"/>
              </w:rPr>
            </w:pPr>
            <w:r>
              <w:rPr>
                <w:rFonts w:hint="eastAsia" w:ascii="Times New Roman" w:hAnsi="Times New Roman" w:eastAsia="宋体"/>
                <w:color w:val="auto"/>
              </w:rPr>
              <w:t>运营期固体废物污染源主要是职工日常生活垃圾，场内设置垃圾收集桶，由环卫部门及时清运</w:t>
            </w:r>
            <w:r>
              <w:rPr>
                <w:rFonts w:hint="eastAsia" w:ascii="Times New Roman" w:hAnsi="Times New Roman" w:eastAsia="宋体"/>
                <w:color w:val="auto"/>
                <w:lang w:val="zh-CN" w:eastAsia="zh-CN"/>
              </w:rPr>
              <w:t>处理。</w:t>
            </w:r>
          </w:p>
        </w:tc>
        <w:tc>
          <w:tcPr>
            <w:tcW w:w="1724" w:type="pct"/>
            <w:tcBorders>
              <w:tl2br w:val="nil"/>
              <w:tr2bl w:val="nil"/>
            </w:tcBorders>
            <w:noWrap w:val="0"/>
            <w:vAlign w:val="center"/>
          </w:tcPr>
          <w:p>
            <w:pPr>
              <w:jc w:val="center"/>
              <w:rPr>
                <w:rFonts w:hint="eastAsia" w:ascii="Times New Roman" w:hAnsi="Times New Roman" w:eastAsia="宋体" w:cstheme="minorBidi"/>
                <w:color w:val="auto"/>
                <w:kern w:val="2"/>
                <w:sz w:val="21"/>
                <w:szCs w:val="22"/>
                <w:lang w:val="en-US" w:eastAsia="zh-CN" w:bidi="ar-SA"/>
              </w:rPr>
            </w:pPr>
            <w:r>
              <w:rPr>
                <w:rFonts w:hint="eastAsia" w:ascii="Times New Roman" w:hAnsi="Times New Roman" w:eastAsia="宋体" w:cstheme="minorBidi"/>
                <w:color w:val="auto"/>
                <w:kern w:val="2"/>
                <w:sz w:val="21"/>
                <w:szCs w:val="22"/>
                <w:lang w:val="en-US" w:eastAsia="zh-CN" w:bidi="ar-SA"/>
              </w:rPr>
              <w:t>本项目不设管理区，不产生生活垃圾</w:t>
            </w:r>
          </w:p>
        </w:tc>
        <w:tc>
          <w:tcPr>
            <w:tcW w:w="1031" w:type="pct"/>
            <w:tcBorders>
              <w:tl2br w:val="nil"/>
              <w:tr2bl w:val="nil"/>
            </w:tcBorders>
            <w:noWrap w:val="0"/>
            <w:vAlign w:val="center"/>
          </w:tcPr>
          <w:p>
            <w:pPr>
              <w:jc w:val="center"/>
              <w:rPr>
                <w:rFonts w:hint="eastAsia" w:ascii="Times New Roman" w:hAnsi="Times New Roman" w:eastAsia="宋体"/>
                <w:color w:val="FF0000"/>
              </w:rPr>
            </w:pPr>
            <w:r>
              <w:rPr>
                <w:rFonts w:hint="eastAsia" w:ascii="Times New Roman" w:hAnsi="Times New Roman" w:eastAsia="宋体" w:cstheme="minorBidi"/>
                <w:color w:val="auto"/>
                <w:kern w:val="2"/>
                <w:sz w:val="21"/>
                <w:szCs w:val="22"/>
                <w:lang w:val="en-US" w:eastAsia="zh-CN" w:bidi="ar-SA"/>
              </w:rPr>
              <w:t>不产生生活垃圾</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5" w:type="pct"/>
            <w:vMerge w:val="continue"/>
            <w:tcBorders>
              <w:tl2br w:val="nil"/>
              <w:tr2bl w:val="nil"/>
            </w:tcBorders>
            <w:noWrap w:val="0"/>
            <w:vAlign w:val="center"/>
          </w:tcPr>
          <w:p>
            <w:pPr>
              <w:jc w:val="center"/>
              <w:rPr>
                <w:rFonts w:hint="eastAsia" w:ascii="Times New Roman" w:hAnsi="Times New Roman" w:eastAsia="宋体" w:cs="宋体"/>
                <w:color w:val="auto"/>
                <w:szCs w:val="21"/>
                <w:lang w:eastAsia="zh-CN"/>
              </w:rPr>
            </w:pPr>
          </w:p>
        </w:tc>
        <w:tc>
          <w:tcPr>
            <w:tcW w:w="288" w:type="pct"/>
            <w:tcBorders>
              <w:tl2br w:val="nil"/>
              <w:tr2bl w:val="nil"/>
            </w:tcBorders>
            <w:noWrap w:val="0"/>
            <w:vAlign w:val="center"/>
          </w:tcPr>
          <w:p>
            <w:pPr>
              <w:pStyle w:val="148"/>
              <w:spacing w:line="240" w:lineRule="auto"/>
              <w:jc w:val="center"/>
              <w:rPr>
                <w:rFonts w:hint="eastAsia" w:ascii="Times New Roman" w:hAnsi="Times New Roman" w:eastAsia="宋体"/>
                <w:color w:val="auto"/>
                <w:lang w:eastAsia="zh-CN"/>
              </w:rPr>
            </w:pPr>
            <w:r>
              <w:rPr>
                <w:rFonts w:hint="eastAsia" w:ascii="Times New Roman" w:hAnsi="Times New Roman" w:eastAsia="宋体"/>
                <w:color w:val="auto"/>
                <w:lang w:eastAsia="zh-CN"/>
              </w:rPr>
              <w:t>环境风险</w:t>
            </w:r>
          </w:p>
        </w:tc>
        <w:tc>
          <w:tcPr>
            <w:tcW w:w="1700" w:type="pct"/>
            <w:tcBorders>
              <w:tl2br w:val="nil"/>
              <w:tr2bl w:val="nil"/>
            </w:tcBorders>
            <w:noWrap w:val="0"/>
            <w:vAlign w:val="center"/>
          </w:tcPr>
          <w:p>
            <w:pPr>
              <w:jc w:val="center"/>
              <w:rPr>
                <w:rFonts w:hint="eastAsia" w:ascii="Times New Roman" w:hAnsi="Times New Roman" w:eastAsia="宋体"/>
                <w:color w:val="auto"/>
                <w:lang w:eastAsia="zh-CN"/>
              </w:rPr>
            </w:pPr>
            <w:r>
              <w:rPr>
                <w:rFonts w:hint="eastAsia" w:ascii="Times New Roman" w:hAnsi="Times New Roman" w:eastAsia="宋体" w:cs="宋体"/>
                <w:color w:val="auto"/>
                <w:sz w:val="21"/>
                <w:szCs w:val="21"/>
                <w:lang w:eastAsia="zh-CN"/>
              </w:rPr>
              <w:t>填埋</w:t>
            </w:r>
            <w:r>
              <w:rPr>
                <w:rFonts w:hint="eastAsia" w:ascii="Times New Roman" w:hAnsi="Times New Roman" w:eastAsia="宋体" w:cs="宋体"/>
                <w:color w:val="auto"/>
                <w:sz w:val="21"/>
                <w:szCs w:val="21"/>
                <w:lang w:val="en-US" w:eastAsia="zh-CN"/>
              </w:rPr>
              <w:t>区、渗滤液收集管道、渗滤液收集井、坝基和坝肩</w:t>
            </w:r>
            <w:r>
              <w:rPr>
                <w:rFonts w:hint="eastAsia" w:ascii="Times New Roman" w:hAnsi="Times New Roman" w:eastAsia="宋体" w:cs="宋体"/>
                <w:color w:val="auto"/>
                <w:sz w:val="21"/>
                <w:szCs w:val="21"/>
                <w:lang w:eastAsia="zh-CN"/>
              </w:rPr>
              <w:t>等</w:t>
            </w:r>
            <w:r>
              <w:rPr>
                <w:rFonts w:hint="eastAsia" w:ascii="Times New Roman" w:hAnsi="Times New Roman" w:eastAsia="宋体" w:cs="宋体"/>
                <w:color w:val="auto"/>
                <w:sz w:val="21"/>
                <w:szCs w:val="21"/>
              </w:rPr>
              <w:t>重点防渗</w:t>
            </w:r>
            <w:r>
              <w:rPr>
                <w:rFonts w:hint="eastAsia" w:ascii="Times New Roman" w:hAnsi="Times New Roman" w:eastAsia="宋体" w:cs="宋体"/>
                <w:color w:val="auto"/>
                <w:sz w:val="21"/>
                <w:szCs w:val="21"/>
                <w:lang w:eastAsia="zh-CN"/>
              </w:rPr>
              <w:t>。</w:t>
            </w:r>
          </w:p>
        </w:tc>
        <w:tc>
          <w:tcPr>
            <w:tcW w:w="1724" w:type="pct"/>
            <w:tcBorders>
              <w:tl2br w:val="nil"/>
              <w:tr2bl w:val="nil"/>
            </w:tcBorders>
            <w:noWrap w:val="0"/>
            <w:vAlign w:val="center"/>
          </w:tcPr>
          <w:p>
            <w:pPr>
              <w:jc w:val="center"/>
              <w:rPr>
                <w:rFonts w:hint="eastAsia" w:ascii="Times New Roman" w:hAnsi="Times New Roman" w:eastAsia="宋体" w:cstheme="minorBidi"/>
                <w:color w:val="auto"/>
                <w:kern w:val="2"/>
                <w:sz w:val="21"/>
                <w:szCs w:val="22"/>
                <w:lang w:val="en-US" w:eastAsia="zh-CN" w:bidi="ar-SA"/>
              </w:rPr>
            </w:pPr>
            <w:r>
              <w:rPr>
                <w:rFonts w:hint="eastAsia" w:ascii="Times New Roman" w:hAnsi="Times New Roman" w:eastAsia="宋体" w:cs="宋体"/>
                <w:color w:val="auto"/>
                <w:sz w:val="21"/>
                <w:szCs w:val="21"/>
                <w:lang w:eastAsia="zh-CN"/>
              </w:rPr>
              <w:t>填埋</w:t>
            </w:r>
            <w:r>
              <w:rPr>
                <w:rFonts w:hint="eastAsia" w:ascii="Times New Roman" w:hAnsi="Times New Roman" w:eastAsia="宋体" w:cs="宋体"/>
                <w:color w:val="auto"/>
                <w:sz w:val="21"/>
                <w:szCs w:val="21"/>
                <w:lang w:val="en-US" w:eastAsia="zh-CN"/>
              </w:rPr>
              <w:t>区、渗滤液收集管道、渗滤液收集井、坝基和坝肩</w:t>
            </w:r>
            <w:r>
              <w:rPr>
                <w:rFonts w:hint="eastAsia" w:ascii="Times New Roman" w:hAnsi="Times New Roman" w:eastAsia="宋体" w:cs="宋体"/>
                <w:color w:val="auto"/>
                <w:sz w:val="21"/>
                <w:szCs w:val="21"/>
                <w:lang w:eastAsia="zh-CN"/>
              </w:rPr>
              <w:t>等</w:t>
            </w:r>
            <w:r>
              <w:rPr>
                <w:rFonts w:hint="eastAsia" w:ascii="Times New Roman" w:hAnsi="Times New Roman" w:eastAsia="宋体" w:cs="宋体"/>
                <w:color w:val="auto"/>
                <w:sz w:val="21"/>
                <w:szCs w:val="21"/>
              </w:rPr>
              <w:t>重点防渗</w:t>
            </w:r>
            <w:r>
              <w:rPr>
                <w:rFonts w:hint="eastAsia" w:ascii="Times New Roman" w:hAnsi="Times New Roman" w:eastAsia="宋体" w:cs="宋体"/>
                <w:color w:val="auto"/>
                <w:sz w:val="21"/>
                <w:szCs w:val="21"/>
                <w:lang w:eastAsia="zh-CN"/>
              </w:rPr>
              <w:t>。</w:t>
            </w:r>
          </w:p>
        </w:tc>
        <w:tc>
          <w:tcPr>
            <w:tcW w:w="1031" w:type="pct"/>
            <w:tcBorders>
              <w:tl2br w:val="nil"/>
              <w:tr2bl w:val="nil"/>
            </w:tcBorders>
            <w:noWrap w:val="0"/>
            <w:vAlign w:val="center"/>
          </w:tcPr>
          <w:p>
            <w:pPr>
              <w:jc w:val="center"/>
              <w:rPr>
                <w:rFonts w:hint="eastAsia" w:ascii="Times New Roman" w:hAnsi="Times New Roman" w:eastAsia="宋体" w:cs="宋体"/>
                <w:color w:val="FF0000"/>
                <w:sz w:val="21"/>
                <w:szCs w:val="21"/>
                <w:lang w:eastAsia="zh-CN"/>
              </w:rPr>
            </w:pPr>
            <w:r>
              <w:rPr>
                <w:rFonts w:hint="eastAsia" w:ascii="Times New Roman" w:hAnsi="Times New Roman" w:eastAsia="宋体" w:cs="宋体"/>
                <w:color w:val="auto"/>
                <w:sz w:val="21"/>
                <w:szCs w:val="21"/>
                <w:lang w:eastAsia="zh-CN"/>
              </w:rPr>
              <w:t>一致</w:t>
            </w:r>
          </w:p>
        </w:tc>
      </w:tr>
    </w:tbl>
    <w:p>
      <w:pPr>
        <w:jc w:val="center"/>
        <w:rPr>
          <w:rFonts w:ascii="Times New Roman" w:hAnsi="Times New Roman" w:cs="Times New Roman"/>
          <w:b/>
          <w:color w:val="auto"/>
          <w:szCs w:val="21"/>
        </w:rPr>
      </w:pPr>
    </w:p>
    <w:p>
      <w:pPr>
        <w:pStyle w:val="2"/>
        <w:rPr>
          <w:rFonts w:ascii="Times New Roman" w:hAnsi="Times New Roman"/>
          <w:color w:val="auto"/>
        </w:rPr>
      </w:pPr>
    </w:p>
    <w:p>
      <w:pPr>
        <w:pStyle w:val="104"/>
        <w:spacing w:line="240" w:lineRule="auto"/>
        <w:ind w:firstLine="0" w:firstLineChars="0"/>
        <w:jc w:val="center"/>
        <w:rPr>
          <w:rFonts w:ascii="Times New Roman" w:hAnsi="Times New Roman"/>
          <w:b/>
          <w:bCs/>
          <w:color w:val="auto"/>
          <w:sz w:val="21"/>
          <w:szCs w:val="21"/>
        </w:rPr>
      </w:pPr>
    </w:p>
    <w:p>
      <w:pPr>
        <w:pStyle w:val="104"/>
        <w:spacing w:line="240" w:lineRule="auto"/>
        <w:ind w:firstLine="0" w:firstLineChars="0"/>
        <w:jc w:val="center"/>
        <w:rPr>
          <w:rFonts w:ascii="Times New Roman" w:hAnsi="Times New Roman"/>
          <w:b/>
          <w:bCs/>
          <w:color w:val="auto"/>
          <w:sz w:val="21"/>
          <w:szCs w:val="21"/>
        </w:rPr>
      </w:pPr>
    </w:p>
    <w:p>
      <w:pPr>
        <w:pStyle w:val="104"/>
        <w:spacing w:line="240" w:lineRule="auto"/>
        <w:ind w:firstLine="0" w:firstLineChars="0"/>
        <w:jc w:val="center"/>
        <w:rPr>
          <w:rFonts w:ascii="Times New Roman" w:hAnsi="Times New Roman"/>
          <w:b/>
          <w:bCs/>
          <w:color w:val="auto"/>
          <w:sz w:val="21"/>
          <w:szCs w:val="21"/>
        </w:rPr>
      </w:pPr>
    </w:p>
    <w:p>
      <w:pPr>
        <w:pStyle w:val="104"/>
        <w:spacing w:line="240" w:lineRule="auto"/>
        <w:ind w:firstLine="0" w:firstLineChars="0"/>
        <w:jc w:val="center"/>
        <w:rPr>
          <w:rFonts w:ascii="Times New Roman" w:hAnsi="Times New Roman"/>
          <w:b/>
          <w:bCs/>
          <w:color w:val="auto"/>
          <w:sz w:val="21"/>
          <w:szCs w:val="21"/>
        </w:rPr>
      </w:pPr>
    </w:p>
    <w:p>
      <w:pPr>
        <w:pStyle w:val="104"/>
        <w:spacing w:line="240" w:lineRule="auto"/>
        <w:ind w:firstLine="0" w:firstLineChars="0"/>
        <w:jc w:val="both"/>
        <w:rPr>
          <w:rFonts w:ascii="Times New Roman" w:hAnsi="Times New Roman"/>
          <w:b/>
          <w:bCs/>
          <w:color w:val="auto"/>
          <w:sz w:val="21"/>
          <w:szCs w:val="21"/>
        </w:rPr>
      </w:pPr>
    </w:p>
    <w:p>
      <w:pPr>
        <w:pStyle w:val="104"/>
        <w:spacing w:line="240" w:lineRule="auto"/>
        <w:ind w:firstLine="0" w:firstLineChars="0"/>
        <w:jc w:val="center"/>
        <w:rPr>
          <w:rFonts w:ascii="Times New Roman" w:hAnsi="Times New Roman"/>
          <w:b/>
          <w:bCs/>
          <w:color w:val="auto"/>
          <w:sz w:val="21"/>
          <w:szCs w:val="21"/>
        </w:rPr>
        <w:sectPr>
          <w:pgSz w:w="16838" w:h="11906" w:orient="landscape"/>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p>
    <w:p>
      <w:pPr>
        <w:pStyle w:val="6"/>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color w:val="auto"/>
        </w:rPr>
      </w:pPr>
      <w:bookmarkStart w:id="14" w:name="_Toc1369"/>
      <w:bookmarkStart w:id="15" w:name="_Toc507454868"/>
      <w:r>
        <w:rPr>
          <w:rFonts w:hint="eastAsia" w:ascii="Times New Roman" w:hAnsi="Times New Roman"/>
          <w:color w:val="auto"/>
        </w:rPr>
        <w:t>3.</w:t>
      </w:r>
      <w:r>
        <w:rPr>
          <w:rFonts w:hint="eastAsia" w:ascii="Times New Roman" w:hAnsi="Times New Roman"/>
          <w:color w:val="auto"/>
          <w:lang w:val="en-US" w:eastAsia="zh-CN"/>
        </w:rPr>
        <w:t>3</w:t>
      </w:r>
      <w:r>
        <w:rPr>
          <w:rFonts w:hint="eastAsia" w:ascii="Times New Roman" w:hAnsi="Times New Roman"/>
          <w:color w:val="auto"/>
          <w:lang w:eastAsia="zh-CN"/>
        </w:rPr>
        <w:t>主要</w:t>
      </w:r>
      <w:r>
        <w:rPr>
          <w:rFonts w:hint="eastAsia" w:ascii="Times New Roman" w:hAnsi="Times New Roman"/>
          <w:color w:val="auto"/>
        </w:rPr>
        <w:t>设备</w:t>
      </w:r>
      <w:bookmarkEnd w:id="14"/>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color w:val="auto"/>
          <w:sz w:val="24"/>
        </w:rPr>
      </w:pPr>
      <w:r>
        <w:rPr>
          <w:rFonts w:hint="eastAsia" w:ascii="Times New Roman" w:hAnsi="Times New Roman" w:eastAsia="宋体" w:cs="宋体"/>
          <w:color w:val="auto"/>
          <w:sz w:val="24"/>
        </w:rPr>
        <w:t>填埋场采用分层摊铺、往返碾压、分单元逐日的填埋工艺。固体废物通过作业平台和临时道路进入填埋库区的填埋作业小区卸车，然后由填埋机械摊铺、碾压和覆盖。</w:t>
      </w:r>
    </w:p>
    <w:p>
      <w:pPr>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宋体"/>
          <w:b/>
          <w:bCs/>
          <w:color w:val="auto"/>
          <w:sz w:val="21"/>
          <w:szCs w:val="21"/>
          <w:lang w:val="en-US" w:eastAsia="zh-CN"/>
        </w:rPr>
      </w:pPr>
      <w:r>
        <w:rPr>
          <w:rFonts w:hint="eastAsia" w:ascii="Times New Roman" w:hAnsi="Times New Roman" w:eastAsia="宋体" w:cs="宋体"/>
          <w:b/>
          <w:bCs/>
          <w:color w:val="auto"/>
          <w:sz w:val="21"/>
          <w:szCs w:val="21"/>
          <w:lang w:val="en-US" w:eastAsia="zh-CN"/>
        </w:rPr>
        <w:t>表2.2-4  填埋作业主要设备一览表</w:t>
      </w:r>
    </w:p>
    <w:tbl>
      <w:tblPr>
        <w:tblStyle w:val="30"/>
        <w:tblW w:w="9071"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811"/>
        <w:gridCol w:w="1812"/>
        <w:gridCol w:w="1812"/>
        <w:gridCol w:w="1817"/>
        <w:gridCol w:w="181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98" w:type="pct"/>
            <w:tcBorders>
              <w:tl2br w:val="nil"/>
              <w:tr2bl w:val="nil"/>
            </w:tcBorders>
            <w:noWrap w:val="0"/>
            <w:vAlign w:val="center"/>
          </w:tcPr>
          <w:p>
            <w:pPr>
              <w:widowControl w:val="0"/>
              <w:numPr>
                <w:ilvl w:val="0"/>
                <w:numId w:val="0"/>
              </w:numPr>
              <w:spacing w:line="240" w:lineRule="auto"/>
              <w:jc w:val="center"/>
              <w:rPr>
                <w:rFonts w:hint="eastAsia" w:ascii="Times New Roman" w:hAnsi="Times New Roman" w:eastAsia="宋体" w:cs="宋体"/>
                <w:b/>
                <w:bCs/>
                <w:color w:val="auto"/>
                <w:sz w:val="21"/>
                <w:szCs w:val="21"/>
                <w:vertAlign w:val="baseline"/>
                <w:lang w:val="en-US" w:eastAsia="zh-CN"/>
              </w:rPr>
            </w:pPr>
            <w:r>
              <w:rPr>
                <w:rFonts w:hint="eastAsia" w:ascii="Times New Roman" w:hAnsi="Times New Roman" w:eastAsia="宋体" w:cs="宋体"/>
                <w:b/>
                <w:bCs/>
                <w:color w:val="auto"/>
                <w:sz w:val="21"/>
                <w:szCs w:val="21"/>
                <w:vertAlign w:val="baseline"/>
                <w:lang w:val="en-US" w:eastAsia="zh-CN"/>
              </w:rPr>
              <w:t>序号</w:t>
            </w:r>
          </w:p>
        </w:tc>
        <w:tc>
          <w:tcPr>
            <w:tcW w:w="998" w:type="pct"/>
            <w:tcBorders>
              <w:tl2br w:val="nil"/>
              <w:tr2bl w:val="nil"/>
            </w:tcBorders>
            <w:noWrap w:val="0"/>
            <w:vAlign w:val="center"/>
          </w:tcPr>
          <w:p>
            <w:pPr>
              <w:widowControl w:val="0"/>
              <w:numPr>
                <w:ilvl w:val="0"/>
                <w:numId w:val="0"/>
              </w:numPr>
              <w:spacing w:line="240" w:lineRule="auto"/>
              <w:jc w:val="center"/>
              <w:rPr>
                <w:rFonts w:hint="eastAsia" w:ascii="Times New Roman" w:hAnsi="Times New Roman" w:eastAsia="宋体" w:cs="宋体"/>
                <w:b/>
                <w:bCs/>
                <w:color w:val="auto"/>
                <w:sz w:val="21"/>
                <w:szCs w:val="21"/>
                <w:vertAlign w:val="baseline"/>
                <w:lang w:val="en-US" w:eastAsia="zh-CN"/>
              </w:rPr>
            </w:pPr>
            <w:r>
              <w:rPr>
                <w:rFonts w:hint="eastAsia" w:ascii="Times New Roman" w:hAnsi="Times New Roman" w:eastAsia="宋体" w:cs="宋体"/>
                <w:b/>
                <w:bCs/>
                <w:color w:val="auto"/>
                <w:sz w:val="21"/>
                <w:szCs w:val="21"/>
                <w:vertAlign w:val="baseline"/>
                <w:lang w:val="en-US" w:eastAsia="zh-CN"/>
              </w:rPr>
              <w:t>项目</w:t>
            </w:r>
          </w:p>
        </w:tc>
        <w:tc>
          <w:tcPr>
            <w:tcW w:w="998" w:type="pct"/>
            <w:tcBorders>
              <w:tl2br w:val="nil"/>
              <w:tr2bl w:val="nil"/>
            </w:tcBorders>
            <w:noWrap w:val="0"/>
            <w:vAlign w:val="center"/>
          </w:tcPr>
          <w:p>
            <w:pPr>
              <w:widowControl w:val="0"/>
              <w:numPr>
                <w:ilvl w:val="0"/>
                <w:numId w:val="0"/>
              </w:numPr>
              <w:spacing w:line="240" w:lineRule="auto"/>
              <w:jc w:val="center"/>
              <w:rPr>
                <w:rFonts w:hint="eastAsia" w:ascii="Times New Roman" w:hAnsi="Times New Roman" w:eastAsia="宋体" w:cs="宋体"/>
                <w:b/>
                <w:bCs/>
                <w:color w:val="auto"/>
                <w:sz w:val="21"/>
                <w:szCs w:val="21"/>
                <w:vertAlign w:val="baseline"/>
                <w:lang w:val="en-US" w:eastAsia="zh-CN"/>
              </w:rPr>
            </w:pPr>
            <w:r>
              <w:rPr>
                <w:rFonts w:hint="eastAsia" w:ascii="Times New Roman" w:hAnsi="Times New Roman" w:eastAsia="宋体" w:cs="宋体"/>
                <w:b/>
                <w:bCs/>
                <w:color w:val="auto"/>
                <w:sz w:val="21"/>
                <w:szCs w:val="21"/>
                <w:vertAlign w:val="baseline"/>
                <w:lang w:val="en-US" w:eastAsia="zh-CN"/>
              </w:rPr>
              <w:t>单位</w:t>
            </w:r>
          </w:p>
        </w:tc>
        <w:tc>
          <w:tcPr>
            <w:tcW w:w="1001" w:type="pct"/>
            <w:tcBorders>
              <w:tl2br w:val="nil"/>
              <w:tr2bl w:val="nil"/>
            </w:tcBorders>
            <w:noWrap w:val="0"/>
            <w:vAlign w:val="center"/>
          </w:tcPr>
          <w:p>
            <w:pPr>
              <w:widowControl w:val="0"/>
              <w:numPr>
                <w:ilvl w:val="0"/>
                <w:numId w:val="0"/>
              </w:numPr>
              <w:spacing w:line="240" w:lineRule="auto"/>
              <w:jc w:val="center"/>
              <w:rPr>
                <w:rFonts w:hint="eastAsia" w:ascii="Times New Roman" w:hAnsi="Times New Roman" w:eastAsia="宋体" w:cs="宋体"/>
                <w:b/>
                <w:bCs/>
                <w:color w:val="auto"/>
                <w:sz w:val="21"/>
                <w:szCs w:val="21"/>
                <w:vertAlign w:val="baseline"/>
                <w:lang w:val="en-US" w:eastAsia="zh-CN"/>
              </w:rPr>
            </w:pPr>
            <w:r>
              <w:rPr>
                <w:rFonts w:hint="eastAsia" w:ascii="Times New Roman" w:hAnsi="Times New Roman" w:eastAsia="宋体" w:cs="宋体"/>
                <w:b/>
                <w:bCs/>
                <w:color w:val="auto"/>
                <w:sz w:val="21"/>
                <w:szCs w:val="21"/>
                <w:vertAlign w:val="baseline"/>
                <w:lang w:val="en-US" w:eastAsia="zh-CN"/>
              </w:rPr>
              <w:t>环评数量</w:t>
            </w:r>
          </w:p>
        </w:tc>
        <w:tc>
          <w:tcPr>
            <w:tcW w:w="1002" w:type="pct"/>
            <w:tcBorders>
              <w:tl2br w:val="nil"/>
              <w:tr2bl w:val="nil"/>
            </w:tcBorders>
            <w:noWrap w:val="0"/>
            <w:vAlign w:val="center"/>
          </w:tcPr>
          <w:p>
            <w:pPr>
              <w:widowControl w:val="0"/>
              <w:numPr>
                <w:ilvl w:val="0"/>
                <w:numId w:val="0"/>
              </w:numPr>
              <w:spacing w:line="240" w:lineRule="auto"/>
              <w:jc w:val="center"/>
              <w:rPr>
                <w:rFonts w:hint="eastAsia" w:ascii="Times New Roman" w:hAnsi="Times New Roman" w:eastAsia="宋体" w:cs="宋体"/>
                <w:b/>
                <w:bCs/>
                <w:color w:val="auto"/>
                <w:sz w:val="21"/>
                <w:szCs w:val="21"/>
                <w:vertAlign w:val="baseline"/>
                <w:lang w:val="en-US" w:eastAsia="zh-CN"/>
              </w:rPr>
            </w:pPr>
            <w:r>
              <w:rPr>
                <w:rFonts w:hint="eastAsia" w:ascii="Times New Roman" w:hAnsi="Times New Roman" w:eastAsia="宋体" w:cs="宋体"/>
                <w:b/>
                <w:bCs/>
                <w:color w:val="auto"/>
                <w:sz w:val="21"/>
                <w:szCs w:val="21"/>
                <w:vertAlign w:val="baseline"/>
                <w:lang w:val="en-US" w:eastAsia="zh-CN"/>
              </w:rPr>
              <w:t>实际数量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98" w:type="pct"/>
            <w:tcBorders>
              <w:tl2br w:val="nil"/>
              <w:tr2bl w:val="nil"/>
            </w:tcBorders>
            <w:noWrap w:val="0"/>
            <w:vAlign w:val="center"/>
          </w:tcPr>
          <w:p>
            <w:pPr>
              <w:widowControl w:val="0"/>
              <w:numPr>
                <w:ilvl w:val="0"/>
                <w:numId w:val="0"/>
              </w:numPr>
              <w:spacing w:line="240" w:lineRule="auto"/>
              <w:jc w:val="center"/>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1</w:t>
            </w:r>
          </w:p>
        </w:tc>
        <w:tc>
          <w:tcPr>
            <w:tcW w:w="998" w:type="pct"/>
            <w:tcBorders>
              <w:tl2br w:val="nil"/>
              <w:tr2bl w:val="nil"/>
            </w:tcBorders>
            <w:noWrap w:val="0"/>
            <w:vAlign w:val="center"/>
          </w:tcPr>
          <w:p>
            <w:pPr>
              <w:widowControl w:val="0"/>
              <w:numPr>
                <w:ilvl w:val="0"/>
                <w:numId w:val="0"/>
              </w:numPr>
              <w:spacing w:line="240" w:lineRule="auto"/>
              <w:jc w:val="center"/>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压实机</w:t>
            </w:r>
          </w:p>
        </w:tc>
        <w:tc>
          <w:tcPr>
            <w:tcW w:w="998" w:type="pct"/>
            <w:tcBorders>
              <w:tl2br w:val="nil"/>
              <w:tr2bl w:val="nil"/>
            </w:tcBorders>
            <w:noWrap w:val="0"/>
            <w:vAlign w:val="center"/>
          </w:tcPr>
          <w:p>
            <w:pPr>
              <w:widowControl w:val="0"/>
              <w:numPr>
                <w:ilvl w:val="0"/>
                <w:numId w:val="0"/>
              </w:numPr>
              <w:spacing w:line="240" w:lineRule="auto"/>
              <w:jc w:val="center"/>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台</w:t>
            </w:r>
          </w:p>
        </w:tc>
        <w:tc>
          <w:tcPr>
            <w:tcW w:w="1001" w:type="pct"/>
            <w:tcBorders>
              <w:tl2br w:val="nil"/>
              <w:tr2bl w:val="nil"/>
            </w:tcBorders>
            <w:noWrap w:val="0"/>
            <w:vAlign w:val="center"/>
          </w:tcPr>
          <w:p>
            <w:pPr>
              <w:widowControl w:val="0"/>
              <w:numPr>
                <w:ilvl w:val="0"/>
                <w:numId w:val="0"/>
              </w:numPr>
              <w:spacing w:line="240" w:lineRule="auto"/>
              <w:jc w:val="center"/>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1</w:t>
            </w:r>
          </w:p>
        </w:tc>
        <w:tc>
          <w:tcPr>
            <w:tcW w:w="1002" w:type="pct"/>
            <w:tcBorders>
              <w:tl2br w:val="nil"/>
              <w:tr2bl w:val="nil"/>
            </w:tcBorders>
            <w:noWrap w:val="0"/>
            <w:vAlign w:val="center"/>
          </w:tcPr>
          <w:p>
            <w:pPr>
              <w:widowControl w:val="0"/>
              <w:numPr>
                <w:ilvl w:val="0"/>
                <w:numId w:val="0"/>
              </w:numPr>
              <w:spacing w:line="240" w:lineRule="auto"/>
              <w:jc w:val="center"/>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98" w:type="pct"/>
            <w:tcBorders>
              <w:tl2br w:val="nil"/>
              <w:tr2bl w:val="nil"/>
            </w:tcBorders>
            <w:noWrap w:val="0"/>
            <w:vAlign w:val="center"/>
          </w:tcPr>
          <w:p>
            <w:pPr>
              <w:widowControl w:val="0"/>
              <w:numPr>
                <w:ilvl w:val="0"/>
                <w:numId w:val="0"/>
              </w:numPr>
              <w:spacing w:line="240" w:lineRule="auto"/>
              <w:jc w:val="center"/>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2</w:t>
            </w:r>
          </w:p>
        </w:tc>
        <w:tc>
          <w:tcPr>
            <w:tcW w:w="998" w:type="pct"/>
            <w:tcBorders>
              <w:tl2br w:val="nil"/>
              <w:tr2bl w:val="nil"/>
            </w:tcBorders>
            <w:noWrap w:val="0"/>
            <w:vAlign w:val="center"/>
          </w:tcPr>
          <w:p>
            <w:pPr>
              <w:widowControl w:val="0"/>
              <w:numPr>
                <w:ilvl w:val="0"/>
                <w:numId w:val="0"/>
              </w:numPr>
              <w:spacing w:line="240" w:lineRule="auto"/>
              <w:jc w:val="center"/>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推土机</w:t>
            </w:r>
          </w:p>
        </w:tc>
        <w:tc>
          <w:tcPr>
            <w:tcW w:w="998" w:type="pct"/>
            <w:tcBorders>
              <w:tl2br w:val="nil"/>
              <w:tr2bl w:val="nil"/>
            </w:tcBorders>
            <w:noWrap w:val="0"/>
            <w:vAlign w:val="center"/>
          </w:tcPr>
          <w:p>
            <w:pPr>
              <w:widowControl w:val="0"/>
              <w:numPr>
                <w:ilvl w:val="0"/>
                <w:numId w:val="0"/>
              </w:numPr>
              <w:spacing w:line="240" w:lineRule="auto"/>
              <w:jc w:val="center"/>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台</w:t>
            </w:r>
          </w:p>
        </w:tc>
        <w:tc>
          <w:tcPr>
            <w:tcW w:w="1001" w:type="pct"/>
            <w:tcBorders>
              <w:tl2br w:val="nil"/>
              <w:tr2bl w:val="nil"/>
            </w:tcBorders>
            <w:noWrap w:val="0"/>
            <w:vAlign w:val="center"/>
          </w:tcPr>
          <w:p>
            <w:pPr>
              <w:widowControl w:val="0"/>
              <w:numPr>
                <w:ilvl w:val="0"/>
                <w:numId w:val="0"/>
              </w:numPr>
              <w:spacing w:line="240" w:lineRule="auto"/>
              <w:jc w:val="center"/>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1</w:t>
            </w:r>
          </w:p>
        </w:tc>
        <w:tc>
          <w:tcPr>
            <w:tcW w:w="1002" w:type="pct"/>
            <w:tcBorders>
              <w:tl2br w:val="nil"/>
              <w:tr2bl w:val="nil"/>
            </w:tcBorders>
            <w:noWrap w:val="0"/>
            <w:vAlign w:val="center"/>
          </w:tcPr>
          <w:p>
            <w:pPr>
              <w:widowControl w:val="0"/>
              <w:numPr>
                <w:ilvl w:val="0"/>
                <w:numId w:val="0"/>
              </w:numPr>
              <w:spacing w:line="240" w:lineRule="auto"/>
              <w:jc w:val="center"/>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98" w:type="pct"/>
            <w:tcBorders>
              <w:tl2br w:val="nil"/>
              <w:tr2bl w:val="nil"/>
            </w:tcBorders>
            <w:noWrap w:val="0"/>
            <w:vAlign w:val="center"/>
          </w:tcPr>
          <w:p>
            <w:pPr>
              <w:widowControl w:val="0"/>
              <w:numPr>
                <w:ilvl w:val="0"/>
                <w:numId w:val="0"/>
              </w:numPr>
              <w:spacing w:line="240" w:lineRule="auto"/>
              <w:jc w:val="center"/>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3</w:t>
            </w:r>
          </w:p>
        </w:tc>
        <w:tc>
          <w:tcPr>
            <w:tcW w:w="998" w:type="pct"/>
            <w:tcBorders>
              <w:tl2br w:val="nil"/>
              <w:tr2bl w:val="nil"/>
            </w:tcBorders>
            <w:noWrap w:val="0"/>
            <w:vAlign w:val="center"/>
          </w:tcPr>
          <w:p>
            <w:pPr>
              <w:widowControl w:val="0"/>
              <w:numPr>
                <w:ilvl w:val="0"/>
                <w:numId w:val="0"/>
              </w:numPr>
              <w:spacing w:line="240" w:lineRule="auto"/>
              <w:jc w:val="center"/>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挖掘机</w:t>
            </w:r>
          </w:p>
        </w:tc>
        <w:tc>
          <w:tcPr>
            <w:tcW w:w="998" w:type="pct"/>
            <w:tcBorders>
              <w:tl2br w:val="nil"/>
              <w:tr2bl w:val="nil"/>
            </w:tcBorders>
            <w:noWrap w:val="0"/>
            <w:vAlign w:val="center"/>
          </w:tcPr>
          <w:p>
            <w:pPr>
              <w:widowControl w:val="0"/>
              <w:numPr>
                <w:ilvl w:val="0"/>
                <w:numId w:val="0"/>
              </w:numPr>
              <w:spacing w:line="240" w:lineRule="auto"/>
              <w:jc w:val="center"/>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台</w:t>
            </w:r>
          </w:p>
        </w:tc>
        <w:tc>
          <w:tcPr>
            <w:tcW w:w="1001" w:type="pct"/>
            <w:tcBorders>
              <w:tl2br w:val="nil"/>
              <w:tr2bl w:val="nil"/>
            </w:tcBorders>
            <w:noWrap w:val="0"/>
            <w:vAlign w:val="center"/>
          </w:tcPr>
          <w:p>
            <w:pPr>
              <w:widowControl w:val="0"/>
              <w:numPr>
                <w:ilvl w:val="0"/>
                <w:numId w:val="0"/>
              </w:numPr>
              <w:spacing w:line="240" w:lineRule="auto"/>
              <w:jc w:val="center"/>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1</w:t>
            </w:r>
          </w:p>
        </w:tc>
        <w:tc>
          <w:tcPr>
            <w:tcW w:w="1002" w:type="pct"/>
            <w:tcBorders>
              <w:tl2br w:val="nil"/>
              <w:tr2bl w:val="nil"/>
            </w:tcBorders>
            <w:noWrap w:val="0"/>
            <w:vAlign w:val="center"/>
          </w:tcPr>
          <w:p>
            <w:pPr>
              <w:widowControl w:val="0"/>
              <w:numPr>
                <w:ilvl w:val="0"/>
                <w:numId w:val="0"/>
              </w:numPr>
              <w:spacing w:line="240" w:lineRule="auto"/>
              <w:jc w:val="center"/>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98" w:type="pct"/>
            <w:tcBorders>
              <w:tl2br w:val="nil"/>
              <w:tr2bl w:val="nil"/>
            </w:tcBorders>
            <w:noWrap w:val="0"/>
            <w:vAlign w:val="center"/>
          </w:tcPr>
          <w:p>
            <w:pPr>
              <w:widowControl w:val="0"/>
              <w:numPr>
                <w:ilvl w:val="0"/>
                <w:numId w:val="0"/>
              </w:numPr>
              <w:spacing w:line="240" w:lineRule="auto"/>
              <w:jc w:val="center"/>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4</w:t>
            </w:r>
          </w:p>
        </w:tc>
        <w:tc>
          <w:tcPr>
            <w:tcW w:w="998" w:type="pct"/>
            <w:tcBorders>
              <w:tl2br w:val="nil"/>
              <w:tr2bl w:val="nil"/>
            </w:tcBorders>
            <w:noWrap w:val="0"/>
            <w:vAlign w:val="center"/>
          </w:tcPr>
          <w:p>
            <w:pPr>
              <w:widowControl w:val="0"/>
              <w:numPr>
                <w:ilvl w:val="0"/>
                <w:numId w:val="0"/>
              </w:numPr>
              <w:spacing w:line="240" w:lineRule="auto"/>
              <w:jc w:val="center"/>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装载机</w:t>
            </w:r>
          </w:p>
        </w:tc>
        <w:tc>
          <w:tcPr>
            <w:tcW w:w="998" w:type="pct"/>
            <w:tcBorders>
              <w:tl2br w:val="nil"/>
              <w:tr2bl w:val="nil"/>
            </w:tcBorders>
            <w:noWrap w:val="0"/>
            <w:vAlign w:val="center"/>
          </w:tcPr>
          <w:p>
            <w:pPr>
              <w:widowControl w:val="0"/>
              <w:numPr>
                <w:ilvl w:val="0"/>
                <w:numId w:val="0"/>
              </w:numPr>
              <w:spacing w:line="240" w:lineRule="auto"/>
              <w:jc w:val="center"/>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台</w:t>
            </w:r>
          </w:p>
        </w:tc>
        <w:tc>
          <w:tcPr>
            <w:tcW w:w="1001" w:type="pct"/>
            <w:tcBorders>
              <w:tl2br w:val="nil"/>
              <w:tr2bl w:val="nil"/>
            </w:tcBorders>
            <w:noWrap w:val="0"/>
            <w:vAlign w:val="center"/>
          </w:tcPr>
          <w:p>
            <w:pPr>
              <w:widowControl w:val="0"/>
              <w:numPr>
                <w:ilvl w:val="0"/>
                <w:numId w:val="0"/>
              </w:numPr>
              <w:spacing w:line="240" w:lineRule="auto"/>
              <w:jc w:val="center"/>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1</w:t>
            </w:r>
          </w:p>
        </w:tc>
        <w:tc>
          <w:tcPr>
            <w:tcW w:w="1002" w:type="pct"/>
            <w:tcBorders>
              <w:tl2br w:val="nil"/>
              <w:tr2bl w:val="nil"/>
            </w:tcBorders>
            <w:noWrap w:val="0"/>
            <w:vAlign w:val="center"/>
          </w:tcPr>
          <w:p>
            <w:pPr>
              <w:widowControl w:val="0"/>
              <w:numPr>
                <w:ilvl w:val="0"/>
                <w:numId w:val="0"/>
              </w:numPr>
              <w:spacing w:line="240" w:lineRule="auto"/>
              <w:jc w:val="center"/>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98" w:type="pct"/>
            <w:tcBorders>
              <w:tl2br w:val="nil"/>
              <w:tr2bl w:val="nil"/>
            </w:tcBorders>
            <w:noWrap w:val="0"/>
            <w:vAlign w:val="center"/>
          </w:tcPr>
          <w:p>
            <w:pPr>
              <w:widowControl w:val="0"/>
              <w:numPr>
                <w:ilvl w:val="0"/>
                <w:numId w:val="0"/>
              </w:numPr>
              <w:spacing w:line="240" w:lineRule="auto"/>
              <w:jc w:val="center"/>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5</w:t>
            </w:r>
          </w:p>
        </w:tc>
        <w:tc>
          <w:tcPr>
            <w:tcW w:w="998" w:type="pct"/>
            <w:tcBorders>
              <w:tl2br w:val="nil"/>
              <w:tr2bl w:val="nil"/>
            </w:tcBorders>
            <w:noWrap w:val="0"/>
            <w:vAlign w:val="center"/>
          </w:tcPr>
          <w:p>
            <w:pPr>
              <w:widowControl w:val="0"/>
              <w:numPr>
                <w:ilvl w:val="0"/>
                <w:numId w:val="0"/>
              </w:numPr>
              <w:spacing w:line="240" w:lineRule="auto"/>
              <w:jc w:val="center"/>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洒水消毒车</w:t>
            </w:r>
          </w:p>
        </w:tc>
        <w:tc>
          <w:tcPr>
            <w:tcW w:w="998" w:type="pct"/>
            <w:tcBorders>
              <w:tl2br w:val="nil"/>
              <w:tr2bl w:val="nil"/>
            </w:tcBorders>
            <w:noWrap w:val="0"/>
            <w:vAlign w:val="center"/>
          </w:tcPr>
          <w:p>
            <w:pPr>
              <w:widowControl w:val="0"/>
              <w:numPr>
                <w:ilvl w:val="0"/>
                <w:numId w:val="0"/>
              </w:numPr>
              <w:spacing w:line="240" w:lineRule="auto"/>
              <w:jc w:val="center"/>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辆</w:t>
            </w:r>
          </w:p>
        </w:tc>
        <w:tc>
          <w:tcPr>
            <w:tcW w:w="1001" w:type="pct"/>
            <w:tcBorders>
              <w:tl2br w:val="nil"/>
              <w:tr2bl w:val="nil"/>
            </w:tcBorders>
            <w:noWrap w:val="0"/>
            <w:vAlign w:val="center"/>
          </w:tcPr>
          <w:p>
            <w:pPr>
              <w:widowControl w:val="0"/>
              <w:numPr>
                <w:ilvl w:val="0"/>
                <w:numId w:val="0"/>
              </w:numPr>
              <w:spacing w:line="240" w:lineRule="auto"/>
              <w:jc w:val="center"/>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1</w:t>
            </w:r>
          </w:p>
        </w:tc>
        <w:tc>
          <w:tcPr>
            <w:tcW w:w="1002" w:type="pct"/>
            <w:tcBorders>
              <w:tl2br w:val="nil"/>
              <w:tr2bl w:val="nil"/>
            </w:tcBorders>
            <w:noWrap w:val="0"/>
            <w:vAlign w:val="center"/>
          </w:tcPr>
          <w:p>
            <w:pPr>
              <w:widowControl w:val="0"/>
              <w:numPr>
                <w:ilvl w:val="0"/>
                <w:numId w:val="0"/>
              </w:numPr>
              <w:spacing w:line="240" w:lineRule="auto"/>
              <w:jc w:val="center"/>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98" w:type="pct"/>
            <w:tcBorders>
              <w:tl2br w:val="nil"/>
              <w:tr2bl w:val="nil"/>
            </w:tcBorders>
            <w:noWrap w:val="0"/>
            <w:vAlign w:val="center"/>
          </w:tcPr>
          <w:p>
            <w:pPr>
              <w:widowControl w:val="0"/>
              <w:numPr>
                <w:ilvl w:val="0"/>
                <w:numId w:val="0"/>
              </w:numPr>
              <w:spacing w:line="240" w:lineRule="auto"/>
              <w:jc w:val="center"/>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6</w:t>
            </w:r>
          </w:p>
        </w:tc>
        <w:tc>
          <w:tcPr>
            <w:tcW w:w="998" w:type="pct"/>
            <w:tcBorders>
              <w:tl2br w:val="nil"/>
              <w:tr2bl w:val="nil"/>
            </w:tcBorders>
            <w:noWrap w:val="0"/>
            <w:vAlign w:val="center"/>
          </w:tcPr>
          <w:p>
            <w:pPr>
              <w:widowControl w:val="0"/>
              <w:numPr>
                <w:ilvl w:val="0"/>
                <w:numId w:val="0"/>
              </w:numPr>
              <w:spacing w:line="240" w:lineRule="auto"/>
              <w:jc w:val="center"/>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管理用车</w:t>
            </w:r>
          </w:p>
        </w:tc>
        <w:tc>
          <w:tcPr>
            <w:tcW w:w="998" w:type="pct"/>
            <w:tcBorders>
              <w:tl2br w:val="nil"/>
              <w:tr2bl w:val="nil"/>
            </w:tcBorders>
            <w:noWrap w:val="0"/>
            <w:vAlign w:val="center"/>
          </w:tcPr>
          <w:p>
            <w:pPr>
              <w:widowControl w:val="0"/>
              <w:numPr>
                <w:ilvl w:val="0"/>
                <w:numId w:val="0"/>
              </w:numPr>
              <w:spacing w:line="240" w:lineRule="auto"/>
              <w:jc w:val="center"/>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辆</w:t>
            </w:r>
          </w:p>
        </w:tc>
        <w:tc>
          <w:tcPr>
            <w:tcW w:w="1001" w:type="pct"/>
            <w:tcBorders>
              <w:tl2br w:val="nil"/>
              <w:tr2bl w:val="nil"/>
            </w:tcBorders>
            <w:noWrap w:val="0"/>
            <w:vAlign w:val="center"/>
          </w:tcPr>
          <w:p>
            <w:pPr>
              <w:widowControl w:val="0"/>
              <w:numPr>
                <w:ilvl w:val="0"/>
                <w:numId w:val="0"/>
              </w:numPr>
              <w:spacing w:line="240" w:lineRule="auto"/>
              <w:jc w:val="center"/>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1</w:t>
            </w:r>
          </w:p>
        </w:tc>
        <w:tc>
          <w:tcPr>
            <w:tcW w:w="1002" w:type="pct"/>
            <w:tcBorders>
              <w:tl2br w:val="nil"/>
              <w:tr2bl w:val="nil"/>
            </w:tcBorders>
            <w:noWrap w:val="0"/>
            <w:vAlign w:val="center"/>
          </w:tcPr>
          <w:p>
            <w:pPr>
              <w:widowControl w:val="0"/>
              <w:numPr>
                <w:ilvl w:val="0"/>
                <w:numId w:val="0"/>
              </w:numPr>
              <w:spacing w:line="240" w:lineRule="auto"/>
              <w:jc w:val="center"/>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1</w:t>
            </w:r>
          </w:p>
        </w:tc>
      </w:tr>
    </w:tbl>
    <w:p>
      <w:pPr>
        <w:pStyle w:val="6"/>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color w:val="auto"/>
        </w:rPr>
      </w:pPr>
      <w:bookmarkStart w:id="16" w:name="_Toc16980"/>
      <w:r>
        <w:rPr>
          <w:rFonts w:hint="eastAsia" w:ascii="Times New Roman" w:hAnsi="Times New Roman"/>
          <w:color w:val="auto"/>
        </w:rPr>
        <w:t>3</w:t>
      </w:r>
      <w:r>
        <w:rPr>
          <w:rFonts w:ascii="Times New Roman" w:hAnsi="Times New Roman"/>
          <w:color w:val="auto"/>
        </w:rPr>
        <w:t>.</w:t>
      </w:r>
      <w:r>
        <w:rPr>
          <w:rFonts w:hint="eastAsia" w:ascii="Times New Roman" w:hAnsi="Times New Roman"/>
          <w:color w:val="auto"/>
          <w:lang w:val="en-US" w:eastAsia="zh-CN"/>
        </w:rPr>
        <w:t>4</w:t>
      </w:r>
      <w:r>
        <w:rPr>
          <w:rFonts w:hint="eastAsia" w:ascii="Times New Roman" w:hAnsi="Times New Roman"/>
          <w:color w:val="auto"/>
        </w:rPr>
        <w:t>水源及水平衡</w:t>
      </w:r>
      <w:bookmarkEnd w:id="16"/>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color w:val="auto"/>
          <w:lang w:eastAsia="zh-CN"/>
        </w:rPr>
      </w:pPr>
      <w:r>
        <w:rPr>
          <w:rFonts w:hint="eastAsia" w:ascii="Times New Roman" w:hAnsi="Times New Roman"/>
          <w:color w:val="auto"/>
        </w:rPr>
        <w:t>本项目</w:t>
      </w:r>
      <w:r>
        <w:rPr>
          <w:rFonts w:hint="eastAsia" w:ascii="Times New Roman" w:hAnsi="Times New Roman"/>
          <w:color w:val="auto"/>
          <w:lang w:eastAsia="zh-CN"/>
        </w:rPr>
        <w:t>用水主要为固废碾压用水和道路浇洒用水；废水主要为渗滤液。</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color w:val="auto"/>
        </w:rPr>
      </w:pPr>
      <w:r>
        <w:rPr>
          <w:rFonts w:hint="eastAsia" w:ascii="Times New Roman" w:hAnsi="Times New Roman"/>
          <w:color w:val="auto"/>
          <w:lang w:eastAsia="zh-CN"/>
        </w:rPr>
        <w:t>本项目场</w:t>
      </w:r>
      <w:r>
        <w:rPr>
          <w:rFonts w:hint="eastAsia" w:ascii="Times New Roman" w:hAnsi="Times New Roman" w:cs="Times New Roman"/>
          <w:color w:val="auto"/>
          <w:lang w:eastAsia="zh-CN"/>
        </w:rPr>
        <w:t>区采用雨污分流制，雨水通过填埋场四周设排水边沟截除场区上游汇水以及导排场区周围汇水，初</w:t>
      </w:r>
      <w:r>
        <w:rPr>
          <w:rFonts w:hint="eastAsia" w:ascii="Times New Roman" w:hAnsi="Times New Roman" w:eastAsia="宋体" w:cs="宋体"/>
          <w:color w:val="auto"/>
          <w:szCs w:val="21"/>
          <w:lang w:eastAsia="zh-CN"/>
        </w:rPr>
        <w:t>期</w:t>
      </w:r>
      <w:r>
        <w:rPr>
          <w:rFonts w:hint="eastAsia" w:ascii="Times New Roman" w:hAnsi="Times New Roman" w:cs="Times New Roman"/>
          <w:color w:val="auto"/>
          <w:lang w:eastAsia="zh-CN"/>
        </w:rPr>
        <w:t>雨水经导排后最终从填埋库区西南侧进入雨水收集池，通过泵送到南侧垃圾填埋场处理。填埋</w:t>
      </w:r>
      <w:r>
        <w:rPr>
          <w:rFonts w:hint="eastAsia" w:ascii="Times New Roman" w:hAnsi="Times New Roman"/>
          <w:color w:val="auto"/>
          <w:lang w:eastAsia="zh-CN"/>
        </w:rPr>
        <w:t>区内设置一座收集井，用于收集渗滤液，渗滤液收集后</w:t>
      </w:r>
      <w:r>
        <w:rPr>
          <w:rFonts w:hint="eastAsia"/>
          <w:color w:val="auto"/>
          <w:lang w:eastAsia="zh-CN"/>
        </w:rPr>
        <w:t>泵</w:t>
      </w:r>
      <w:r>
        <w:rPr>
          <w:rFonts w:hint="eastAsia" w:ascii="Times New Roman" w:hAnsi="Times New Roman"/>
          <w:color w:val="auto"/>
          <w:lang w:eastAsia="zh-CN"/>
        </w:rPr>
        <w:t>送入厂区南侧的灵璧县生活垃圾填埋场处理（委托协议见附件</w:t>
      </w:r>
      <w:r>
        <w:rPr>
          <w:rFonts w:hint="eastAsia" w:ascii="Times New Roman" w:hAnsi="Times New Roman"/>
          <w:color w:val="auto"/>
          <w:lang w:val="en-US" w:eastAsia="zh-CN"/>
        </w:rPr>
        <w:t>5</w:t>
      </w:r>
      <w:r>
        <w:rPr>
          <w:rFonts w:hint="eastAsia" w:ascii="Times New Roman" w:hAnsi="Times New Roman"/>
          <w:color w:val="auto"/>
          <w:lang w:eastAsia="zh-CN"/>
        </w:rPr>
        <w:t>）。</w:t>
      </w:r>
      <w:r>
        <w:rPr>
          <w:rFonts w:hint="eastAsia" w:ascii="Times New Roman" w:hAnsi="Times New Roman"/>
          <w:color w:val="auto"/>
        </w:rPr>
        <w:t>因此本项目无外排废水。</w:t>
      </w:r>
    </w:p>
    <w:p>
      <w:pPr>
        <w:pStyle w:val="6"/>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cs="Times New Roman"/>
          <w:color w:val="auto"/>
        </w:rPr>
      </w:pPr>
      <w:bookmarkStart w:id="17" w:name="_Toc31374"/>
      <w:r>
        <w:rPr>
          <w:rFonts w:ascii="Times New Roman" w:hAnsi="Times New Roman"/>
          <w:color w:val="auto"/>
        </w:rPr>
        <w:t>3.</w:t>
      </w:r>
      <w:r>
        <w:rPr>
          <w:rFonts w:hint="eastAsia" w:ascii="Times New Roman" w:hAnsi="Times New Roman"/>
          <w:color w:val="auto"/>
          <w:lang w:val="en-US" w:eastAsia="zh-CN"/>
        </w:rPr>
        <w:t>5主要</w:t>
      </w:r>
      <w:r>
        <w:rPr>
          <w:rFonts w:ascii="Times New Roman" w:hAnsi="Times New Roman"/>
          <w:color w:val="auto"/>
        </w:rPr>
        <w:t>生产工艺</w:t>
      </w:r>
      <w:bookmarkEnd w:id="17"/>
    </w:p>
    <w:p>
      <w:pPr>
        <w:pStyle w:val="7"/>
        <w:pageBreakBefore w:val="0"/>
        <w:widowControl w:val="0"/>
        <w:kinsoku/>
        <w:wordWrap/>
        <w:overflowPunct/>
        <w:topLinePunct w:val="0"/>
        <w:autoSpaceDE/>
        <w:autoSpaceDN/>
        <w:bidi w:val="0"/>
        <w:adjustRightInd/>
        <w:snapToGrid/>
        <w:spacing w:line="360" w:lineRule="auto"/>
        <w:textAlignment w:val="auto"/>
        <w:rPr>
          <w:rFonts w:ascii="Times New Roman" w:hAnsi="Times New Roman" w:eastAsia="宋体" w:cs="宋体"/>
          <w:sz w:val="24"/>
          <w:szCs w:val="24"/>
        </w:rPr>
      </w:pPr>
      <w:bookmarkStart w:id="18" w:name="_Toc2057"/>
      <w:r>
        <w:rPr>
          <w:rFonts w:hint="eastAsia" w:ascii="Times New Roman" w:hAnsi="Times New Roman"/>
          <w:color w:val="auto"/>
          <w:lang w:val="en-US" w:eastAsia="zh-CN"/>
        </w:rPr>
        <w:t>3.5.1施工工艺</w:t>
      </w:r>
      <w:bookmarkEnd w:id="18"/>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CN"/>
        </w:rPr>
      </w:pPr>
      <w:r>
        <w:rPr>
          <w:rFonts w:hint="eastAsia" w:ascii="Times New Roman" w:hAnsi="Times New Roman" w:eastAsia="宋体" w:cs="宋体"/>
          <w:sz w:val="24"/>
          <w:szCs w:val="24"/>
          <w:lang w:eastAsia="zh-CN"/>
        </w:rPr>
        <w:t>本项目施工工艺流程如下：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CN"/>
        </w:rPr>
      </w:pPr>
      <w:r>
        <w:rPr>
          <w:rFonts w:hint="eastAsia" w:ascii="Times New Roman" w:hAnsi="Times New Roman" w:eastAsia="宋体" w:cs="宋体"/>
          <w:sz w:val="24"/>
          <w:szCs w:val="24"/>
          <w:lang w:eastAsia="zh-CN"/>
        </w:rPr>
        <w:t>（</w:t>
      </w:r>
      <w:r>
        <w:rPr>
          <w:rFonts w:hint="eastAsia" w:ascii="Times New Roman" w:hAnsi="Times New Roman" w:eastAsia="宋体" w:cs="宋体"/>
          <w:sz w:val="24"/>
          <w:szCs w:val="24"/>
          <w:lang w:val="en-US" w:eastAsia="zh-CN"/>
        </w:rPr>
        <w:t>1</w:t>
      </w:r>
      <w:r>
        <w:rPr>
          <w:rFonts w:hint="eastAsia" w:ascii="Times New Roman" w:hAnsi="Times New Roman" w:eastAsia="宋体" w:cs="宋体"/>
          <w:sz w:val="24"/>
          <w:szCs w:val="24"/>
          <w:lang w:eastAsia="zh-CN"/>
        </w:rPr>
        <w:t>）</w:t>
      </w:r>
      <w:r>
        <w:rPr>
          <w:rFonts w:ascii="Times New Roman" w:hAnsi="Times New Roman" w:eastAsia="宋体" w:cs="宋体"/>
          <w:sz w:val="24"/>
          <w:szCs w:val="24"/>
        </w:rPr>
        <w:t>在铺设防渗材料前应对基础表面进行检查，确保没有松散体，并且清除基础表面的尖锐棱角、杂草、虔土，剔除d≥30mm的小石子以及树根、钢筋头、玻璃等可能破坏土I合成材料的异物。</w:t>
      </w:r>
      <w:r>
        <w:rPr>
          <w:rFonts w:ascii="Times New Roman" w:hAnsi="Times New Roman" w:eastAsia="宋体" w:cs="宋体"/>
          <w:sz w:val="24"/>
          <w:szCs w:val="24"/>
        </w:rPr>
        <w:br w:type="textWrapping"/>
      </w:r>
      <w:r>
        <w:rPr>
          <w:rFonts w:hint="eastAsia" w:ascii="Times New Roman" w:hAnsi="Times New Roman" w:eastAsia="宋体" w:cs="宋体"/>
          <w:sz w:val="24"/>
          <w:szCs w:val="24"/>
          <w:lang w:val="en-US" w:eastAsia="zh-CN"/>
        </w:rPr>
        <w:t xml:space="preserve">    </w:t>
      </w:r>
      <w:r>
        <w:rPr>
          <w:rFonts w:hint="eastAsia" w:ascii="Times New Roman" w:hAnsi="Times New Roman" w:eastAsia="宋体" w:cs="宋体"/>
          <w:sz w:val="24"/>
          <w:szCs w:val="24"/>
          <w:lang w:eastAsia="zh-CN"/>
        </w:rPr>
        <w:t>（</w:t>
      </w:r>
      <w:r>
        <w:rPr>
          <w:rFonts w:hint="eastAsia" w:ascii="Times New Roman" w:hAnsi="Times New Roman" w:eastAsia="宋体" w:cs="宋体"/>
          <w:sz w:val="24"/>
          <w:szCs w:val="24"/>
          <w:lang w:val="en-US" w:eastAsia="zh-CN"/>
        </w:rPr>
        <w:t>2</w:t>
      </w:r>
      <w:r>
        <w:rPr>
          <w:rFonts w:hint="eastAsia" w:ascii="Times New Roman" w:hAnsi="Times New Roman" w:eastAsia="宋体" w:cs="宋体"/>
          <w:sz w:val="24"/>
          <w:szCs w:val="24"/>
          <w:lang w:eastAsia="zh-CN"/>
        </w:rPr>
        <w:t>）</w:t>
      </w:r>
      <w:r>
        <w:rPr>
          <w:rFonts w:ascii="Times New Roman" w:hAnsi="Times New Roman" w:eastAsia="宋体" w:cs="宋体"/>
          <w:sz w:val="24"/>
          <w:szCs w:val="24"/>
        </w:rPr>
        <w:t>在铺设防渗材料前几天进行边坡、库底及池底精确平整到位，因为土工合成材料的施工只能在晴天和阴天进行，雨天不能作业，过早将基础平整达到设计要求，遇到暴雨又会出现雨琳沟，使已进行的工作前功尽弃，必须保护好场地基础。场地平整到位后，由施工方、业主代表、现场监理、设计人员到现场对场地进行检验，确定边坡、库底及池底基础稳定、平整和无滑塌可能后，方可进行防渗材料的铺设施工。</w:t>
      </w:r>
      <w:r>
        <w:rPr>
          <w:rFonts w:ascii="Times New Roman" w:hAnsi="Times New Roman" w:eastAsia="宋体" w:cs="宋体"/>
          <w:sz w:val="24"/>
          <w:szCs w:val="24"/>
        </w:rPr>
        <w:br w:type="textWrapping"/>
      </w:r>
      <w:r>
        <w:rPr>
          <w:rFonts w:hint="eastAsia" w:ascii="Times New Roman" w:hAnsi="Times New Roman" w:eastAsia="宋体" w:cs="宋体"/>
          <w:sz w:val="24"/>
          <w:szCs w:val="24"/>
          <w:lang w:val="en-US" w:eastAsia="zh-CN"/>
        </w:rPr>
        <w:t xml:space="preserve">    </w:t>
      </w:r>
      <w:r>
        <w:rPr>
          <w:rFonts w:hint="eastAsia" w:ascii="Times New Roman" w:hAnsi="Times New Roman" w:eastAsia="宋体" w:cs="宋体"/>
          <w:sz w:val="24"/>
          <w:szCs w:val="24"/>
          <w:lang w:eastAsia="zh-CN"/>
        </w:rPr>
        <w:t>（</w:t>
      </w:r>
      <w:r>
        <w:rPr>
          <w:rFonts w:hint="eastAsia" w:ascii="Times New Roman" w:hAnsi="Times New Roman" w:eastAsia="宋体" w:cs="宋体"/>
          <w:sz w:val="24"/>
          <w:szCs w:val="24"/>
          <w:lang w:val="en-US" w:eastAsia="zh-CN"/>
        </w:rPr>
        <w:t>3</w:t>
      </w:r>
      <w:r>
        <w:rPr>
          <w:rFonts w:hint="eastAsia" w:ascii="Times New Roman" w:hAnsi="Times New Roman" w:eastAsia="宋体" w:cs="宋体"/>
          <w:sz w:val="24"/>
          <w:szCs w:val="24"/>
          <w:lang w:eastAsia="zh-CN"/>
        </w:rPr>
        <w:t>）</w:t>
      </w:r>
      <w:r>
        <w:rPr>
          <w:rFonts w:ascii="Times New Roman" w:hAnsi="Times New Roman" w:eastAsia="宋体" w:cs="宋体"/>
          <w:sz w:val="24"/>
          <w:szCs w:val="24"/>
        </w:rPr>
        <w:t>防渗材料下面的地基需平整并夯实，并应符合下列要求</w:t>
      </w:r>
      <w:r>
        <w:rPr>
          <w:rFonts w:hint="eastAsia" w:ascii="Times New Roman" w:hAnsi="Times New Roman" w:eastAsia="宋体" w:cs="宋体"/>
          <w:sz w:val="24"/>
          <w:szCs w:val="24"/>
          <w:lang w:eastAsia="zh-CN"/>
        </w:rPr>
        <w:t>：</w:t>
      </w:r>
      <w:r>
        <w:rPr>
          <w:rFonts w:ascii="Times New Roman" w:hAnsi="Times New Roman" w:eastAsia="宋体" w:cs="宋体"/>
          <w:sz w:val="24"/>
          <w:szCs w:val="24"/>
        </w:rPr>
        <w:br w:type="textWrapping"/>
      </w:r>
      <w:r>
        <w:rPr>
          <w:rFonts w:hint="eastAsia" w:ascii="Times New Roman" w:hAnsi="Times New Roman" w:eastAsia="宋体" w:cs="宋体"/>
          <w:sz w:val="24"/>
          <w:szCs w:val="24"/>
          <w:lang w:val="en-US" w:eastAsia="zh-CN"/>
        </w:rPr>
        <w:t xml:space="preserve">    </w:t>
      </w:r>
      <w:r>
        <w:rPr>
          <w:rFonts w:hint="eastAsia" w:ascii="Times New Roman" w:hAnsi="Times New Roman" w:eastAsia="宋体" w:cs="宋体"/>
          <w:sz w:val="24"/>
          <w:szCs w:val="24"/>
        </w:rPr>
        <w:t>①</w:t>
      </w:r>
      <w:r>
        <w:rPr>
          <w:rFonts w:ascii="Times New Roman" w:hAnsi="Times New Roman" w:eastAsia="宋体" w:cs="宋体"/>
          <w:sz w:val="24"/>
          <w:szCs w:val="24"/>
        </w:rPr>
        <w:t>平整地基中不得合有树根、石子及建筑垃圾等可能损伤防渗村里的尖锐物料</w:t>
      </w:r>
      <w:r>
        <w:rPr>
          <w:rFonts w:hint="eastAsia" w:ascii="Times New Roman" w:hAnsi="Times New Roman" w:eastAsia="宋体" w:cs="宋体"/>
          <w:sz w:val="24"/>
          <w:szCs w:val="24"/>
          <w:lang w:eastAsia="zh-CN"/>
        </w:rPr>
        <w:t>；</w:t>
      </w:r>
      <w:r>
        <w:rPr>
          <w:rFonts w:ascii="Times New Roman" w:hAnsi="Times New Roman" w:eastAsia="宋体" w:cs="宋体"/>
          <w:sz w:val="24"/>
          <w:szCs w:val="24"/>
        </w:rPr>
        <w:br w:type="textWrapping"/>
      </w:r>
      <w:r>
        <w:rPr>
          <w:rFonts w:hint="eastAsia" w:ascii="Times New Roman" w:hAnsi="Times New Roman" w:eastAsia="宋体" w:cs="宋体"/>
          <w:sz w:val="24"/>
          <w:szCs w:val="24"/>
          <w:lang w:val="en-US" w:eastAsia="zh-CN"/>
        </w:rPr>
        <w:t xml:space="preserve">    </w:t>
      </w:r>
      <w:r>
        <w:rPr>
          <w:rFonts w:hint="eastAsia" w:ascii="Times New Roman" w:hAnsi="Times New Roman" w:eastAsia="宋体" w:cs="宋体"/>
          <w:sz w:val="24"/>
          <w:szCs w:val="24"/>
        </w:rPr>
        <w:t>②</w:t>
      </w:r>
      <w:r>
        <w:rPr>
          <w:rFonts w:ascii="Times New Roman" w:hAnsi="Times New Roman" w:eastAsia="宋体" w:cs="宋体"/>
          <w:sz w:val="24"/>
          <w:szCs w:val="24"/>
        </w:rPr>
        <w:t>平整度应达到每平方米粘士层误差不得大于2cm</w:t>
      </w:r>
      <w:r>
        <w:rPr>
          <w:rFonts w:hint="eastAsia" w:ascii="Times New Roman" w:hAnsi="Times New Roman" w:eastAsia="宋体" w:cs="宋体"/>
          <w:sz w:val="24"/>
          <w:szCs w:val="24"/>
          <w:lang w:eastAsia="zh-CN"/>
        </w:rPr>
        <w:t>；</w:t>
      </w:r>
      <w:r>
        <w:rPr>
          <w:rFonts w:ascii="Times New Roman" w:hAnsi="Times New Roman" w:eastAsia="宋体" w:cs="宋体"/>
          <w:sz w:val="24"/>
          <w:szCs w:val="24"/>
        </w:rPr>
        <w:br w:type="textWrapping"/>
      </w:r>
      <w:r>
        <w:rPr>
          <w:rFonts w:hint="eastAsia" w:ascii="Times New Roman" w:hAnsi="Times New Roman" w:eastAsia="宋体" w:cs="宋体"/>
          <w:sz w:val="24"/>
          <w:szCs w:val="24"/>
          <w:lang w:val="en-US" w:eastAsia="zh-CN"/>
        </w:rPr>
        <w:t xml:space="preserve">    </w:t>
      </w:r>
      <w:r>
        <w:rPr>
          <w:rFonts w:hint="eastAsia" w:ascii="Times New Roman" w:hAnsi="Times New Roman" w:eastAsia="宋体" w:cs="宋体"/>
          <w:sz w:val="24"/>
          <w:szCs w:val="24"/>
        </w:rPr>
        <w:t>③</w:t>
      </w:r>
      <w:r>
        <w:rPr>
          <w:rFonts w:ascii="Times New Roman" w:hAnsi="Times New Roman" w:eastAsia="宋体" w:cs="宋体"/>
          <w:sz w:val="24"/>
          <w:szCs w:val="24"/>
        </w:rPr>
        <w:t>位于库底和边坡的粘土层压实度应满足土方整理工程施工图中的要求</w:t>
      </w:r>
      <w:r>
        <w:rPr>
          <w:rFonts w:hint="eastAsia" w:ascii="Times New Roman" w:hAnsi="Times New Roman" w:eastAsia="宋体" w:cs="宋体"/>
          <w:sz w:val="24"/>
          <w:szCs w:val="24"/>
          <w:lang w:eastAsia="zh-CN"/>
        </w:rPr>
        <w:t>；</w:t>
      </w:r>
      <w:r>
        <w:rPr>
          <w:rFonts w:ascii="Times New Roman" w:hAnsi="Times New Roman" w:eastAsia="宋体" w:cs="宋体"/>
          <w:sz w:val="24"/>
          <w:szCs w:val="24"/>
        </w:rPr>
        <w:br w:type="textWrapping"/>
      </w:r>
      <w:r>
        <w:rPr>
          <w:rFonts w:hint="eastAsia" w:ascii="Times New Roman" w:hAnsi="Times New Roman" w:eastAsia="宋体" w:cs="宋体"/>
          <w:sz w:val="24"/>
          <w:szCs w:val="24"/>
          <w:lang w:val="en-US" w:eastAsia="zh-CN"/>
        </w:rPr>
        <w:t xml:space="preserve">    </w:t>
      </w:r>
      <w:r>
        <w:rPr>
          <w:rFonts w:hint="eastAsia" w:ascii="Times New Roman" w:hAnsi="Times New Roman" w:eastAsia="宋体" w:cs="宋体"/>
          <w:sz w:val="24"/>
          <w:szCs w:val="24"/>
        </w:rPr>
        <w:t>④</w:t>
      </w:r>
      <w:r>
        <w:rPr>
          <w:rFonts w:ascii="Times New Roman" w:hAnsi="Times New Roman" w:eastAsia="宋体" w:cs="宋体"/>
          <w:sz w:val="24"/>
          <w:szCs w:val="24"/>
        </w:rPr>
        <w:t>岩石表层应严整密实，无塌陷松动</w:t>
      </w:r>
      <w:r>
        <w:rPr>
          <w:rFonts w:hint="eastAsia" w:ascii="Times New Roman" w:hAnsi="Times New Roman" w:eastAsia="宋体" w:cs="宋体"/>
          <w:sz w:val="24"/>
          <w:szCs w:val="24"/>
          <w:lang w:eastAsia="zh-CN"/>
        </w:rPr>
        <w:t>。</w:t>
      </w:r>
    </w:p>
    <w:p>
      <w:pPr>
        <w:keepNext/>
        <w:keepLines/>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Times New Roman" w:hAnsi="Times New Roman" w:eastAsia="宋体" w:cs="宋体"/>
          <w:sz w:val="24"/>
          <w:szCs w:val="24"/>
          <w:lang w:eastAsia="zh-CN"/>
        </w:rPr>
      </w:pPr>
      <w:r>
        <w:rPr>
          <w:rFonts w:hint="eastAsia" w:ascii="Times New Roman" w:hAnsi="Times New Roman" w:eastAsia="宋体" w:cs="宋体"/>
          <w:sz w:val="24"/>
          <w:szCs w:val="24"/>
          <w:lang w:eastAsia="zh-CN"/>
        </w:rPr>
        <w:t>（</w:t>
      </w:r>
      <w:r>
        <w:rPr>
          <w:rFonts w:hint="eastAsia" w:ascii="Times New Roman" w:hAnsi="Times New Roman" w:eastAsia="宋体" w:cs="宋体"/>
          <w:sz w:val="24"/>
          <w:szCs w:val="24"/>
          <w:lang w:val="en-US" w:eastAsia="zh-CN"/>
        </w:rPr>
        <w:t>4</w:t>
      </w:r>
      <w:r>
        <w:rPr>
          <w:rFonts w:hint="eastAsia" w:ascii="Times New Roman" w:hAnsi="Times New Roman" w:eastAsia="宋体" w:cs="宋体"/>
          <w:sz w:val="24"/>
          <w:szCs w:val="24"/>
          <w:lang w:eastAsia="zh-CN"/>
        </w:rPr>
        <w:t>）前期地基平整后开始铺设防渗材料，防渗材料铺设顺序为</w:t>
      </w:r>
      <w:r>
        <w:rPr>
          <w:rFonts w:ascii="Times New Roman" w:hAnsi="Times New Roman" w:eastAsia="宋体" w:cs="宋体"/>
          <w:sz w:val="24"/>
          <w:szCs w:val="24"/>
        </w:rPr>
        <w:t>HDPE土工膜</w:t>
      </w:r>
      <w:r>
        <w:rPr>
          <w:rFonts w:hint="eastAsia" w:ascii="Times New Roman" w:hAnsi="Times New Roman" w:eastAsia="宋体" w:cs="宋体"/>
          <w:sz w:val="24"/>
          <w:szCs w:val="24"/>
          <w:lang w:eastAsia="zh-CN"/>
        </w:rPr>
        <w:t>、土工布、</w:t>
      </w:r>
      <w:r>
        <w:rPr>
          <w:rFonts w:ascii="Times New Roman" w:hAnsi="Times New Roman" w:eastAsia="宋体" w:cs="宋体"/>
          <w:sz w:val="24"/>
          <w:szCs w:val="24"/>
        </w:rPr>
        <w:t>GCL膨润土垫</w:t>
      </w:r>
      <w:r>
        <w:rPr>
          <w:rFonts w:hint="eastAsia" w:ascii="Times New Roman" w:hAnsi="Times New Roman" w:eastAsia="宋体" w:cs="宋体"/>
          <w:sz w:val="24"/>
          <w:szCs w:val="24"/>
          <w:lang w:eastAsia="zh-CN"/>
        </w:rPr>
        <w:t>、</w:t>
      </w:r>
      <w:r>
        <w:rPr>
          <w:rFonts w:ascii="Times New Roman" w:hAnsi="Times New Roman" w:eastAsia="宋体" w:cs="宋体"/>
          <w:sz w:val="24"/>
          <w:szCs w:val="24"/>
        </w:rPr>
        <w:t>土工复合排水网</w:t>
      </w:r>
      <w:r>
        <w:rPr>
          <w:rFonts w:hint="eastAsia" w:ascii="Times New Roman" w:hAnsi="Times New Roman" w:eastAsia="宋体" w:cs="宋体"/>
          <w:sz w:val="24"/>
          <w:szCs w:val="24"/>
          <w:lang w:eastAsia="zh-CN"/>
        </w:rPr>
        <w:t>。防渗材料</w:t>
      </w:r>
      <w:r>
        <w:rPr>
          <w:rFonts w:ascii="Times New Roman" w:hAnsi="Times New Roman" w:eastAsia="宋体" w:cs="宋体"/>
          <w:sz w:val="24"/>
          <w:szCs w:val="24"/>
        </w:rPr>
        <w:t>铺设</w:t>
      </w:r>
      <w:r>
        <w:rPr>
          <w:rFonts w:hint="eastAsia" w:ascii="Times New Roman" w:hAnsi="Times New Roman" w:eastAsia="宋体" w:cs="宋体"/>
          <w:sz w:val="24"/>
          <w:szCs w:val="24"/>
          <w:lang w:eastAsia="zh-CN"/>
        </w:rPr>
        <w:t>后进行</w:t>
      </w:r>
      <w:r>
        <w:rPr>
          <w:rFonts w:ascii="Times New Roman" w:hAnsi="Times New Roman" w:eastAsia="宋体" w:cs="宋体"/>
          <w:sz w:val="24"/>
          <w:szCs w:val="24"/>
        </w:rPr>
        <w:t>锚固沟施工</w:t>
      </w:r>
      <w:r>
        <w:rPr>
          <w:rFonts w:hint="eastAsia" w:ascii="Times New Roman" w:hAnsi="Times New Roman" w:eastAsia="宋体" w:cs="宋体"/>
          <w:sz w:val="24"/>
          <w:szCs w:val="24"/>
          <w:lang w:eastAsia="zh-CN"/>
        </w:rPr>
        <w:t>。</w:t>
      </w:r>
    </w:p>
    <w:p>
      <w:pPr>
        <w:keepNext/>
        <w:keepLines/>
        <w:pageBreakBefore w:val="0"/>
        <w:widowControl w:val="0"/>
        <w:kinsoku/>
        <w:wordWrap/>
        <w:overflowPunct/>
        <w:topLinePunct w:val="0"/>
        <w:autoSpaceDE/>
        <w:autoSpaceDN/>
        <w:bidi w:val="0"/>
        <w:adjustRightInd/>
        <w:snapToGrid/>
        <w:spacing w:line="360" w:lineRule="auto"/>
        <w:textAlignment w:val="auto"/>
        <w:outlineLvl w:val="2"/>
        <w:rPr>
          <w:rFonts w:hint="eastAsia" w:ascii="Times New Roman" w:hAnsi="Times New Roman"/>
          <w:lang w:eastAsia="zh-CN"/>
        </w:rPr>
      </w:pPr>
      <w:bookmarkStart w:id="19" w:name="_Toc29201"/>
      <w:r>
        <w:rPr>
          <w:rFonts w:hint="eastAsia" w:ascii="Times New Roman" w:hAnsi="Times New Roman" w:eastAsia="宋体" w:cs="Times New Roman"/>
          <w:b/>
          <w:bCs/>
          <w:color w:val="auto"/>
          <w:spacing w:val="10"/>
          <w:kern w:val="2"/>
          <w:sz w:val="28"/>
          <w:szCs w:val="32"/>
          <w:lang w:val="en-US" w:eastAsia="zh-CN" w:bidi="ar-SA"/>
        </w:rPr>
        <w:t>3.5.2填埋工艺</w:t>
      </w:r>
      <w:bookmarkEnd w:id="19"/>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color w:val="auto"/>
          <w:sz w:val="24"/>
        </w:rPr>
      </w:pPr>
      <w:r>
        <w:rPr>
          <w:rFonts w:hint="eastAsia" w:ascii="Times New Roman" w:hAnsi="Times New Roman" w:eastAsia="宋体" w:cs="宋体"/>
          <w:color w:val="auto"/>
          <w:sz w:val="24"/>
          <w:lang w:eastAsia="zh-CN"/>
        </w:rPr>
        <w:t>本项目一般固废填埋工序主要为：汽车运输一般固废、地磅称重、填埋作业区倾倒、分层压实、终场覆盖、绿化。</w:t>
      </w:r>
      <w:r>
        <w:rPr>
          <w:rFonts w:hint="eastAsia" w:ascii="Times New Roman" w:hAnsi="Times New Roman" w:eastAsia="宋体" w:cs="宋体"/>
          <w:color w:val="auto"/>
          <w:sz w:val="24"/>
        </w:rPr>
        <w:t>其具体工艺流程见图</w:t>
      </w:r>
      <w:r>
        <w:rPr>
          <w:rFonts w:hint="eastAsia" w:ascii="Times New Roman" w:hAnsi="Times New Roman" w:eastAsia="宋体" w:cs="宋体"/>
          <w:color w:val="auto"/>
          <w:sz w:val="24"/>
          <w:lang w:val="en-US" w:eastAsia="zh-CN"/>
        </w:rPr>
        <w:t>3.5-1。</w:t>
      </w:r>
    </w:p>
    <w:p>
      <w:pPr>
        <w:spacing w:line="240" w:lineRule="auto"/>
        <w:rPr>
          <w:rFonts w:ascii="Times New Roman" w:hAnsi="Times New Roman" w:eastAsia="宋体"/>
          <w:color w:val="auto"/>
        </w:rPr>
      </w:pPr>
      <w:r>
        <w:rPr>
          <w:rFonts w:ascii="Times New Roman" w:hAnsi="Times New Roman"/>
          <w:color w:val="auto"/>
          <w:sz w:val="21"/>
        </w:rPr>
        <mc:AlternateContent>
          <mc:Choice Requires="wps">
            <w:drawing>
              <wp:anchor distT="0" distB="0" distL="114300" distR="114300" simplePos="0" relativeHeight="251671552" behindDoc="0" locked="0" layoutInCell="1" allowOverlap="1">
                <wp:simplePos x="0" y="0"/>
                <wp:positionH relativeFrom="column">
                  <wp:posOffset>3252470</wp:posOffset>
                </wp:positionH>
                <wp:positionV relativeFrom="paragraph">
                  <wp:posOffset>2417445</wp:posOffset>
                </wp:positionV>
                <wp:extent cx="2162175" cy="334010"/>
                <wp:effectExtent l="4445" t="5080" r="5080" b="22860"/>
                <wp:wrapNone/>
                <wp:docPr id="17" name="文本框 1477"/>
                <wp:cNvGraphicFramePr/>
                <a:graphic xmlns:a="http://schemas.openxmlformats.org/drawingml/2006/main">
                  <a:graphicData uri="http://schemas.microsoft.com/office/word/2010/wordprocessingShape">
                    <wps:wsp>
                      <wps:cNvSpPr txBox="1"/>
                      <wps:spPr>
                        <a:xfrm>
                          <a:off x="0" y="0"/>
                          <a:ext cx="2162175" cy="33401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lang w:eastAsia="zh-CN"/>
                              </w:rPr>
                            </w:pPr>
                            <w:r>
                              <w:rPr>
                                <w:rFonts w:hint="eastAsia"/>
                                <w:lang w:eastAsia="zh-CN"/>
                              </w:rPr>
                              <w:t>委托灵璧县生活垃圾填埋场处理</w:t>
                            </w:r>
                          </w:p>
                        </w:txbxContent>
                      </wps:txbx>
                      <wps:bodyPr upright="1"/>
                    </wps:wsp>
                  </a:graphicData>
                </a:graphic>
              </wp:anchor>
            </w:drawing>
          </mc:Choice>
          <mc:Fallback>
            <w:pict>
              <v:shape id="文本框 1477" o:spid="_x0000_s1026" o:spt="202" type="#_x0000_t202" style="position:absolute;left:0pt;margin-left:256.1pt;margin-top:190.35pt;height:26.3pt;width:170.25pt;z-index:251671552;mso-width-relative:page;mso-height-relative:page;" fillcolor="#FFFFFF" filled="t" stroked="t" coordsize="21600,21600" o:gfxdata="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6cqRmtsAAAALAQAADwAAAAAAAAAB&#10;ACAAAAAiAAAAZHJzL2Rvd25yZXYueG1sUEsBAhQAFAAAAAgAh07iQDw3tkkNAgAAOgQAAA4AAAAA&#10;AAAAAQAgAAAAKgEAAGRycy9lMm9Eb2MueG1sUEsFBgAAAAAGAAYAWQEAAKkFAAAAAA==&#10;">
                <v:fill on="t" focussize="0,0"/>
                <v:stroke color="#000000" joinstyle="miter"/>
                <v:imagedata o:title=""/>
                <o:lock v:ext="edit" aspectratio="f"/>
                <v:textbox>
                  <w:txbxContent>
                    <w:p>
                      <w:pPr>
                        <w:rPr>
                          <w:rFonts w:hint="eastAsia" w:eastAsia="宋体"/>
                          <w:lang w:eastAsia="zh-CN"/>
                        </w:rPr>
                      </w:pPr>
                      <w:r>
                        <w:rPr>
                          <w:rFonts w:hint="eastAsia"/>
                          <w:lang w:eastAsia="zh-CN"/>
                        </w:rPr>
                        <w:t>委托灵璧县生活垃圾填埋场处理</w:t>
                      </w:r>
                    </w:p>
                  </w:txbxContent>
                </v:textbox>
              </v:shape>
            </w:pict>
          </mc:Fallback>
        </mc:AlternateContent>
      </w:r>
      <w:r>
        <w:rPr>
          <w:rFonts w:ascii="Times New Roman" w:hAnsi="Times New Roman" w:eastAsia="宋体"/>
          <w:color w:val="auto"/>
          <w:sz w:val="21"/>
        </w:rPr>
        <mc:AlternateContent>
          <mc:Choice Requires="wps">
            <w:drawing>
              <wp:anchor distT="0" distB="0" distL="114300" distR="114300" simplePos="0" relativeHeight="251670528" behindDoc="0" locked="0" layoutInCell="1" allowOverlap="1">
                <wp:simplePos x="0" y="0"/>
                <wp:positionH relativeFrom="column">
                  <wp:posOffset>3210560</wp:posOffset>
                </wp:positionH>
                <wp:positionV relativeFrom="paragraph">
                  <wp:posOffset>66040</wp:posOffset>
                </wp:positionV>
                <wp:extent cx="695325" cy="333375"/>
                <wp:effectExtent l="0" t="0" r="0" b="0"/>
                <wp:wrapNone/>
                <wp:docPr id="14" name="文本框 245"/>
                <wp:cNvGraphicFramePr/>
                <a:graphic xmlns:a="http://schemas.openxmlformats.org/drawingml/2006/main">
                  <a:graphicData uri="http://schemas.microsoft.com/office/word/2010/wordprocessingShape">
                    <wps:wsp>
                      <wps:cNvSpPr txBox="1"/>
                      <wps:spPr>
                        <a:xfrm>
                          <a:off x="0" y="0"/>
                          <a:ext cx="695325" cy="333375"/>
                        </a:xfrm>
                        <a:prstGeom prst="rect">
                          <a:avLst/>
                        </a:prstGeom>
                        <a:noFill/>
                        <a:ln>
                          <a:noFill/>
                        </a:ln>
                      </wps:spPr>
                      <wps:txbx>
                        <w:txbxContent>
                          <w:p>
                            <w:pPr>
                              <w:rPr>
                                <w:rFonts w:hint="eastAsia" w:eastAsia="宋体"/>
                                <w:lang w:val="en-US" w:eastAsia="zh-CN"/>
                              </w:rPr>
                            </w:pPr>
                            <w:r>
                              <w:rPr>
                                <w:rFonts w:hint="eastAsia"/>
                                <w:lang w:val="en-US" w:eastAsia="zh-CN"/>
                              </w:rPr>
                              <w:t>N，G1</w:t>
                            </w:r>
                          </w:p>
                        </w:txbxContent>
                      </wps:txbx>
                      <wps:bodyPr upright="1"/>
                    </wps:wsp>
                  </a:graphicData>
                </a:graphic>
              </wp:anchor>
            </w:drawing>
          </mc:Choice>
          <mc:Fallback>
            <w:pict>
              <v:shape id="文本框 245" o:spid="_x0000_s1026" o:spt="202" type="#_x0000_t202" style="position:absolute;left:0pt;margin-left:252.8pt;margin-top:5.2pt;height:26.25pt;width:54.75pt;z-index:251670528;mso-width-relative:page;mso-height-relative:page;" filled="f" stroked="f" coordsize="21600,21600" o:gfxdata="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OVlnd/VAAAA&#10;CQEAAA8AAAAAAAAAAQAgAAAAIgAAAGRycy9kb3ducmV2LnhtbFBLAQIUABQAAAAIAIdO4kDlsvEO&#10;rgEAAFADAAAOAAAAAAAAAAEAIAAAACQBAABkcnMvZTJvRG9jLnhtbFBLBQYAAAAABgAGAFkBAABE&#10;BQAAAAA=&#10;">
                <v:fill on="f" focussize="0,0"/>
                <v:stroke on="f"/>
                <v:imagedata o:title=""/>
                <o:lock v:ext="edit" aspectratio="f"/>
                <v:textbox>
                  <w:txbxContent>
                    <w:p>
                      <w:pPr>
                        <w:rPr>
                          <w:rFonts w:hint="eastAsia" w:eastAsia="宋体"/>
                          <w:lang w:val="en-US" w:eastAsia="zh-CN"/>
                        </w:rPr>
                      </w:pPr>
                      <w:r>
                        <w:rPr>
                          <w:rFonts w:hint="eastAsia"/>
                          <w:lang w:val="en-US" w:eastAsia="zh-CN"/>
                        </w:rPr>
                        <w:t>N，G1</w:t>
                      </w:r>
                    </w:p>
                  </w:txbxContent>
                </v:textbox>
              </v:shape>
            </w:pict>
          </mc:Fallback>
        </mc:AlternateContent>
      </w:r>
      <w:r>
        <w:rPr>
          <w:rFonts w:ascii="Times New Roman" w:hAnsi="Times New Roman" w:eastAsia="宋体"/>
          <w:color w:val="auto"/>
          <w:sz w:val="21"/>
        </w:rPr>
        <mc:AlternateContent>
          <mc:Choice Requires="wps">
            <w:drawing>
              <wp:anchor distT="0" distB="0" distL="114300" distR="114300" simplePos="0" relativeHeight="251669504" behindDoc="0" locked="0" layoutInCell="1" allowOverlap="1">
                <wp:simplePos x="0" y="0"/>
                <wp:positionH relativeFrom="column">
                  <wp:posOffset>3477260</wp:posOffset>
                </wp:positionH>
                <wp:positionV relativeFrom="paragraph">
                  <wp:posOffset>266065</wp:posOffset>
                </wp:positionV>
                <wp:extent cx="635" cy="514350"/>
                <wp:effectExtent l="37465" t="0" r="38100" b="0"/>
                <wp:wrapNone/>
                <wp:docPr id="13" name="直线 246"/>
                <wp:cNvGraphicFramePr/>
                <a:graphic xmlns:a="http://schemas.openxmlformats.org/drawingml/2006/main">
                  <a:graphicData uri="http://schemas.microsoft.com/office/word/2010/wordprocessingShape">
                    <wps:wsp>
                      <wps:cNvCnPr/>
                      <wps:spPr>
                        <a:xfrm flipV="1">
                          <a:off x="0" y="0"/>
                          <a:ext cx="635" cy="514350"/>
                        </a:xfrm>
                        <a:prstGeom prst="line">
                          <a:avLst/>
                        </a:prstGeom>
                        <a:ln w="9525" cap="flat" cmpd="sng">
                          <a:solidFill>
                            <a:srgbClr val="000000"/>
                          </a:solidFill>
                          <a:prstDash val="dash"/>
                          <a:headEnd type="none" w="med" len="med"/>
                          <a:tailEnd type="triangle" w="med" len="med"/>
                        </a:ln>
                      </wps:spPr>
                      <wps:bodyPr upright="1"/>
                    </wps:wsp>
                  </a:graphicData>
                </a:graphic>
              </wp:anchor>
            </w:drawing>
          </mc:Choice>
          <mc:Fallback>
            <w:pict>
              <v:line id="直线 246" o:spid="_x0000_s1026" o:spt="20" style="position:absolute;left:0pt;flip:y;margin-left:273.8pt;margin-top:20.95pt;height:40.5pt;width:0.05pt;z-index:251669504;mso-width-relative:page;mso-height-relative:page;" filled="f" stroked="t" coordsize="21600,21600" o:gfxdata="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HNlPw3WAAAACgEAAA8AAAAAAAAAAQAgAAAAIgAAAGRycy9kb3ducmV2Lnht&#10;bFBLAQIUABQAAAAIAIdO4kBb7Shw+wEAAOwDAAAOAAAAAAAAAAEAIAAAACUBAABkcnMvZTJvRG9j&#10;LnhtbFBLBQYAAAAABgAGAFkBAACSBQAAAAA=&#10;">
                <v:fill on="f" focussize="0,0"/>
                <v:stroke color="#000000" joinstyle="round" dashstyle="dash" endarrow="block"/>
                <v:imagedata o:title=""/>
                <o:lock v:ext="edit" aspectratio="f"/>
              </v:line>
            </w:pict>
          </mc:Fallback>
        </mc:AlternateContent>
      </w:r>
      <w:r>
        <w:rPr>
          <w:rFonts w:ascii="Times New Roman" w:hAnsi="Times New Roman" w:eastAsia="宋体"/>
          <w:color w:val="auto"/>
          <w:sz w:val="21"/>
        </w:rPr>
        <mc:AlternateContent>
          <mc:Choice Requires="wps">
            <w:drawing>
              <wp:anchor distT="0" distB="0" distL="114300" distR="114300" simplePos="0" relativeHeight="251668480" behindDoc="0" locked="0" layoutInCell="1" allowOverlap="1">
                <wp:simplePos x="0" y="0"/>
                <wp:positionH relativeFrom="column">
                  <wp:posOffset>2143760</wp:posOffset>
                </wp:positionH>
                <wp:positionV relativeFrom="paragraph">
                  <wp:posOffset>85090</wp:posOffset>
                </wp:positionV>
                <wp:extent cx="695325" cy="333375"/>
                <wp:effectExtent l="0" t="0" r="0" b="0"/>
                <wp:wrapNone/>
                <wp:docPr id="12" name="文本框 244"/>
                <wp:cNvGraphicFramePr/>
                <a:graphic xmlns:a="http://schemas.openxmlformats.org/drawingml/2006/main">
                  <a:graphicData uri="http://schemas.microsoft.com/office/word/2010/wordprocessingShape">
                    <wps:wsp>
                      <wps:cNvSpPr txBox="1"/>
                      <wps:spPr>
                        <a:xfrm>
                          <a:off x="0" y="0"/>
                          <a:ext cx="695325" cy="333375"/>
                        </a:xfrm>
                        <a:prstGeom prst="rect">
                          <a:avLst/>
                        </a:prstGeom>
                        <a:noFill/>
                        <a:ln>
                          <a:noFill/>
                        </a:ln>
                      </wps:spPr>
                      <wps:txbx>
                        <w:txbxContent>
                          <w:p>
                            <w:pPr>
                              <w:rPr>
                                <w:rFonts w:hint="eastAsia" w:eastAsia="宋体"/>
                                <w:lang w:val="en-US" w:eastAsia="zh-CN"/>
                              </w:rPr>
                            </w:pPr>
                            <w:r>
                              <w:rPr>
                                <w:rFonts w:hint="eastAsia"/>
                                <w:lang w:val="en-US" w:eastAsia="zh-CN"/>
                              </w:rPr>
                              <w:t>N，G1</w:t>
                            </w:r>
                          </w:p>
                        </w:txbxContent>
                      </wps:txbx>
                      <wps:bodyPr upright="1"/>
                    </wps:wsp>
                  </a:graphicData>
                </a:graphic>
              </wp:anchor>
            </w:drawing>
          </mc:Choice>
          <mc:Fallback>
            <w:pict>
              <v:shape id="文本框 244" o:spid="_x0000_s1026" o:spt="202" type="#_x0000_t202" style="position:absolute;left:0pt;margin-left:168.8pt;margin-top:6.7pt;height:26.25pt;width:54.75pt;z-index:251668480;mso-width-relative:page;mso-height-relative:page;" filled="f" stroked="f" coordsize="21600,21600" o:gfxdata="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urwbm9cA&#10;AAAJAQAADwAAAAAAAAABACAAAAAiAAAAZHJzL2Rvd25yZXYueG1sUEsBAhQAFAAAAAgAh07iQEas&#10;uQ+uAQAAUAMAAA4AAAAAAAAAAQAgAAAAJgEAAGRycy9lMm9Eb2MueG1sUEsFBgAAAAAGAAYAWQEA&#10;AEYFAAAAAA==&#10;">
                <v:fill on="f" focussize="0,0"/>
                <v:stroke on="f"/>
                <v:imagedata o:title=""/>
                <o:lock v:ext="edit" aspectratio="f"/>
                <v:textbox>
                  <w:txbxContent>
                    <w:p>
                      <w:pPr>
                        <w:rPr>
                          <w:rFonts w:hint="eastAsia" w:eastAsia="宋体"/>
                          <w:lang w:val="en-US" w:eastAsia="zh-CN"/>
                        </w:rPr>
                      </w:pPr>
                      <w:r>
                        <w:rPr>
                          <w:rFonts w:hint="eastAsia"/>
                          <w:lang w:val="en-US" w:eastAsia="zh-CN"/>
                        </w:rPr>
                        <w:t>N，G1</w:t>
                      </w:r>
                    </w:p>
                  </w:txbxContent>
                </v:textbox>
              </v:shape>
            </w:pict>
          </mc:Fallback>
        </mc:AlternateContent>
      </w:r>
      <w:r>
        <w:rPr>
          <w:rFonts w:ascii="Times New Roman" w:hAnsi="Times New Roman" w:eastAsia="宋体"/>
          <w:color w:val="auto"/>
          <w:sz w:val="21"/>
        </w:rPr>
        <mc:AlternateContent>
          <mc:Choice Requires="wps">
            <w:drawing>
              <wp:anchor distT="0" distB="0" distL="114300" distR="114300" simplePos="0" relativeHeight="251667456" behindDoc="0" locked="0" layoutInCell="1" allowOverlap="1">
                <wp:simplePos x="0" y="0"/>
                <wp:positionH relativeFrom="column">
                  <wp:posOffset>2410460</wp:posOffset>
                </wp:positionH>
                <wp:positionV relativeFrom="paragraph">
                  <wp:posOffset>285115</wp:posOffset>
                </wp:positionV>
                <wp:extent cx="635" cy="514350"/>
                <wp:effectExtent l="37465" t="0" r="38100" b="0"/>
                <wp:wrapNone/>
                <wp:docPr id="11" name="直线 243"/>
                <wp:cNvGraphicFramePr/>
                <a:graphic xmlns:a="http://schemas.openxmlformats.org/drawingml/2006/main">
                  <a:graphicData uri="http://schemas.microsoft.com/office/word/2010/wordprocessingShape">
                    <wps:wsp>
                      <wps:cNvCnPr/>
                      <wps:spPr>
                        <a:xfrm flipV="1">
                          <a:off x="0" y="0"/>
                          <a:ext cx="635" cy="514350"/>
                        </a:xfrm>
                        <a:prstGeom prst="line">
                          <a:avLst/>
                        </a:prstGeom>
                        <a:ln w="9525" cap="flat" cmpd="sng">
                          <a:solidFill>
                            <a:srgbClr val="000000"/>
                          </a:solidFill>
                          <a:prstDash val="dash"/>
                          <a:headEnd type="none" w="med" len="med"/>
                          <a:tailEnd type="triangle" w="med" len="med"/>
                        </a:ln>
                      </wps:spPr>
                      <wps:bodyPr upright="1"/>
                    </wps:wsp>
                  </a:graphicData>
                </a:graphic>
              </wp:anchor>
            </w:drawing>
          </mc:Choice>
          <mc:Fallback>
            <w:pict>
              <v:line id="直线 243" o:spid="_x0000_s1026" o:spt="20" style="position:absolute;left:0pt;flip:y;margin-left:189.8pt;margin-top:22.45pt;height:40.5pt;width:0.05pt;z-index:251667456;mso-width-relative:page;mso-height-relative:page;" filled="f" stroked="t" coordsize="21600,21600" o:gfxdata="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Np5SsLWAAAACgEAAA8AAAAAAAAAAQAgAAAAIgAAAGRycy9kb3ducmV2Lnht&#10;bFBLAQIUABQAAAAIAIdO4kCWAWnk+wEAAOwDAAAOAAAAAAAAAAEAIAAAACUBAABkcnMvZTJvRG9j&#10;LnhtbFBLBQYAAAAABgAGAFkBAACSBQAAAAA=&#10;">
                <v:fill on="f" focussize="0,0"/>
                <v:stroke color="#000000" joinstyle="round" dashstyle="dash" endarrow="block"/>
                <v:imagedata o:title=""/>
                <o:lock v:ext="edit" aspectratio="f"/>
              </v:line>
            </w:pict>
          </mc:Fallback>
        </mc:AlternateContent>
      </w:r>
      <w:r>
        <w:rPr>
          <w:rFonts w:ascii="Times New Roman" w:hAnsi="Times New Roman" w:eastAsia="宋体"/>
          <w:color w:val="auto"/>
        </w:rPr>
        <w:drawing>
          <wp:inline distT="0" distB="0" distL="114300" distR="114300">
            <wp:extent cx="5271135" cy="2612390"/>
            <wp:effectExtent l="0" t="0" r="5715" b="16510"/>
            <wp:docPr id="3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8"/>
                    <pic:cNvPicPr>
                      <a:picLocks noChangeAspect="1"/>
                    </pic:cNvPicPr>
                  </pic:nvPicPr>
                  <pic:blipFill>
                    <a:blip r:embed="rId14"/>
                    <a:stretch>
                      <a:fillRect/>
                    </a:stretch>
                  </pic:blipFill>
                  <pic:spPr>
                    <a:xfrm>
                      <a:off x="0" y="0"/>
                      <a:ext cx="5271135" cy="2612390"/>
                    </a:xfrm>
                    <a:prstGeom prst="rect">
                      <a:avLst/>
                    </a:prstGeom>
                    <a:noFill/>
                    <a:ln>
                      <a:noFill/>
                    </a:ln>
                  </pic:spPr>
                </pic:pic>
              </a:graphicData>
            </a:graphic>
          </wp:inline>
        </w:drawing>
      </w:r>
    </w:p>
    <w:p>
      <w:pPr>
        <w:spacing w:line="360" w:lineRule="auto"/>
        <w:jc w:val="left"/>
        <w:rPr>
          <w:rFonts w:hint="eastAsia" w:ascii="Times New Roman" w:hAnsi="Times New Roman" w:eastAsia="宋体"/>
          <w:b/>
          <w:bCs/>
          <w:color w:val="auto"/>
          <w:lang w:eastAsia="zh-CN"/>
        </w:rPr>
      </w:pPr>
      <w:r>
        <w:rPr>
          <w:rFonts w:hint="eastAsia" w:ascii="Times New Roman" w:hAnsi="Times New Roman" w:eastAsia="宋体"/>
          <w:b/>
          <w:bCs/>
          <w:color w:val="auto"/>
          <w:lang w:eastAsia="zh-CN"/>
        </w:rPr>
        <w:t>备注：</w:t>
      </w:r>
      <w:r>
        <w:rPr>
          <w:rFonts w:hint="eastAsia" w:ascii="Times New Roman" w:hAnsi="Times New Roman" w:eastAsia="宋体"/>
          <w:b/>
          <w:bCs/>
          <w:color w:val="auto"/>
          <w:lang w:val="en-US" w:eastAsia="zh-CN"/>
        </w:rPr>
        <w:t>N——噪声；G1——粉尘。</w:t>
      </w:r>
    </w:p>
    <w:p>
      <w:pPr>
        <w:spacing w:line="360" w:lineRule="auto"/>
        <w:jc w:val="center"/>
        <w:rPr>
          <w:rFonts w:hint="eastAsia" w:ascii="Times New Roman" w:hAnsi="Times New Roman" w:eastAsia="宋体"/>
          <w:b/>
          <w:bCs/>
          <w:color w:val="auto"/>
          <w:lang w:val="en-US" w:eastAsia="zh-CN"/>
        </w:rPr>
      </w:pPr>
      <w:r>
        <w:rPr>
          <w:rFonts w:hint="eastAsia" w:ascii="Times New Roman" w:hAnsi="Times New Roman" w:eastAsia="宋体"/>
          <w:b/>
          <w:bCs/>
          <w:color w:val="auto"/>
          <w:lang w:eastAsia="zh-CN"/>
        </w:rPr>
        <w:t>图</w:t>
      </w:r>
      <w:r>
        <w:rPr>
          <w:rFonts w:hint="eastAsia" w:ascii="Times New Roman" w:hAnsi="Times New Roman" w:eastAsia="宋体"/>
          <w:b/>
          <w:bCs/>
          <w:color w:val="auto"/>
          <w:lang w:val="en-US" w:eastAsia="zh-CN"/>
        </w:rPr>
        <w:t>3.5-1  项目填埋工艺流程及产污节点图</w:t>
      </w:r>
    </w:p>
    <w:p>
      <w:pPr>
        <w:pageBreakBefore w:val="0"/>
        <w:widowControl w:val="0"/>
        <w:kinsoku/>
        <w:wordWrap/>
        <w:overflowPunct/>
        <w:topLinePunct w:val="0"/>
        <w:autoSpaceDE/>
        <w:autoSpaceDN/>
        <w:bidi w:val="0"/>
        <w:adjustRightInd/>
        <w:snapToGrid/>
        <w:spacing w:line="360" w:lineRule="auto"/>
        <w:ind w:left="0" w:leftChars="0" w:firstLine="482" w:firstLineChars="200"/>
        <w:textAlignment w:val="auto"/>
        <w:rPr>
          <w:rFonts w:hint="eastAsia" w:ascii="Times New Roman" w:hAnsi="Times New Roman" w:eastAsia="宋体" w:cs="宋体"/>
          <w:b/>
          <w:bCs/>
          <w:color w:val="auto"/>
          <w:sz w:val="24"/>
          <w:szCs w:val="24"/>
          <w:lang w:val="en-US" w:eastAsia="zh-CN"/>
        </w:rPr>
      </w:pPr>
    </w:p>
    <w:p>
      <w:pPr>
        <w:pageBreakBefore w:val="0"/>
        <w:widowControl w:val="0"/>
        <w:kinsoku/>
        <w:wordWrap/>
        <w:overflowPunct/>
        <w:topLinePunct w:val="0"/>
        <w:autoSpaceDE/>
        <w:autoSpaceDN/>
        <w:bidi w:val="0"/>
        <w:adjustRightInd/>
        <w:snapToGrid/>
        <w:spacing w:line="360" w:lineRule="auto"/>
        <w:ind w:left="0" w:leftChars="0" w:firstLine="482" w:firstLineChars="200"/>
        <w:textAlignment w:val="auto"/>
        <w:rPr>
          <w:rFonts w:hint="eastAsia" w:ascii="Times New Roman" w:hAnsi="Times New Roman" w:eastAsia="宋体" w:cs="宋体"/>
          <w:b/>
          <w:bCs/>
          <w:color w:val="auto"/>
          <w:sz w:val="24"/>
          <w:szCs w:val="24"/>
          <w:lang w:val="en-US" w:eastAsia="zh-CN"/>
        </w:rPr>
      </w:pPr>
    </w:p>
    <w:p>
      <w:pPr>
        <w:pageBreakBefore w:val="0"/>
        <w:widowControl w:val="0"/>
        <w:kinsoku/>
        <w:wordWrap/>
        <w:overflowPunct/>
        <w:topLinePunct w:val="0"/>
        <w:autoSpaceDE/>
        <w:autoSpaceDN/>
        <w:bidi w:val="0"/>
        <w:adjustRightInd/>
        <w:snapToGrid/>
        <w:spacing w:line="360" w:lineRule="auto"/>
        <w:ind w:left="0" w:leftChars="0" w:firstLine="482" w:firstLineChars="200"/>
        <w:textAlignment w:val="auto"/>
        <w:rPr>
          <w:rFonts w:hint="eastAsia" w:ascii="Times New Roman" w:hAnsi="Times New Roman" w:eastAsia="宋体" w:cs="宋体"/>
          <w:b/>
          <w:bCs/>
          <w:color w:val="auto"/>
          <w:sz w:val="24"/>
          <w:szCs w:val="24"/>
          <w:lang w:val="en-US" w:eastAsia="zh-CN"/>
        </w:rPr>
      </w:pPr>
    </w:p>
    <w:p>
      <w:pPr>
        <w:pageBreakBefore w:val="0"/>
        <w:widowControl w:val="0"/>
        <w:kinsoku/>
        <w:wordWrap/>
        <w:overflowPunct/>
        <w:topLinePunct w:val="0"/>
        <w:autoSpaceDE/>
        <w:autoSpaceDN/>
        <w:bidi w:val="0"/>
        <w:adjustRightInd/>
        <w:snapToGrid/>
        <w:spacing w:line="360" w:lineRule="auto"/>
        <w:ind w:left="0" w:leftChars="0" w:firstLine="482" w:firstLineChars="200"/>
        <w:textAlignment w:val="auto"/>
        <w:rPr>
          <w:rFonts w:hint="eastAsia" w:ascii="Times New Roman" w:hAnsi="Times New Roman" w:eastAsia="宋体" w:cs="宋体"/>
          <w:b/>
          <w:bCs/>
          <w:color w:val="auto"/>
          <w:sz w:val="24"/>
          <w:szCs w:val="24"/>
          <w:lang w:val="en-US" w:eastAsia="zh-CN"/>
        </w:rPr>
      </w:pPr>
    </w:p>
    <w:p>
      <w:pPr>
        <w:pageBreakBefore w:val="0"/>
        <w:widowControl w:val="0"/>
        <w:kinsoku/>
        <w:wordWrap/>
        <w:overflowPunct/>
        <w:topLinePunct w:val="0"/>
        <w:autoSpaceDE/>
        <w:autoSpaceDN/>
        <w:bidi w:val="0"/>
        <w:adjustRightInd/>
        <w:snapToGrid/>
        <w:spacing w:line="360" w:lineRule="auto"/>
        <w:ind w:left="0" w:leftChars="0" w:firstLine="482" w:firstLineChars="200"/>
        <w:textAlignment w:val="auto"/>
        <w:rPr>
          <w:rFonts w:hint="eastAsia" w:ascii="Times New Roman" w:hAnsi="Times New Roman" w:eastAsia="宋体" w:cs="宋体"/>
          <w:b/>
          <w:bCs/>
          <w:color w:val="auto"/>
          <w:sz w:val="24"/>
          <w:szCs w:val="24"/>
          <w:lang w:val="en-US" w:eastAsia="zh-CN"/>
        </w:rPr>
      </w:pPr>
    </w:p>
    <w:p>
      <w:pPr>
        <w:pageBreakBefore w:val="0"/>
        <w:widowControl w:val="0"/>
        <w:kinsoku/>
        <w:wordWrap/>
        <w:overflowPunct/>
        <w:topLinePunct w:val="0"/>
        <w:autoSpaceDE/>
        <w:autoSpaceDN/>
        <w:bidi w:val="0"/>
        <w:adjustRightInd/>
        <w:snapToGrid/>
        <w:spacing w:line="360" w:lineRule="auto"/>
        <w:ind w:left="0" w:leftChars="0" w:firstLine="482" w:firstLineChars="200"/>
        <w:textAlignment w:val="auto"/>
        <w:rPr>
          <w:rFonts w:hint="eastAsia" w:ascii="Times New Roman" w:hAnsi="Times New Roman" w:eastAsia="宋体" w:cs="宋体"/>
          <w:b/>
          <w:bCs/>
          <w:color w:val="auto"/>
          <w:sz w:val="24"/>
          <w:szCs w:val="24"/>
          <w:lang w:val="en-US" w:eastAsia="zh-CN"/>
        </w:rPr>
      </w:pPr>
    </w:p>
    <w:p>
      <w:pPr>
        <w:pageBreakBefore w:val="0"/>
        <w:widowControl w:val="0"/>
        <w:kinsoku/>
        <w:wordWrap/>
        <w:overflowPunct/>
        <w:topLinePunct w:val="0"/>
        <w:autoSpaceDE/>
        <w:autoSpaceDN/>
        <w:bidi w:val="0"/>
        <w:adjustRightInd/>
        <w:snapToGrid/>
        <w:spacing w:line="360" w:lineRule="auto"/>
        <w:ind w:left="0" w:leftChars="0" w:firstLine="482" w:firstLineChars="200"/>
        <w:textAlignment w:val="auto"/>
        <w:rPr>
          <w:rFonts w:hint="eastAsia" w:ascii="Times New Roman" w:hAnsi="Times New Roman" w:eastAsia="宋体" w:cs="宋体"/>
          <w:b/>
          <w:bCs/>
          <w:color w:val="auto"/>
          <w:sz w:val="24"/>
          <w:szCs w:val="24"/>
          <w:lang w:val="en-US" w:eastAsia="zh-CN"/>
        </w:rPr>
      </w:pPr>
    </w:p>
    <w:p>
      <w:pPr>
        <w:pageBreakBefore w:val="0"/>
        <w:widowControl w:val="0"/>
        <w:kinsoku/>
        <w:wordWrap/>
        <w:overflowPunct/>
        <w:topLinePunct w:val="0"/>
        <w:autoSpaceDE/>
        <w:autoSpaceDN/>
        <w:bidi w:val="0"/>
        <w:adjustRightInd/>
        <w:snapToGrid/>
        <w:spacing w:line="360" w:lineRule="auto"/>
        <w:ind w:left="0" w:leftChars="0" w:firstLine="482" w:firstLineChars="200"/>
        <w:textAlignment w:val="auto"/>
        <w:rPr>
          <w:rFonts w:hint="eastAsia" w:ascii="Times New Roman" w:hAnsi="Times New Roman" w:eastAsia="宋体" w:cs="宋体"/>
          <w:b/>
          <w:bCs/>
          <w:color w:val="auto"/>
          <w:sz w:val="24"/>
          <w:szCs w:val="24"/>
          <w:lang w:val="en-US" w:eastAsia="zh-CN"/>
        </w:rPr>
      </w:pPr>
    </w:p>
    <w:p>
      <w:pPr>
        <w:pageBreakBefore w:val="0"/>
        <w:widowControl w:val="0"/>
        <w:kinsoku/>
        <w:wordWrap/>
        <w:overflowPunct/>
        <w:topLinePunct w:val="0"/>
        <w:autoSpaceDE/>
        <w:autoSpaceDN/>
        <w:bidi w:val="0"/>
        <w:adjustRightInd/>
        <w:snapToGrid/>
        <w:spacing w:line="360" w:lineRule="auto"/>
        <w:ind w:left="0" w:leftChars="0" w:firstLine="482" w:firstLineChars="200"/>
        <w:textAlignment w:val="auto"/>
        <w:rPr>
          <w:rFonts w:hint="eastAsia" w:ascii="Times New Roman" w:hAnsi="Times New Roman" w:eastAsia="宋体" w:cs="宋体"/>
          <w:b/>
          <w:bCs/>
          <w:color w:val="auto"/>
          <w:sz w:val="24"/>
          <w:szCs w:val="24"/>
          <w:lang w:val="en-US" w:eastAsia="zh-CN"/>
        </w:rPr>
      </w:pPr>
    </w:p>
    <w:p>
      <w:pPr>
        <w:pageBreakBefore w:val="0"/>
        <w:widowControl w:val="0"/>
        <w:kinsoku/>
        <w:wordWrap/>
        <w:overflowPunct/>
        <w:topLinePunct w:val="0"/>
        <w:autoSpaceDE/>
        <w:autoSpaceDN/>
        <w:bidi w:val="0"/>
        <w:adjustRightInd/>
        <w:snapToGrid/>
        <w:spacing w:line="360" w:lineRule="auto"/>
        <w:ind w:left="0" w:leftChars="0" w:firstLine="482" w:firstLineChars="200"/>
        <w:textAlignment w:val="auto"/>
        <w:rPr>
          <w:rFonts w:hint="eastAsia" w:ascii="Times New Roman" w:hAnsi="Times New Roman" w:eastAsia="宋体" w:cs="宋体"/>
          <w:b/>
          <w:bCs/>
          <w:color w:val="auto"/>
          <w:sz w:val="24"/>
          <w:szCs w:val="24"/>
        </w:rPr>
      </w:pPr>
      <w:r>
        <w:rPr>
          <w:rFonts w:hint="eastAsia" w:ascii="Times New Roman" w:hAnsi="Times New Roman" w:eastAsia="宋体" w:cs="宋体"/>
          <w:b/>
          <w:bCs/>
          <w:color w:val="auto"/>
          <w:sz w:val="24"/>
          <w:szCs w:val="24"/>
          <w:lang w:val="en-US" w:eastAsia="zh-CN"/>
        </w:rPr>
        <w:t>工艺</w:t>
      </w:r>
      <w:r>
        <w:rPr>
          <w:rFonts w:hint="eastAsia" w:ascii="Times New Roman" w:hAnsi="Times New Roman" w:eastAsia="宋体" w:cs="宋体"/>
          <w:b/>
          <w:bCs/>
          <w:color w:val="auto"/>
          <w:sz w:val="24"/>
          <w:szCs w:val="24"/>
        </w:rPr>
        <w:t>简述：</w:t>
      </w:r>
    </w:p>
    <w:p>
      <w:pPr>
        <w:keepNext/>
        <w:keepLines/>
        <w:pageBreakBefore w:val="0"/>
        <w:widowControl w:val="0"/>
        <w:kinsoku/>
        <w:wordWrap/>
        <w:overflowPunct/>
        <w:topLinePunct w:val="0"/>
        <w:autoSpaceDE/>
        <w:autoSpaceDN/>
        <w:bidi w:val="0"/>
        <w:adjustRightInd/>
        <w:snapToGrid/>
        <w:spacing w:before="0" w:line="360" w:lineRule="auto"/>
        <w:ind w:left="0" w:leftChars="0" w:firstLine="480" w:firstLineChars="200"/>
        <w:textAlignment w:val="auto"/>
        <w:outlineLvl w:val="9"/>
        <w:rPr>
          <w:rFonts w:hint="eastAsia" w:ascii="Times New Roman" w:hAnsi="Times New Roman" w:eastAsia="宋体" w:cs="宋体"/>
          <w:color w:val="auto"/>
          <w:sz w:val="24"/>
          <w:szCs w:val="24"/>
        </w:rPr>
      </w:pPr>
      <w:r>
        <w:rPr>
          <w:rFonts w:hint="eastAsia" w:ascii="Times New Roman" w:hAnsi="Times New Roman" w:eastAsia="宋体" w:cs="宋体"/>
          <w:color w:val="auto"/>
          <w:sz w:val="24"/>
          <w:szCs w:val="24"/>
          <w:lang w:eastAsia="zh-CN"/>
        </w:rPr>
        <w:t>环评中服务对象为第</w:t>
      </w:r>
      <w:r>
        <w:rPr>
          <w:rFonts w:hint="eastAsia" w:ascii="宋体" w:hAnsi="宋体" w:eastAsia="宋体" w:cs="宋体"/>
          <w:color w:val="auto"/>
          <w:sz w:val="24"/>
          <w:szCs w:val="24"/>
          <w:lang w:eastAsia="zh-CN"/>
        </w:rPr>
        <w:t>Ⅱ</w:t>
      </w:r>
      <w:r>
        <w:rPr>
          <w:rFonts w:hint="eastAsia" w:ascii="Times New Roman" w:hAnsi="Times New Roman" w:eastAsia="宋体" w:cs="宋体"/>
          <w:color w:val="auto"/>
          <w:sz w:val="24"/>
          <w:szCs w:val="24"/>
          <w:lang w:eastAsia="zh-CN"/>
        </w:rPr>
        <w:t>类</w:t>
      </w:r>
      <w:r>
        <w:rPr>
          <w:rFonts w:hint="eastAsia" w:ascii="Times New Roman" w:hAnsi="Times New Roman" w:eastAsia="宋体" w:cs="宋体"/>
          <w:color w:val="auto"/>
          <w:sz w:val="24"/>
          <w:szCs w:val="24"/>
        </w:rPr>
        <w:t>一般工业固废</w:t>
      </w:r>
      <w:r>
        <w:rPr>
          <w:rFonts w:hint="eastAsia" w:ascii="Times New Roman" w:hAnsi="Times New Roman" w:eastAsia="宋体" w:cs="宋体"/>
          <w:color w:val="auto"/>
          <w:sz w:val="24"/>
          <w:szCs w:val="24"/>
          <w:lang w:eastAsia="zh-CN"/>
        </w:rPr>
        <w:t>，运营中服务对象为</w:t>
      </w:r>
      <w:r>
        <w:rPr>
          <w:rFonts w:hint="eastAsia" w:ascii="宋体" w:hAnsi="宋体" w:eastAsia="宋体" w:cs="宋体"/>
          <w:color w:val="auto"/>
          <w:sz w:val="24"/>
          <w:szCs w:val="24"/>
          <w:lang w:eastAsia="zh-CN"/>
        </w:rPr>
        <w:t>一般工业</w:t>
      </w:r>
      <w:r>
        <w:rPr>
          <w:rFonts w:hint="eastAsia" w:ascii="Times New Roman" w:hAnsi="Times New Roman" w:eastAsia="宋体" w:cs="宋体"/>
          <w:color w:val="auto"/>
          <w:sz w:val="24"/>
          <w:lang w:eastAsia="zh-CN"/>
        </w:rPr>
        <w:t>固体废物轻度污染土壤，</w:t>
      </w:r>
      <w:r>
        <w:rPr>
          <w:rFonts w:hint="eastAsia" w:ascii="Times New Roman" w:hAnsi="Times New Roman" w:eastAsia="宋体" w:cs="宋体"/>
          <w:color w:val="auto"/>
          <w:sz w:val="24"/>
          <w:szCs w:val="24"/>
        </w:rPr>
        <w:t>由转运车经电子计量称重后进入填埋场中，根据一般固废的种类进入不同的填埋区域，各种类工业固废应尽可能的分区填埋，各填埋区填埋作业采用斜坡作业法。具体操作程序为：由推土机将进场固废均匀摊平在适当面积上，每层40～60cm厚。填埋物由压实机或推土机碾压2～3次，多次循环操作。厚度达2.5m时，覆盖0.3m 厚的土层。为了改善景观，减少气味和碎片飞扬，抑制污染物的的扩散，若填埋厚度未达到覆土的高度，可利用塑料布临时覆盖，填平一区，再开上坡位，移土作为覆盖土，多梯作业，直至设计高度为止。</w:t>
      </w:r>
    </w:p>
    <w:p>
      <w:pPr>
        <w:pStyle w:val="2"/>
        <w:pageBreakBefore w:val="0"/>
        <w:widowControl w:val="0"/>
        <w:kinsoku/>
        <w:wordWrap/>
        <w:overflowPunct/>
        <w:topLinePunct w:val="0"/>
        <w:autoSpaceDE/>
        <w:autoSpaceDN/>
        <w:bidi w:val="0"/>
        <w:adjustRightInd/>
        <w:snapToGrid/>
        <w:spacing w:after="0" w:line="360" w:lineRule="auto"/>
        <w:ind w:left="0" w:leftChars="0"/>
        <w:textAlignment w:val="auto"/>
        <w:rPr>
          <w:rFonts w:hint="eastAsia" w:ascii="Times New Roman" w:hAnsi="Times New Roman"/>
          <w:color w:val="auto"/>
          <w:sz w:val="24"/>
          <w:szCs w:val="24"/>
        </w:rPr>
      </w:pPr>
      <w:r>
        <w:rPr>
          <w:rFonts w:hint="eastAsia" w:ascii="Times New Roman" w:hAnsi="Times New Roman"/>
          <w:color w:val="auto"/>
          <w:sz w:val="24"/>
          <w:szCs w:val="24"/>
        </w:rPr>
        <w:t>在填埋过程中，通过渗滤液收集系统，将</w:t>
      </w:r>
      <w:r>
        <w:rPr>
          <w:rFonts w:hint="eastAsia" w:ascii="Times New Roman" w:hAnsi="Times New Roman"/>
          <w:color w:val="auto"/>
          <w:sz w:val="24"/>
          <w:szCs w:val="24"/>
          <w:lang w:eastAsia="zh-CN"/>
        </w:rPr>
        <w:t>填埋区域</w:t>
      </w:r>
      <w:r>
        <w:rPr>
          <w:rFonts w:hint="eastAsia" w:ascii="Times New Roman" w:hAnsi="Times New Roman"/>
          <w:color w:val="auto"/>
          <w:sz w:val="24"/>
          <w:szCs w:val="24"/>
        </w:rPr>
        <w:t>的渗滤液收集至</w:t>
      </w:r>
      <w:r>
        <w:rPr>
          <w:rFonts w:hint="eastAsia" w:ascii="Times New Roman" w:hAnsi="Times New Roman"/>
          <w:color w:val="auto"/>
          <w:sz w:val="24"/>
          <w:szCs w:val="24"/>
          <w:lang w:eastAsia="zh-CN"/>
        </w:rPr>
        <w:t>集水井</w:t>
      </w:r>
      <w:r>
        <w:rPr>
          <w:rFonts w:hint="eastAsia" w:ascii="Times New Roman" w:hAnsi="Times New Roman"/>
          <w:color w:val="auto"/>
          <w:sz w:val="24"/>
          <w:szCs w:val="24"/>
        </w:rPr>
        <w:t>，收集后</w:t>
      </w:r>
      <w:r>
        <w:rPr>
          <w:rFonts w:hint="eastAsia" w:ascii="Times New Roman" w:hAnsi="Times New Roman"/>
          <w:color w:val="auto"/>
          <w:sz w:val="24"/>
          <w:szCs w:val="24"/>
          <w:lang w:eastAsia="zh-CN"/>
        </w:rPr>
        <w:t>泵</w:t>
      </w:r>
      <w:r>
        <w:rPr>
          <w:rFonts w:hint="eastAsia" w:ascii="Times New Roman" w:hAnsi="Times New Roman"/>
          <w:color w:val="auto"/>
          <w:sz w:val="24"/>
          <w:szCs w:val="24"/>
        </w:rPr>
        <w:t>送入厂区</w:t>
      </w:r>
      <w:r>
        <w:rPr>
          <w:rFonts w:hint="eastAsia" w:ascii="Times New Roman" w:hAnsi="Times New Roman"/>
          <w:color w:val="auto"/>
          <w:sz w:val="24"/>
          <w:szCs w:val="24"/>
          <w:lang w:eastAsia="zh-CN"/>
        </w:rPr>
        <w:t>南</w:t>
      </w:r>
      <w:r>
        <w:rPr>
          <w:rFonts w:hint="eastAsia" w:ascii="Times New Roman" w:hAnsi="Times New Roman"/>
          <w:color w:val="auto"/>
          <w:sz w:val="24"/>
          <w:szCs w:val="24"/>
        </w:rPr>
        <w:t>侧的灵璧县生活垃圾填埋场处理。</w:t>
      </w:r>
    </w:p>
    <w:p>
      <w:pPr>
        <w:pStyle w:val="6"/>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color w:val="auto"/>
        </w:rPr>
      </w:pPr>
      <w:bookmarkStart w:id="20" w:name="_Toc7621"/>
      <w:r>
        <w:rPr>
          <w:rFonts w:hint="eastAsia" w:ascii="Times New Roman" w:hAnsi="Times New Roman"/>
          <w:color w:val="auto"/>
        </w:rPr>
        <w:t>3.</w:t>
      </w:r>
      <w:r>
        <w:rPr>
          <w:rFonts w:hint="eastAsia" w:ascii="Times New Roman" w:hAnsi="Times New Roman"/>
          <w:color w:val="auto"/>
          <w:lang w:val="en-US" w:eastAsia="zh-CN"/>
        </w:rPr>
        <w:t>6</w:t>
      </w:r>
      <w:r>
        <w:rPr>
          <w:rFonts w:hint="eastAsia" w:ascii="Times New Roman" w:hAnsi="Times New Roman"/>
          <w:color w:val="auto"/>
        </w:rPr>
        <w:t>项目变动情况</w:t>
      </w:r>
      <w:bookmarkEnd w:id="20"/>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eastAsiaTheme="minorEastAsia" w:cstheme="minorBidi"/>
          <w:color w:val="auto"/>
          <w:kern w:val="2"/>
          <w:sz w:val="24"/>
          <w:szCs w:val="24"/>
          <w:lang w:val="en-US" w:eastAsia="zh-CN" w:bidi="ar-SA"/>
        </w:rPr>
      </w:pPr>
      <w:r>
        <w:rPr>
          <w:rFonts w:hint="eastAsia" w:ascii="Times New Roman" w:hAnsi="Times New Roman" w:eastAsiaTheme="minorEastAsia" w:cstheme="minorBidi"/>
          <w:color w:val="auto"/>
          <w:kern w:val="2"/>
          <w:sz w:val="24"/>
          <w:szCs w:val="24"/>
          <w:lang w:val="en-US" w:eastAsia="zh-CN" w:bidi="ar-SA"/>
        </w:rPr>
        <w:t>根据实际现场勘查，对照环评情况与实际情况，有</w:t>
      </w:r>
      <w:r>
        <w:rPr>
          <w:rFonts w:hint="eastAsia" w:eastAsiaTheme="minorEastAsia" w:cstheme="minorBidi"/>
          <w:color w:val="auto"/>
          <w:kern w:val="2"/>
          <w:sz w:val="24"/>
          <w:szCs w:val="24"/>
          <w:lang w:val="en-US" w:eastAsia="zh-CN" w:bidi="ar-SA"/>
        </w:rPr>
        <w:t>三</w:t>
      </w:r>
      <w:r>
        <w:rPr>
          <w:rFonts w:hint="eastAsia" w:ascii="Times New Roman" w:hAnsi="Times New Roman" w:eastAsiaTheme="minorEastAsia" w:cstheme="minorBidi"/>
          <w:color w:val="auto"/>
          <w:kern w:val="2"/>
          <w:sz w:val="24"/>
          <w:szCs w:val="24"/>
          <w:lang w:val="en-US" w:eastAsia="zh-CN" w:bidi="ar-SA"/>
        </w:rPr>
        <w:t>点不同。</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eastAsiaTheme="minorEastAsia" w:cstheme="minorBidi"/>
          <w:color w:val="auto"/>
          <w:kern w:val="2"/>
          <w:sz w:val="24"/>
          <w:szCs w:val="24"/>
          <w:lang w:val="en-US" w:eastAsia="zh-CN" w:bidi="ar-SA"/>
        </w:rPr>
      </w:pPr>
      <w:r>
        <w:rPr>
          <w:rFonts w:hint="eastAsia" w:eastAsiaTheme="minorEastAsia" w:cstheme="minorBidi"/>
          <w:color w:val="auto"/>
          <w:kern w:val="2"/>
          <w:sz w:val="24"/>
          <w:szCs w:val="24"/>
          <w:lang w:val="en-US" w:eastAsia="zh-CN" w:bidi="ar-SA"/>
        </w:rPr>
        <w:t>（1）</w:t>
      </w:r>
      <w:r>
        <w:rPr>
          <w:rFonts w:hint="eastAsia" w:ascii="Times New Roman" w:hAnsi="Times New Roman" w:eastAsiaTheme="minorEastAsia" w:cstheme="minorBidi"/>
          <w:color w:val="auto"/>
          <w:kern w:val="2"/>
          <w:sz w:val="24"/>
          <w:szCs w:val="24"/>
          <w:lang w:val="en-US" w:eastAsia="zh-CN" w:bidi="ar-SA"/>
        </w:rPr>
        <w:t>环评中要求填埋区设置6座集水井，每座集水井收集一条排水管线的渗滤液，实际运行中，采用集中收集的方式，渗滤液收集采用场底导渗盲沟的方式，填埋区场底渗滤液导排系统由场底导流层、导排盲沟、集水井组成。在对场底进行平整后敷设500mm厚的碎石导流层，在导流层内构建纵横交错的主盲沟和次盲沟。主盲沟沿基底构建的主脊线布置，以2%的坡度倾向渗滤液竖井，盲沟内安装DN400 HDPE 穿孔管；次盲沟沿主盲沟两侧布置，与主盲沟交错形成鱼鳞状导排体系，盲沟内安装DN200 HDPE 穿孔管，渗滤液收集管线最终汇入1座集水井，用泵抽入垃圾填埋场污水处理站处理，1座集水井满足渗滤液收集要求。</w:t>
      </w:r>
    </w:p>
    <w:p>
      <w:pPr>
        <w:spacing w:line="360" w:lineRule="auto"/>
        <w:ind w:firstLine="480" w:firstLineChars="200"/>
        <w:jc w:val="left"/>
        <w:rPr>
          <w:rFonts w:hint="eastAsia" w:ascii="Times New Roman" w:hAnsi="Times New Roman" w:eastAsiaTheme="minorEastAsia" w:cstheme="minorBidi"/>
          <w:color w:val="auto"/>
          <w:kern w:val="2"/>
          <w:sz w:val="24"/>
          <w:szCs w:val="24"/>
          <w:lang w:val="en-US" w:eastAsia="zh-CN" w:bidi="ar-SA"/>
        </w:rPr>
      </w:pPr>
      <w:r>
        <w:rPr>
          <w:rFonts w:hint="eastAsia" w:ascii="Times New Roman" w:hAnsi="Times New Roman" w:eastAsiaTheme="minorEastAsia" w:cstheme="minorBidi"/>
          <w:color w:val="auto"/>
          <w:kern w:val="2"/>
          <w:sz w:val="24"/>
          <w:szCs w:val="24"/>
          <w:lang w:val="en-US" w:eastAsia="zh-CN" w:bidi="ar-SA"/>
        </w:rPr>
        <w:t>（2）环评中要求设置自动喷淋设施，实际运行中，填埋的对象主要为轻度污染土壤，土壤的含湿量较高，通过定期洒水车洒水抑尘，对周边环境产生的污染环境较小。</w:t>
      </w:r>
    </w:p>
    <w:p>
      <w:pPr>
        <w:spacing w:line="360" w:lineRule="auto"/>
        <w:ind w:firstLine="480" w:firstLineChars="200"/>
        <w:jc w:val="left"/>
        <w:rPr>
          <w:rFonts w:hint="eastAsia" w:ascii="Times New Roman" w:hAnsi="Times New Roman" w:eastAsiaTheme="minorEastAsia" w:cstheme="minorBidi"/>
          <w:color w:val="auto"/>
          <w:kern w:val="2"/>
          <w:sz w:val="24"/>
          <w:szCs w:val="24"/>
          <w:lang w:val="en-US" w:eastAsia="zh-CN" w:bidi="ar-SA"/>
        </w:rPr>
      </w:pPr>
      <w:r>
        <w:rPr>
          <w:rFonts w:hint="eastAsia" w:ascii="Times New Roman" w:hAnsi="Times New Roman" w:eastAsiaTheme="minorEastAsia" w:cstheme="minorBidi"/>
          <w:color w:val="auto"/>
          <w:kern w:val="2"/>
          <w:sz w:val="24"/>
          <w:szCs w:val="24"/>
          <w:lang w:val="en-US" w:eastAsia="zh-CN" w:bidi="ar-SA"/>
        </w:rPr>
        <w:t>（3）环评中管理区生活污水用于周边绿化，不外排，实际运营中不设管理区，无生活污水。</w:t>
      </w:r>
    </w:p>
    <w:p>
      <w:pPr>
        <w:spacing w:line="360" w:lineRule="auto"/>
        <w:ind w:firstLine="480" w:firstLineChars="200"/>
        <w:jc w:val="left"/>
        <w:rPr>
          <w:rFonts w:hint="eastAsia" w:ascii="Times New Roman" w:hAnsi="Times New Roman" w:eastAsiaTheme="minorEastAsia" w:cstheme="minorBidi"/>
          <w:color w:val="auto"/>
          <w:kern w:val="2"/>
          <w:sz w:val="24"/>
          <w:szCs w:val="24"/>
          <w:lang w:val="en-US" w:eastAsia="zh-CN" w:bidi="ar-SA"/>
        </w:rPr>
      </w:pPr>
      <w:r>
        <w:rPr>
          <w:rFonts w:hint="eastAsia" w:ascii="Times New Roman" w:hAnsi="Times New Roman" w:eastAsiaTheme="minorEastAsia" w:cstheme="minorBidi"/>
          <w:color w:val="auto"/>
          <w:kern w:val="2"/>
          <w:sz w:val="24"/>
          <w:szCs w:val="24"/>
          <w:lang w:val="en-US" w:eastAsia="zh-CN" w:bidi="ar-SA"/>
        </w:rPr>
        <w:t>对照项目建设性质、规模、选址、工艺、环保设施，本项目环评与实际均大体一致，无重大变动，且对照项目环境影响报告书及审批部门意见等要求，本项目工程内容与环评及批复要求基本一致，</w:t>
      </w:r>
      <w:r>
        <w:rPr>
          <w:rFonts w:hint="eastAsia"/>
          <w:color w:val="auto"/>
          <w:sz w:val="24"/>
          <w:lang w:eastAsia="zh-CN"/>
        </w:rPr>
        <w:t>且</w:t>
      </w:r>
      <w:r>
        <w:rPr>
          <w:rFonts w:hint="eastAsia" w:ascii="Times New Roman" w:hAnsi="Times New Roman" w:eastAsiaTheme="minorEastAsia" w:cstheme="minorBidi"/>
          <w:color w:val="auto"/>
          <w:kern w:val="2"/>
          <w:sz w:val="24"/>
          <w:szCs w:val="24"/>
          <w:lang w:val="en-US" w:eastAsia="zh-CN" w:bidi="ar-SA"/>
        </w:rPr>
        <w:t>对照生态环境部环办环评函【2020】688号《关于印发〈污染影响类建设项目重大变动清单（试行）〉的通知》，上述变动不属于重大变动。</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eastAsiaTheme="minorEastAsia" w:cstheme="minorBidi"/>
          <w:color w:val="auto"/>
          <w:kern w:val="2"/>
          <w:sz w:val="24"/>
          <w:szCs w:val="24"/>
          <w:lang w:val="en-US" w:eastAsia="zh-CN" w:bidi="ar-SA"/>
        </w:rPr>
      </w:pPr>
    </w:p>
    <w:bookmarkEnd w:id="15"/>
    <w:p>
      <w:pPr>
        <w:pStyle w:val="5"/>
        <w:pageBreakBefore w:val="0"/>
        <w:widowControl w:val="0"/>
        <w:kinsoku/>
        <w:wordWrap/>
        <w:overflowPunct/>
        <w:topLinePunct w:val="0"/>
        <w:autoSpaceDE/>
        <w:autoSpaceDN/>
        <w:bidi w:val="0"/>
        <w:adjustRightInd/>
        <w:snapToGrid/>
        <w:spacing w:beforeLines="0" w:afterLines="0" w:line="360" w:lineRule="auto"/>
        <w:jc w:val="center"/>
        <w:textAlignment w:val="auto"/>
        <w:rPr>
          <w:rFonts w:hint="eastAsia" w:ascii="Times New Roman" w:hAnsi="Times New Roman" w:eastAsiaTheme="minorEastAsia" w:cstheme="minorBidi"/>
          <w:color w:val="auto"/>
          <w:kern w:val="2"/>
          <w:sz w:val="24"/>
          <w:szCs w:val="24"/>
          <w:lang w:val="en-US" w:eastAsia="zh-CN" w:bidi="ar-SA"/>
        </w:rPr>
        <w:sectPr>
          <w:pgSz w:w="11906" w:h="16838"/>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bookmarkStart w:id="21" w:name="_Toc507454869"/>
    </w:p>
    <w:p>
      <w:pPr>
        <w:pStyle w:val="5"/>
        <w:pageBreakBefore w:val="0"/>
        <w:widowControl w:val="0"/>
        <w:kinsoku/>
        <w:wordWrap/>
        <w:overflowPunct/>
        <w:topLinePunct w:val="0"/>
        <w:autoSpaceDE/>
        <w:autoSpaceDN/>
        <w:bidi w:val="0"/>
        <w:adjustRightInd/>
        <w:snapToGrid/>
        <w:spacing w:beforeLines="0" w:afterLines="0" w:line="360" w:lineRule="auto"/>
        <w:jc w:val="center"/>
        <w:textAlignment w:val="auto"/>
        <w:rPr>
          <w:rFonts w:ascii="Times New Roman" w:hAnsi="Times New Roman"/>
          <w:color w:val="auto"/>
        </w:rPr>
      </w:pPr>
      <w:bookmarkStart w:id="22" w:name="_Toc14770"/>
      <w:r>
        <w:rPr>
          <w:rFonts w:ascii="Times New Roman" w:hAnsi="Times New Roman"/>
          <w:color w:val="auto"/>
        </w:rPr>
        <w:t>四、环境保护设施</w:t>
      </w:r>
      <w:bookmarkEnd w:id="21"/>
      <w:bookmarkEnd w:id="22"/>
    </w:p>
    <w:p>
      <w:pPr>
        <w:pStyle w:val="6"/>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eastAsiaTheme="majorEastAsia"/>
          <w:color w:val="auto"/>
          <w:lang w:val="en-US" w:eastAsia="zh-CN"/>
        </w:rPr>
      </w:pPr>
      <w:bookmarkStart w:id="23" w:name="_Toc13178"/>
      <w:bookmarkStart w:id="24" w:name="_Toc507454870"/>
      <w:r>
        <w:rPr>
          <w:rFonts w:hint="eastAsia" w:ascii="Times New Roman" w:hAnsi="Times New Roman"/>
          <w:color w:val="auto"/>
          <w:lang w:val="en-US" w:eastAsia="zh-CN"/>
        </w:rPr>
        <w:t>4.1施工期污染物治理/处置设施</w:t>
      </w:r>
      <w:bookmarkEnd w:id="23"/>
    </w:p>
    <w:p>
      <w:pPr>
        <w:pStyle w:val="7"/>
        <w:pageBreakBefore w:val="0"/>
        <w:widowControl w:val="0"/>
        <w:kinsoku/>
        <w:wordWrap/>
        <w:overflowPunct/>
        <w:topLinePunct w:val="0"/>
        <w:autoSpaceDE/>
        <w:autoSpaceDN/>
        <w:bidi w:val="0"/>
        <w:adjustRightInd/>
        <w:snapToGrid/>
        <w:spacing w:line="360" w:lineRule="auto"/>
        <w:textAlignment w:val="auto"/>
        <w:rPr>
          <w:rFonts w:ascii="Times New Roman" w:hAnsi="Times New Roman"/>
          <w:color w:val="auto"/>
        </w:rPr>
      </w:pPr>
      <w:bookmarkStart w:id="25" w:name="_Toc7526"/>
      <w:r>
        <w:rPr>
          <w:rFonts w:ascii="Times New Roman" w:hAnsi="Times New Roman"/>
          <w:color w:val="auto"/>
        </w:rPr>
        <w:t>4.1.1废水</w:t>
      </w:r>
      <w:bookmarkEnd w:id="25"/>
    </w:p>
    <w:p>
      <w:pPr>
        <w:keepNext/>
        <w:keepLines/>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Times New Roman" w:hAnsi="Times New Roman" w:eastAsiaTheme="minorEastAsia"/>
          <w:color w:val="auto"/>
          <w:sz w:val="24"/>
          <w:szCs w:val="24"/>
          <w:lang w:eastAsia="zh-CN"/>
        </w:rPr>
      </w:pPr>
      <w:r>
        <w:rPr>
          <w:rFonts w:hint="eastAsia" w:ascii="Times New Roman" w:hAnsi="Times New Roman"/>
          <w:color w:val="auto"/>
          <w:sz w:val="24"/>
          <w:szCs w:val="24"/>
        </w:rPr>
        <w:t>本项目</w:t>
      </w:r>
      <w:r>
        <w:rPr>
          <w:rFonts w:hint="eastAsia" w:ascii="Times New Roman" w:hAnsi="Times New Roman"/>
          <w:color w:val="auto"/>
          <w:sz w:val="24"/>
          <w:szCs w:val="24"/>
          <w:lang w:eastAsia="zh-CN"/>
        </w:rPr>
        <w:t>施工期工人暂住在周边村庄，无施工废水产生。</w:t>
      </w:r>
    </w:p>
    <w:p>
      <w:pPr>
        <w:pStyle w:val="7"/>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color w:val="auto"/>
          <w:lang w:eastAsia="zh-CN"/>
        </w:rPr>
      </w:pPr>
      <w:bookmarkStart w:id="26" w:name="_Toc23051"/>
      <w:r>
        <w:rPr>
          <w:rFonts w:ascii="Times New Roman" w:hAnsi="Times New Roman"/>
          <w:color w:val="auto"/>
        </w:rPr>
        <w:t>4.1.</w:t>
      </w:r>
      <w:r>
        <w:rPr>
          <w:rFonts w:hint="eastAsia" w:ascii="Times New Roman" w:hAnsi="Times New Roman"/>
          <w:color w:val="auto"/>
          <w:lang w:val="en-US" w:eastAsia="zh-CN"/>
        </w:rPr>
        <w:t>2</w:t>
      </w:r>
      <w:r>
        <w:rPr>
          <w:rFonts w:ascii="Times New Roman" w:hAnsi="Times New Roman"/>
          <w:color w:val="auto"/>
        </w:rPr>
        <w:t>废</w:t>
      </w:r>
      <w:r>
        <w:rPr>
          <w:rFonts w:hint="eastAsia" w:ascii="Times New Roman" w:hAnsi="Times New Roman"/>
          <w:color w:val="auto"/>
          <w:lang w:eastAsia="zh-CN"/>
        </w:rPr>
        <w:t>气</w:t>
      </w:r>
      <w:bookmarkEnd w:id="26"/>
    </w:p>
    <w:p>
      <w:pPr>
        <w:keepNext/>
        <w:keepLines/>
        <w:pageBreakBefore w:val="0"/>
        <w:widowControl w:val="0"/>
        <w:kinsoku/>
        <w:wordWrap/>
        <w:overflowPunct/>
        <w:topLinePunct w:val="0"/>
        <w:autoSpaceDE/>
        <w:autoSpaceDN/>
        <w:bidi w:val="0"/>
        <w:adjustRightInd/>
        <w:snapToGrid/>
        <w:spacing w:before="0" w:after="0" w:line="360" w:lineRule="auto"/>
        <w:ind w:firstLine="480" w:firstLineChars="200"/>
        <w:textAlignment w:val="auto"/>
        <w:outlineLvl w:val="9"/>
        <w:rPr>
          <w:rFonts w:hint="eastAsia" w:ascii="Times New Roman" w:hAnsi="Times New Roman" w:eastAsiaTheme="minorEastAsia"/>
          <w:color w:val="auto"/>
          <w:sz w:val="24"/>
          <w:szCs w:val="24"/>
          <w:lang w:eastAsia="zh-CN"/>
        </w:rPr>
      </w:pPr>
      <w:r>
        <w:rPr>
          <w:rFonts w:hint="eastAsia" w:ascii="Times New Roman" w:hAnsi="Times New Roman"/>
          <w:color w:val="auto"/>
          <w:sz w:val="24"/>
          <w:szCs w:val="24"/>
          <w:lang w:eastAsia="zh-CN"/>
        </w:rPr>
        <w:t>施工期的废气主要是施工扬尘。</w:t>
      </w:r>
      <w:r>
        <w:rPr>
          <w:rFonts w:hint="eastAsia" w:ascii="Times New Roman" w:hAnsi="Times New Roman"/>
          <w:color w:val="auto"/>
          <w:sz w:val="24"/>
          <w:szCs w:val="24"/>
        </w:rPr>
        <w:t>施工现场采取硬化措施，其中主要道路、料场、进行硬化处理，土方集中堆放。裸露的场地和集中堆放的土方采取覆盖措施；使用密目式安全网对在建建筑物、构筑物进行密封，防止施工过程扬尘；从事土方、渣土和施工垃圾运输采用密闭式运输车辆或采取覆盖措施；施工现场根据风力和大气湿度的具体情况，进行土方回填、转运作业；施工现场垃圾的清运，采用专用封闭式容器传送，严禁凌空抛洒</w:t>
      </w:r>
      <w:r>
        <w:rPr>
          <w:rFonts w:hint="eastAsia" w:ascii="Times New Roman" w:hAnsi="Times New Roman"/>
          <w:color w:val="auto"/>
          <w:sz w:val="24"/>
          <w:szCs w:val="24"/>
          <w:lang w:eastAsia="zh-CN"/>
        </w:rPr>
        <w:t>。</w:t>
      </w:r>
    </w:p>
    <w:p>
      <w:pPr>
        <w:pStyle w:val="7"/>
        <w:pageBreakBefore w:val="0"/>
        <w:widowControl w:val="0"/>
        <w:kinsoku/>
        <w:wordWrap/>
        <w:overflowPunct/>
        <w:topLinePunct w:val="0"/>
        <w:autoSpaceDE/>
        <w:autoSpaceDN/>
        <w:bidi w:val="0"/>
        <w:adjustRightInd/>
        <w:snapToGrid/>
        <w:spacing w:line="360" w:lineRule="auto"/>
        <w:ind w:left="0" w:leftChars="0"/>
        <w:textAlignment w:val="auto"/>
        <w:rPr>
          <w:rFonts w:hint="eastAsia" w:ascii="Times New Roman" w:hAnsi="Times New Roman" w:eastAsia="宋体"/>
          <w:color w:val="auto"/>
          <w:lang w:eastAsia="zh-CN"/>
        </w:rPr>
      </w:pPr>
      <w:bookmarkStart w:id="27" w:name="_Toc29776"/>
      <w:r>
        <w:rPr>
          <w:rFonts w:ascii="Times New Roman" w:hAnsi="Times New Roman"/>
          <w:color w:val="auto"/>
        </w:rPr>
        <w:t>4.1.</w:t>
      </w:r>
      <w:r>
        <w:rPr>
          <w:rFonts w:hint="eastAsia" w:ascii="Times New Roman" w:hAnsi="Times New Roman"/>
          <w:color w:val="auto"/>
          <w:lang w:val="en-US" w:eastAsia="zh-CN"/>
        </w:rPr>
        <w:t>3</w:t>
      </w:r>
      <w:r>
        <w:rPr>
          <w:rFonts w:hint="eastAsia" w:ascii="Times New Roman" w:hAnsi="Times New Roman"/>
          <w:color w:val="auto"/>
          <w:lang w:eastAsia="zh-CN"/>
        </w:rPr>
        <w:t>噪声</w:t>
      </w:r>
      <w:bookmarkEnd w:id="27"/>
    </w:p>
    <w:p>
      <w:pPr>
        <w:keepNext/>
        <w:keepLines/>
        <w:pageBreakBefore w:val="0"/>
        <w:widowControl w:val="0"/>
        <w:kinsoku/>
        <w:wordWrap/>
        <w:overflowPunct/>
        <w:topLinePunct w:val="0"/>
        <w:autoSpaceDE/>
        <w:autoSpaceDN/>
        <w:bidi w:val="0"/>
        <w:adjustRightInd/>
        <w:snapToGrid/>
        <w:spacing w:before="0" w:line="360" w:lineRule="auto"/>
        <w:ind w:left="0" w:leftChars="0" w:firstLine="480" w:firstLineChars="200"/>
        <w:textAlignment w:val="auto"/>
        <w:outlineLvl w:val="9"/>
        <w:rPr>
          <w:rFonts w:hint="eastAsia" w:ascii="Times New Roman" w:hAnsi="Times New Roman" w:eastAsia="宋体" w:cs="宋体"/>
          <w:color w:val="auto"/>
          <w:kern w:val="28"/>
          <w:sz w:val="24"/>
          <w:szCs w:val="24"/>
        </w:rPr>
      </w:pPr>
      <w:r>
        <w:rPr>
          <w:rFonts w:hint="eastAsia" w:ascii="Times New Roman" w:hAnsi="Times New Roman" w:eastAsia="宋体" w:cs="宋体"/>
          <w:color w:val="auto"/>
          <w:kern w:val="28"/>
          <w:sz w:val="24"/>
          <w:szCs w:val="24"/>
        </w:rPr>
        <w:t>施工噪声主要为机械噪声、施工作业噪声和施工车辆噪声。本项目填埋场区使用的施工机械主要有</w:t>
      </w:r>
      <w:r>
        <w:rPr>
          <w:rFonts w:hint="eastAsia" w:ascii="Times New Roman" w:hAnsi="Times New Roman" w:eastAsia="宋体" w:cs="宋体"/>
          <w:color w:val="auto"/>
          <w:kern w:val="28"/>
          <w:sz w:val="24"/>
          <w:szCs w:val="24"/>
          <w:lang w:eastAsia="zh-CN"/>
        </w:rPr>
        <w:t>推</w:t>
      </w:r>
      <w:r>
        <w:rPr>
          <w:rFonts w:hint="eastAsia" w:ascii="Times New Roman" w:hAnsi="Times New Roman" w:eastAsia="宋体" w:cs="宋体"/>
          <w:color w:val="auto"/>
          <w:kern w:val="28"/>
          <w:sz w:val="24"/>
          <w:szCs w:val="24"/>
        </w:rPr>
        <w:t>土机、</w:t>
      </w:r>
      <w:r>
        <w:rPr>
          <w:rFonts w:hint="eastAsia" w:ascii="Times New Roman" w:hAnsi="Times New Roman" w:eastAsia="宋体" w:cs="宋体"/>
          <w:color w:val="auto"/>
          <w:kern w:val="28"/>
          <w:sz w:val="24"/>
          <w:szCs w:val="24"/>
          <w:lang w:eastAsia="zh-CN"/>
        </w:rPr>
        <w:t>挖掘机、装载机、</w:t>
      </w:r>
      <w:r>
        <w:rPr>
          <w:rFonts w:hint="eastAsia" w:ascii="Times New Roman" w:hAnsi="Times New Roman" w:eastAsia="宋体" w:cs="宋体"/>
          <w:color w:val="auto"/>
          <w:kern w:val="28"/>
          <w:sz w:val="24"/>
          <w:szCs w:val="24"/>
        </w:rPr>
        <w:t>升降机等，多为点声源；施工作业噪声主要指一些零星的敲打声、装卸车辆的撞击声、吆喝声、拆卸模板的撞击声等，多为瞬时噪声；施工车辆的噪声属于交通噪声。</w:t>
      </w:r>
    </w:p>
    <w:p>
      <w:pPr>
        <w:spacing w:line="480" w:lineRule="exact"/>
        <w:ind w:firstLine="480" w:firstLineChars="200"/>
        <w:rPr>
          <w:rFonts w:hint="eastAsia" w:ascii="Times New Roman" w:hAnsi="Times New Roman" w:eastAsia="宋体" w:cs="宋体"/>
          <w:color w:val="auto"/>
          <w:sz w:val="24"/>
        </w:rPr>
      </w:pPr>
      <w:r>
        <w:rPr>
          <w:rFonts w:hint="eastAsia" w:ascii="Times New Roman" w:hAnsi="Times New Roman" w:eastAsia="宋体" w:cs="宋体"/>
          <w:color w:val="auto"/>
          <w:sz w:val="24"/>
        </w:rPr>
        <w:t>针对施工机械噪声，通过规范施工、合理安排工序、夜间严禁使用高噪器械，以实现达标。针对施工运输车辆噪声，通过加强管理以降低噪声污染。项目施工方尽量避免夜间施工，若工艺要求夜间必须进行连续作业的强噪声施工，应征得当地</w:t>
      </w:r>
      <w:r>
        <w:rPr>
          <w:rFonts w:hint="eastAsia" w:ascii="Times New Roman" w:hAnsi="Times New Roman" w:eastAsia="宋体" w:cs="宋体"/>
          <w:color w:val="auto"/>
          <w:sz w:val="24"/>
          <w:lang w:eastAsia="zh-CN"/>
        </w:rPr>
        <w:t>生态环境</w:t>
      </w:r>
      <w:r>
        <w:rPr>
          <w:rFonts w:hint="eastAsia" w:ascii="Times New Roman" w:hAnsi="Times New Roman" w:eastAsia="宋体" w:cs="宋体"/>
          <w:color w:val="auto"/>
          <w:sz w:val="24"/>
        </w:rPr>
        <w:t>局、建委、城管等主管部门的同意，在取得夜间施工许可手，同时应及时向附近居民公告。</w:t>
      </w:r>
    </w:p>
    <w:p>
      <w:pPr>
        <w:pStyle w:val="7"/>
        <w:pageBreakBefore w:val="0"/>
        <w:widowControl w:val="0"/>
        <w:kinsoku/>
        <w:wordWrap/>
        <w:overflowPunct/>
        <w:topLinePunct w:val="0"/>
        <w:autoSpaceDE/>
        <w:autoSpaceDN/>
        <w:bidi w:val="0"/>
        <w:adjustRightInd/>
        <w:snapToGrid/>
        <w:spacing w:line="360" w:lineRule="auto"/>
        <w:ind w:left="0" w:leftChars="0"/>
        <w:textAlignment w:val="auto"/>
        <w:rPr>
          <w:rFonts w:hint="eastAsia" w:ascii="Times New Roman" w:hAnsi="Times New Roman" w:eastAsia="宋体"/>
          <w:color w:val="auto"/>
          <w:lang w:eastAsia="zh-CN"/>
        </w:rPr>
      </w:pPr>
      <w:bookmarkStart w:id="28" w:name="_Toc13972"/>
      <w:r>
        <w:rPr>
          <w:rFonts w:ascii="Times New Roman" w:hAnsi="Times New Roman"/>
          <w:color w:val="auto"/>
        </w:rPr>
        <w:t>4.1.</w:t>
      </w:r>
      <w:r>
        <w:rPr>
          <w:rFonts w:hint="eastAsia" w:ascii="Times New Roman" w:hAnsi="Times New Roman"/>
          <w:color w:val="auto"/>
          <w:lang w:val="en-US" w:eastAsia="zh-CN"/>
        </w:rPr>
        <w:t>4</w:t>
      </w:r>
      <w:r>
        <w:rPr>
          <w:rFonts w:hint="eastAsia" w:ascii="Times New Roman" w:hAnsi="Times New Roman"/>
          <w:color w:val="auto"/>
          <w:lang w:eastAsia="zh-CN"/>
        </w:rPr>
        <w:t>固体废物</w:t>
      </w:r>
      <w:bookmarkEnd w:id="28"/>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Times New Roman" w:hAnsi="Times New Roman" w:eastAsia="宋体" w:cs="宋体"/>
          <w:color w:val="auto"/>
          <w:sz w:val="24"/>
          <w:lang w:eastAsia="zh-CN"/>
        </w:rPr>
      </w:pPr>
      <w:r>
        <w:rPr>
          <w:rFonts w:hint="eastAsia" w:ascii="Times New Roman" w:hAnsi="Times New Roman" w:eastAsia="宋体" w:cs="宋体"/>
          <w:color w:val="auto"/>
          <w:sz w:val="24"/>
          <w:lang w:eastAsia="zh-CN"/>
        </w:rPr>
        <w:t>施工期的固废废物主要为建筑垃圾和生活垃圾。</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Times New Roman" w:hAnsi="Times New Roman" w:eastAsia="宋体"/>
          <w:color w:val="auto"/>
        </w:rPr>
      </w:pPr>
      <w:r>
        <w:rPr>
          <w:rFonts w:hint="eastAsia" w:ascii="Times New Roman" w:hAnsi="Times New Roman" w:eastAsia="宋体" w:cs="宋体"/>
          <w:color w:val="auto"/>
          <w:sz w:val="24"/>
          <w:lang w:eastAsia="zh-CN"/>
        </w:rPr>
        <w:t>项目场地施工产生的建筑垃圾量较少，可全部回用，不对外排放。</w:t>
      </w:r>
    </w:p>
    <w:p>
      <w:pPr>
        <w:spacing w:line="360" w:lineRule="auto"/>
        <w:ind w:firstLine="480" w:firstLineChars="200"/>
        <w:rPr>
          <w:rFonts w:hint="eastAsia" w:ascii="Times New Roman" w:hAnsi="Times New Roman" w:eastAsia="宋体" w:cs="宋体"/>
          <w:color w:val="auto"/>
          <w:sz w:val="24"/>
          <w:lang w:eastAsia="zh-CN"/>
        </w:rPr>
      </w:pPr>
      <w:r>
        <w:rPr>
          <w:rFonts w:hint="eastAsia" w:ascii="Times New Roman" w:hAnsi="Times New Roman" w:eastAsia="宋体" w:cs="宋体"/>
          <w:color w:val="auto"/>
          <w:sz w:val="24"/>
          <w:lang w:eastAsia="zh-CN"/>
        </w:rPr>
        <w:t>施工现场设置垃圾桶，生活垃圾放置在垃圾桶，定期交由环卫部门处置。</w:t>
      </w:r>
    </w:p>
    <w:p>
      <w:pPr>
        <w:pStyle w:val="7"/>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color w:val="auto"/>
          <w:lang w:val="en-US" w:eastAsia="zh-CN"/>
        </w:rPr>
      </w:pPr>
      <w:bookmarkStart w:id="29" w:name="_Toc30595"/>
      <w:r>
        <w:rPr>
          <w:rFonts w:hint="eastAsia" w:ascii="Times New Roman" w:hAnsi="Times New Roman" w:cs="Times New Roman"/>
          <w:color w:val="auto"/>
          <w:lang w:val="en-US" w:eastAsia="zh-CN"/>
        </w:rPr>
        <w:t>4.1.5生态影响</w:t>
      </w:r>
      <w:bookmarkEnd w:id="29"/>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olor w:val="auto"/>
          <w:sz w:val="24"/>
          <w:szCs w:val="24"/>
          <w:lang w:val="en-US" w:eastAsia="zh-CN"/>
        </w:rPr>
      </w:pPr>
      <w:r>
        <w:rPr>
          <w:rFonts w:hint="eastAsia" w:ascii="Times New Roman" w:hAnsi="Times New Roman"/>
          <w:color w:val="auto"/>
          <w:sz w:val="24"/>
          <w:szCs w:val="24"/>
          <w:lang w:val="en-US" w:eastAsia="zh-CN"/>
        </w:rPr>
        <w:t>本项目用地为现成的采矿坑，施工期土地开挖量较少，生态影响较小。对于施工期，通过减少场界边缘区域的植被破坏，减少生物量损失、及时绿化、尽量采购适宜当地环境的多种植物类型进行植被恢复，提高生物多样性等措施的实施，本项目施工期的生态破坏将会得到较大的恢复和补偿，以维持区域生态功能的基本稳定。</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olor w:val="auto"/>
          <w:sz w:val="24"/>
          <w:szCs w:val="24"/>
          <w:lang w:val="en-US" w:eastAsia="zh-CN"/>
        </w:rPr>
      </w:pPr>
      <w:r>
        <w:rPr>
          <w:rFonts w:hint="default" w:ascii="Times New Roman" w:hAnsi="Times New Roman"/>
          <w:color w:val="auto"/>
          <w:sz w:val="24"/>
          <w:szCs w:val="24"/>
          <w:lang w:val="en-US" w:eastAsia="zh-CN"/>
        </w:rPr>
        <w:t>（1）施工对动植物的影响</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olor w:val="auto"/>
          <w:sz w:val="24"/>
          <w:szCs w:val="24"/>
          <w:lang w:val="en-US" w:eastAsia="zh-CN"/>
        </w:rPr>
      </w:pPr>
      <w:r>
        <w:rPr>
          <w:rFonts w:hint="default" w:ascii="Times New Roman" w:hAnsi="Times New Roman"/>
          <w:color w:val="auto"/>
          <w:sz w:val="24"/>
          <w:szCs w:val="24"/>
          <w:lang w:val="en-US" w:eastAsia="zh-CN"/>
        </w:rPr>
        <w:t>据调查拟建项目周围未发现国家各级保护珍稀动物，工程建设区域无珍稀植物，填埋场区目前仅有少量次生植物，由于人为的干扰，建设区野生动物较少，施工对动植物影响较小。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olor w:val="auto"/>
          <w:sz w:val="24"/>
          <w:szCs w:val="24"/>
          <w:lang w:val="en-US" w:eastAsia="zh-CN"/>
        </w:rPr>
      </w:pPr>
      <w:r>
        <w:rPr>
          <w:rFonts w:hint="default" w:ascii="Times New Roman" w:hAnsi="Times New Roman"/>
          <w:color w:val="auto"/>
          <w:sz w:val="24"/>
          <w:szCs w:val="24"/>
          <w:lang w:val="en-US" w:eastAsia="zh-CN"/>
        </w:rPr>
        <w:t>（2）施工对水土流失的影响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olor w:val="auto"/>
          <w:sz w:val="24"/>
          <w:szCs w:val="24"/>
          <w:lang w:val="en-US" w:eastAsia="zh-CN"/>
        </w:rPr>
      </w:pPr>
      <w:r>
        <w:rPr>
          <w:rFonts w:hint="default" w:ascii="Times New Roman" w:hAnsi="Times New Roman"/>
          <w:color w:val="auto"/>
          <w:sz w:val="24"/>
          <w:szCs w:val="24"/>
          <w:lang w:val="en-US" w:eastAsia="zh-CN"/>
        </w:rPr>
        <w:t>根据项目区生态环境特点和工程性质，本项目在施工期对生态环境的影响主要为增大水土流失的强度。具体表现在施工活动将会破坏项目区及周边地区的地表原有植被，使表层土裸露，影响其自然稳定状态，从而增加水土流失量。工程施工占地大部分为永久性占地，该影响也是不能忽视的。在施工过程中需采取必要的防护措施，如尽量减少土方工程量、基础施工中的挖方需妥善堆存，用于回填、最大限度地降低施工扬尘等，以尽量使施工对生态环境的影响降至最低限度。施工结束后，应及时对厂区及周围进行绿化、美化。</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color w:val="auto"/>
          <w:sz w:val="24"/>
        </w:rPr>
      </w:pPr>
      <w:r>
        <w:rPr>
          <w:rFonts w:hint="default" w:ascii="Times New Roman" w:hAnsi="Times New Roman"/>
          <w:color w:val="auto"/>
          <w:sz w:val="24"/>
          <w:szCs w:val="24"/>
          <w:lang w:val="en-US" w:eastAsia="zh-CN"/>
        </w:rPr>
        <w:t>项目在施工过程中将扰动地貌，损坏地表植被，产生弃土弃渣，形成人为水土流失，破坏生态环境。如不采取切实有效的防治措施，这些临时堆土在强降雨等外因作用下将有可能造成严重的水土流失。</w:t>
      </w:r>
    </w:p>
    <w:p>
      <w:pPr>
        <w:pStyle w:val="6"/>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color w:val="auto"/>
        </w:rPr>
      </w:pPr>
      <w:bookmarkStart w:id="30" w:name="_Toc11447"/>
      <w:r>
        <w:rPr>
          <w:rFonts w:ascii="Times New Roman" w:hAnsi="Times New Roman"/>
          <w:color w:val="auto"/>
        </w:rPr>
        <w:t>4.</w:t>
      </w:r>
      <w:r>
        <w:rPr>
          <w:rFonts w:hint="eastAsia" w:ascii="Times New Roman" w:hAnsi="Times New Roman"/>
          <w:color w:val="auto"/>
          <w:lang w:val="en-US" w:eastAsia="zh-CN"/>
        </w:rPr>
        <w:t>2</w:t>
      </w:r>
      <w:r>
        <w:rPr>
          <w:rFonts w:hint="eastAsia" w:ascii="Times New Roman" w:hAnsi="Times New Roman"/>
          <w:color w:val="auto"/>
          <w:lang w:eastAsia="zh-CN"/>
        </w:rPr>
        <w:t>营运期</w:t>
      </w:r>
      <w:r>
        <w:rPr>
          <w:rFonts w:ascii="Times New Roman" w:hAnsi="Times New Roman"/>
          <w:color w:val="auto"/>
        </w:rPr>
        <w:t>污染物治理/处置设施</w:t>
      </w:r>
      <w:bookmarkEnd w:id="24"/>
      <w:bookmarkEnd w:id="30"/>
    </w:p>
    <w:p>
      <w:pPr>
        <w:pStyle w:val="7"/>
        <w:pageBreakBefore w:val="0"/>
        <w:widowControl w:val="0"/>
        <w:kinsoku/>
        <w:wordWrap/>
        <w:overflowPunct/>
        <w:topLinePunct w:val="0"/>
        <w:autoSpaceDE/>
        <w:autoSpaceDN/>
        <w:bidi w:val="0"/>
        <w:adjustRightInd/>
        <w:snapToGrid/>
        <w:spacing w:line="360" w:lineRule="auto"/>
        <w:textAlignment w:val="auto"/>
        <w:rPr>
          <w:rFonts w:ascii="Times New Roman" w:hAnsi="Times New Roman"/>
          <w:color w:val="auto"/>
        </w:rPr>
      </w:pPr>
      <w:bookmarkStart w:id="31" w:name="_Toc53501992"/>
      <w:bookmarkStart w:id="32" w:name="_Toc14211"/>
      <w:bookmarkStart w:id="33" w:name="_Toc48659612"/>
      <w:r>
        <w:rPr>
          <w:rFonts w:ascii="Times New Roman" w:hAnsi="Times New Roman"/>
          <w:color w:val="auto"/>
        </w:rPr>
        <w:t>4.</w:t>
      </w:r>
      <w:r>
        <w:rPr>
          <w:rFonts w:hint="eastAsia" w:ascii="Times New Roman" w:hAnsi="Times New Roman"/>
          <w:color w:val="auto"/>
          <w:lang w:val="en-US" w:eastAsia="zh-CN"/>
        </w:rPr>
        <w:t>2</w:t>
      </w:r>
      <w:r>
        <w:rPr>
          <w:rFonts w:ascii="Times New Roman" w:hAnsi="Times New Roman"/>
          <w:color w:val="auto"/>
        </w:rPr>
        <w:t>.1废水</w:t>
      </w:r>
      <w:bookmarkEnd w:id="31"/>
      <w:bookmarkEnd w:id="32"/>
      <w:bookmarkEnd w:id="33"/>
    </w:p>
    <w:p>
      <w:pPr>
        <w:keepNext/>
        <w:keepLines/>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Times New Roman" w:hAnsi="Times New Roman"/>
          <w:color w:val="auto"/>
          <w:sz w:val="24"/>
          <w:szCs w:val="24"/>
        </w:rPr>
      </w:pPr>
      <w:bookmarkStart w:id="34" w:name="_Toc48659613"/>
      <w:bookmarkStart w:id="35" w:name="_Toc53501993"/>
      <w:r>
        <w:rPr>
          <w:rFonts w:hint="eastAsia" w:ascii="Times New Roman" w:hAnsi="Times New Roman"/>
          <w:color w:val="auto"/>
          <w:sz w:val="24"/>
          <w:szCs w:val="24"/>
        </w:rPr>
        <w:t>本项目用水主要为固废碾压用水</w:t>
      </w:r>
      <w:r>
        <w:rPr>
          <w:rFonts w:hint="eastAsia" w:ascii="Times New Roman" w:hAnsi="Times New Roman"/>
          <w:color w:val="auto"/>
          <w:sz w:val="24"/>
          <w:szCs w:val="24"/>
          <w:lang w:eastAsia="zh-CN"/>
        </w:rPr>
        <w:t>和</w:t>
      </w:r>
      <w:r>
        <w:rPr>
          <w:rFonts w:hint="eastAsia" w:ascii="Times New Roman" w:hAnsi="Times New Roman"/>
          <w:color w:val="auto"/>
          <w:sz w:val="24"/>
          <w:szCs w:val="24"/>
        </w:rPr>
        <w:t>道路浇洒用水；废水主要为渗滤液。</w:t>
      </w:r>
    </w:p>
    <w:p>
      <w:pPr>
        <w:keepNext/>
        <w:keepLines/>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Times New Roman" w:hAnsi="Times New Roman"/>
          <w:color w:val="auto"/>
          <w:sz w:val="24"/>
          <w:szCs w:val="24"/>
          <w:lang w:eastAsia="zh-CN"/>
        </w:rPr>
      </w:pPr>
      <w:r>
        <w:rPr>
          <w:rFonts w:hint="eastAsia" w:ascii="Times New Roman" w:hAnsi="Times New Roman"/>
          <w:color w:val="auto"/>
          <w:sz w:val="24"/>
          <w:szCs w:val="24"/>
        </w:rPr>
        <w:t>本项目场区采用雨污分流制，雨水通过填埋场四周设排水边沟截除场区上游汇水以及导排场区周围汇水，</w:t>
      </w:r>
      <w:r>
        <w:rPr>
          <w:rFonts w:hint="eastAsia" w:ascii="Times New Roman" w:hAnsi="Times New Roman"/>
          <w:color w:val="auto"/>
          <w:sz w:val="24"/>
          <w:szCs w:val="24"/>
          <w:lang w:eastAsia="zh-CN"/>
        </w:rPr>
        <w:t>初期雨水经导排后最终从填埋库区西南侧进入雨水收集池，通过泵送到南侧垃圾填埋场处理。</w:t>
      </w:r>
      <w:r>
        <w:rPr>
          <w:rFonts w:hint="eastAsia" w:ascii="Times New Roman" w:hAnsi="Times New Roman"/>
          <w:color w:val="auto"/>
          <w:sz w:val="24"/>
          <w:szCs w:val="24"/>
        </w:rPr>
        <w:t>填埋区内设置</w:t>
      </w:r>
      <w:r>
        <w:rPr>
          <w:rFonts w:hint="eastAsia" w:ascii="Times New Roman" w:hAnsi="Times New Roman"/>
          <w:color w:val="auto"/>
          <w:sz w:val="24"/>
          <w:szCs w:val="24"/>
          <w:lang w:eastAsia="zh-CN"/>
        </w:rPr>
        <w:t>一</w:t>
      </w:r>
      <w:r>
        <w:rPr>
          <w:rFonts w:hint="eastAsia" w:ascii="Times New Roman" w:hAnsi="Times New Roman"/>
          <w:color w:val="auto"/>
          <w:sz w:val="24"/>
          <w:szCs w:val="24"/>
        </w:rPr>
        <w:t>座收集井，用于收集渗滤液，渗滤液收集后</w:t>
      </w:r>
      <w:r>
        <w:rPr>
          <w:rFonts w:hint="eastAsia" w:ascii="Times New Roman" w:hAnsi="Times New Roman"/>
          <w:color w:val="auto"/>
          <w:sz w:val="24"/>
          <w:szCs w:val="24"/>
          <w:lang w:eastAsia="zh-CN"/>
        </w:rPr>
        <w:t>泵</w:t>
      </w:r>
      <w:r>
        <w:rPr>
          <w:rFonts w:hint="eastAsia" w:ascii="Times New Roman" w:hAnsi="Times New Roman"/>
          <w:color w:val="auto"/>
          <w:sz w:val="24"/>
          <w:szCs w:val="24"/>
        </w:rPr>
        <w:t>送入厂区</w:t>
      </w:r>
      <w:r>
        <w:rPr>
          <w:rFonts w:hint="eastAsia" w:ascii="Times New Roman" w:hAnsi="Times New Roman"/>
          <w:color w:val="auto"/>
          <w:sz w:val="24"/>
          <w:szCs w:val="24"/>
          <w:lang w:eastAsia="zh-CN"/>
        </w:rPr>
        <w:t>南</w:t>
      </w:r>
      <w:r>
        <w:rPr>
          <w:rFonts w:hint="eastAsia" w:ascii="Times New Roman" w:hAnsi="Times New Roman"/>
          <w:color w:val="auto"/>
          <w:sz w:val="24"/>
          <w:szCs w:val="24"/>
        </w:rPr>
        <w:t>侧的灵璧县生活垃圾填埋场处理（委托协议见附件</w:t>
      </w:r>
      <w:r>
        <w:rPr>
          <w:rFonts w:hint="eastAsia" w:ascii="Times New Roman" w:hAnsi="Times New Roman"/>
          <w:color w:val="auto"/>
          <w:sz w:val="24"/>
          <w:szCs w:val="24"/>
          <w:lang w:eastAsia="zh-CN"/>
        </w:rPr>
        <w:t>）</w:t>
      </w:r>
      <w:r>
        <w:rPr>
          <w:rFonts w:hint="eastAsia" w:ascii="Times New Roman" w:hAnsi="Times New Roman"/>
          <w:color w:val="auto"/>
          <w:sz w:val="24"/>
          <w:szCs w:val="24"/>
        </w:rPr>
        <w:t>。因此本项目无外排废水。</w:t>
      </w:r>
      <w:r>
        <w:rPr>
          <w:rFonts w:hint="eastAsia" w:ascii="Times New Roman" w:hAnsi="Times New Roman"/>
          <w:color w:val="auto"/>
          <w:sz w:val="24"/>
          <w:szCs w:val="24"/>
          <w:lang w:eastAsia="zh-CN"/>
        </w:rPr>
        <w:t>本项目渗滤液收集管道布设如下图所示：</w:t>
      </w:r>
    </w:p>
    <w:p>
      <w:pPr>
        <w:pStyle w:val="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ascii="Times New Roman" w:hAnsi="Times New Roman"/>
        </w:rPr>
      </w:pPr>
      <w:r>
        <w:rPr>
          <w:rFonts w:ascii="Times New Roman" w:hAnsi="Times New Roman"/>
          <w:sz w:val="21"/>
        </w:rPr>
        <mc:AlternateContent>
          <mc:Choice Requires="wps">
            <w:drawing>
              <wp:anchor distT="0" distB="0" distL="114300" distR="114300" simplePos="0" relativeHeight="251713536" behindDoc="0" locked="0" layoutInCell="1" allowOverlap="1">
                <wp:simplePos x="0" y="0"/>
                <wp:positionH relativeFrom="column">
                  <wp:posOffset>1350010</wp:posOffset>
                </wp:positionH>
                <wp:positionV relativeFrom="paragraph">
                  <wp:posOffset>2513330</wp:posOffset>
                </wp:positionV>
                <wp:extent cx="1216660" cy="332740"/>
                <wp:effectExtent l="0" t="0" r="0" b="0"/>
                <wp:wrapNone/>
                <wp:docPr id="80" name="文本框 1536"/>
                <wp:cNvGraphicFramePr/>
                <a:graphic xmlns:a="http://schemas.openxmlformats.org/drawingml/2006/main">
                  <a:graphicData uri="http://schemas.microsoft.com/office/word/2010/wordprocessingShape">
                    <wps:wsp>
                      <wps:cNvSpPr txBox="1"/>
                      <wps:spPr>
                        <a:xfrm>
                          <a:off x="0" y="0"/>
                          <a:ext cx="1216660" cy="332740"/>
                        </a:xfrm>
                        <a:prstGeom prst="rect">
                          <a:avLst/>
                        </a:prstGeom>
                        <a:noFill/>
                        <a:ln>
                          <a:noFill/>
                        </a:ln>
                      </wps:spPr>
                      <wps:txbx>
                        <w:txbxContent>
                          <w:p>
                            <w:pPr>
                              <w:rPr>
                                <w:rFonts w:hint="eastAsia" w:eastAsiaTheme="minorEastAsia"/>
                                <w:sz w:val="18"/>
                                <w:szCs w:val="18"/>
                                <w:highlight w:val="red"/>
                                <w:lang w:eastAsia="zh-CN"/>
                              </w:rPr>
                            </w:pPr>
                            <w:r>
                              <w:rPr>
                                <w:rFonts w:hint="eastAsia"/>
                                <w:sz w:val="18"/>
                                <w:szCs w:val="18"/>
                                <w:highlight w:val="red"/>
                                <w:lang w:eastAsia="zh-CN"/>
                              </w:rPr>
                              <w:t>渗滤液收集井</w:t>
                            </w:r>
                          </w:p>
                        </w:txbxContent>
                      </wps:txbx>
                      <wps:bodyPr upright="1"/>
                    </wps:wsp>
                  </a:graphicData>
                </a:graphic>
              </wp:anchor>
            </w:drawing>
          </mc:Choice>
          <mc:Fallback>
            <w:pict>
              <v:shape id="文本框 1536" o:spid="_x0000_s1026" o:spt="202" type="#_x0000_t202" style="position:absolute;left:0pt;margin-left:106.3pt;margin-top:197.9pt;height:26.2pt;width:95.8pt;z-index:251713536;mso-width-relative:page;mso-height-relative:page;" filled="f" stroked="f" coordsize="21600,21600" o:gfxdata="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AYc&#10;PHnYAAAACwEAAA8AAAAAAAAAAQAgAAAAIgAAAGRycy9kb3ducmV2LnhtbFBLAQIUABQAAAAIAIdO&#10;4kDz9iG+sQEAAFIDAAAOAAAAAAAAAAEAIAAAACcBAABkcnMvZTJvRG9jLnhtbFBLBQYAAAAABgAG&#10;AFkBAABKBQAAAAA=&#10;">
                <v:fill on="f" focussize="0,0"/>
                <v:stroke on="f"/>
                <v:imagedata o:title=""/>
                <o:lock v:ext="edit" aspectratio="f"/>
                <v:textbox>
                  <w:txbxContent>
                    <w:p>
                      <w:pPr>
                        <w:rPr>
                          <w:rFonts w:hint="eastAsia" w:eastAsiaTheme="minorEastAsia"/>
                          <w:sz w:val="18"/>
                          <w:szCs w:val="18"/>
                          <w:highlight w:val="red"/>
                          <w:lang w:eastAsia="zh-CN"/>
                        </w:rPr>
                      </w:pPr>
                      <w:r>
                        <w:rPr>
                          <w:rFonts w:hint="eastAsia"/>
                          <w:sz w:val="18"/>
                          <w:szCs w:val="18"/>
                          <w:highlight w:val="red"/>
                          <w:lang w:eastAsia="zh-CN"/>
                        </w:rPr>
                        <w:t>渗滤液收集井</w:t>
                      </w:r>
                    </w:p>
                  </w:txbxContent>
                </v:textbox>
              </v:shape>
            </w:pict>
          </mc:Fallback>
        </mc:AlternateContent>
      </w:r>
      <w:r>
        <w:rPr>
          <w:rFonts w:ascii="Times New Roman" w:hAnsi="Times New Roman"/>
          <w:sz w:val="21"/>
        </w:rPr>
        <mc:AlternateContent>
          <mc:Choice Requires="wps">
            <w:drawing>
              <wp:anchor distT="0" distB="0" distL="114300" distR="114300" simplePos="0" relativeHeight="251704320" behindDoc="0" locked="0" layoutInCell="1" allowOverlap="1">
                <wp:simplePos x="0" y="0"/>
                <wp:positionH relativeFrom="column">
                  <wp:posOffset>1624965</wp:posOffset>
                </wp:positionH>
                <wp:positionV relativeFrom="paragraph">
                  <wp:posOffset>2381885</wp:posOffset>
                </wp:positionV>
                <wp:extent cx="125730" cy="125730"/>
                <wp:effectExtent l="4445" t="4445" r="22225" b="22225"/>
                <wp:wrapNone/>
                <wp:docPr id="71" name="椭圆 1526"/>
                <wp:cNvGraphicFramePr/>
                <a:graphic xmlns:a="http://schemas.openxmlformats.org/drawingml/2006/main">
                  <a:graphicData uri="http://schemas.microsoft.com/office/word/2010/wordprocessingShape">
                    <wps:wsp>
                      <wps:cNvSpPr/>
                      <wps:spPr>
                        <a:xfrm>
                          <a:off x="0" y="0"/>
                          <a:ext cx="125730" cy="125730"/>
                        </a:xfrm>
                        <a:prstGeom prst="ellipse">
                          <a:avLst/>
                        </a:prstGeom>
                        <a:solidFill>
                          <a:srgbClr val="FFFFFF"/>
                        </a:solidFill>
                        <a:ln w="9525" cap="flat" cmpd="sng">
                          <a:solidFill>
                            <a:srgbClr val="FF0000"/>
                          </a:solidFill>
                          <a:prstDash val="solid"/>
                          <a:headEnd type="none" w="med" len="med"/>
                          <a:tailEnd type="none" w="med" len="med"/>
                        </a:ln>
                      </wps:spPr>
                      <wps:bodyPr upright="1"/>
                    </wps:wsp>
                  </a:graphicData>
                </a:graphic>
              </wp:anchor>
            </w:drawing>
          </mc:Choice>
          <mc:Fallback>
            <w:pict>
              <v:shape id="椭圆 1526" o:spid="_x0000_s1026" o:spt="3" type="#_x0000_t3" style="position:absolute;left:0pt;margin-left:127.95pt;margin-top:187.55pt;height:9.9pt;width:9.9pt;z-index:251704320;mso-width-relative:page;mso-height-relative:page;" fillcolor="#FFFFFF" filled="t" stroked="t" coordsize="21600,21600" o:gfxdata="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QVcRn2wAAAAsBAAAPAAAAAAAAAAEAIAAAACIAAABkcnMvZG93bnJldi54&#10;bWxQSwECFAAUAAAACACHTuJAHVOW9PcBAAAaBAAADgAAAAAAAAABACAAAAAqAQAAZHJzL2Uyb0Rv&#10;Yy54bWxQSwUGAAAAAAYABgBZAQAAkwUAAAAA&#10;">
                <v:fill on="t" focussize="0,0"/>
                <v:stroke color="#FF0000" joinstyle="round"/>
                <v:imagedata o:title=""/>
                <o:lock v:ext="edit" aspectratio="f"/>
              </v:shape>
            </w:pict>
          </mc:Fallback>
        </mc:AlternateContent>
      </w:r>
      <w:r>
        <w:rPr>
          <w:rFonts w:ascii="Times New Roman" w:hAnsi="Times New Roman"/>
          <w:sz w:val="21"/>
        </w:rPr>
        <mc:AlternateContent>
          <mc:Choice Requires="wps">
            <w:drawing>
              <wp:anchor distT="0" distB="0" distL="114300" distR="114300" simplePos="0" relativeHeight="251712512" behindDoc="0" locked="0" layoutInCell="1" allowOverlap="1">
                <wp:simplePos x="0" y="0"/>
                <wp:positionH relativeFrom="column">
                  <wp:posOffset>1634490</wp:posOffset>
                </wp:positionH>
                <wp:positionV relativeFrom="paragraph">
                  <wp:posOffset>2379345</wp:posOffset>
                </wp:positionV>
                <wp:extent cx="114300" cy="115570"/>
                <wp:effectExtent l="4445" t="4445" r="14605" b="13335"/>
                <wp:wrapNone/>
                <wp:docPr id="79" name="直线 1535"/>
                <wp:cNvGraphicFramePr/>
                <a:graphic xmlns:a="http://schemas.openxmlformats.org/drawingml/2006/main">
                  <a:graphicData uri="http://schemas.microsoft.com/office/word/2010/wordprocessingShape">
                    <wps:wsp>
                      <wps:cNvCnPr/>
                      <wps:spPr>
                        <a:xfrm flipH="1">
                          <a:off x="0" y="0"/>
                          <a:ext cx="114300" cy="115570"/>
                        </a:xfrm>
                        <a:prstGeom prst="line">
                          <a:avLst/>
                        </a:prstGeom>
                        <a:ln w="12700" cap="flat" cmpd="sng">
                          <a:solidFill>
                            <a:srgbClr val="FF0000"/>
                          </a:solidFill>
                          <a:prstDash val="solid"/>
                          <a:headEnd type="none" w="med" len="med"/>
                          <a:tailEnd type="none" w="med" len="med"/>
                        </a:ln>
                      </wps:spPr>
                      <wps:bodyPr upright="1"/>
                    </wps:wsp>
                  </a:graphicData>
                </a:graphic>
              </wp:anchor>
            </w:drawing>
          </mc:Choice>
          <mc:Fallback>
            <w:pict>
              <v:line id="直线 1535" o:spid="_x0000_s1026" o:spt="20" style="position:absolute;left:0pt;flip:x;margin-left:128.7pt;margin-top:187.35pt;height:9.1pt;width:9pt;z-index:251712512;mso-width-relative:page;mso-height-relative:page;" filled="f" stroked="t" coordsize="21600,21600" o:gfxdata="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poq/C2QAAAAsBAAAPAAAAAAAAAAEAIAAAACIAAABkcnMvZG93bnJldi54&#10;bWxQSwECFAAUAAAACACHTuJAEU9yFPkBAADuAwAADgAAAAAAAAABACAAAAAoAQAAZHJzL2Uyb0Rv&#10;Yy54bWxQSwUGAAAAAAYABgBZAQAAkwUAAAAA&#10;">
                <v:fill on="f" focussize="0,0"/>
                <v:stroke weight="1pt" color="#FF0000" joinstyle="round"/>
                <v:imagedata o:title=""/>
                <o:lock v:ext="edit" aspectratio="f"/>
              </v:line>
            </w:pict>
          </mc:Fallback>
        </mc:AlternateContent>
      </w:r>
      <w:r>
        <w:rPr>
          <w:rFonts w:ascii="Times New Roman" w:hAnsi="Times New Roman"/>
          <w:sz w:val="21"/>
        </w:rPr>
        <mc:AlternateContent>
          <mc:Choice Requires="wps">
            <w:drawing>
              <wp:anchor distT="0" distB="0" distL="114300" distR="114300" simplePos="0" relativeHeight="251708416" behindDoc="0" locked="0" layoutInCell="1" allowOverlap="1">
                <wp:simplePos x="0" y="0"/>
                <wp:positionH relativeFrom="column">
                  <wp:posOffset>2044065</wp:posOffset>
                </wp:positionH>
                <wp:positionV relativeFrom="paragraph">
                  <wp:posOffset>1198880</wp:posOffset>
                </wp:positionV>
                <wp:extent cx="190500" cy="685800"/>
                <wp:effectExtent l="8890" t="2540" r="10160" b="16510"/>
                <wp:wrapNone/>
                <wp:docPr id="75" name="直线 1531"/>
                <wp:cNvGraphicFramePr/>
                <a:graphic xmlns:a="http://schemas.openxmlformats.org/drawingml/2006/main">
                  <a:graphicData uri="http://schemas.microsoft.com/office/word/2010/wordprocessingShape">
                    <wps:wsp>
                      <wps:cNvCnPr/>
                      <wps:spPr>
                        <a:xfrm>
                          <a:off x="0" y="0"/>
                          <a:ext cx="190500" cy="685800"/>
                        </a:xfrm>
                        <a:prstGeom prst="line">
                          <a:avLst/>
                        </a:prstGeom>
                        <a:ln w="19050" cap="flat" cmpd="sng">
                          <a:solidFill>
                            <a:srgbClr val="FF0000"/>
                          </a:solidFill>
                          <a:prstDash val="solid"/>
                          <a:headEnd type="none" w="med" len="med"/>
                          <a:tailEnd type="none" w="med" len="med"/>
                        </a:ln>
                      </wps:spPr>
                      <wps:bodyPr upright="1"/>
                    </wps:wsp>
                  </a:graphicData>
                </a:graphic>
              </wp:anchor>
            </w:drawing>
          </mc:Choice>
          <mc:Fallback>
            <w:pict>
              <v:line id="直线 1531" o:spid="_x0000_s1026" o:spt="20" style="position:absolute;left:0pt;margin-left:160.95pt;margin-top:94.4pt;height:54pt;width:15pt;z-index:251708416;mso-width-relative:page;mso-height-relative:page;" filled="f" stroked="t" coordsize="21600,21600" o:gfxdata="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FKJCQ2gAAAAsBAAAPAAAAAAAAAAEAIAAAACIAAABkcnMvZG93bnJldi54bWxQSwECFAAUAAAA&#10;CACHTuJAMAh4hOwBAADkAwAADgAAAAAAAAABACAAAAApAQAAZHJzL2Uyb0RvYy54bWxQSwUGAAAA&#10;AAYABgBZAQAAhwUAAAAA&#10;">
                <v:fill on="f" focussize="0,0"/>
                <v:stroke weight="1.5pt" color="#FF0000" joinstyle="round"/>
                <v:imagedata o:title=""/>
                <o:lock v:ext="edit" aspectratio="f"/>
              </v:line>
            </w:pict>
          </mc:Fallback>
        </mc:AlternateContent>
      </w:r>
      <w:r>
        <w:rPr>
          <w:rFonts w:ascii="Times New Roman" w:hAnsi="Times New Roman"/>
          <w:sz w:val="21"/>
        </w:rPr>
        <mc:AlternateContent>
          <mc:Choice Requires="wps">
            <w:drawing>
              <wp:anchor distT="0" distB="0" distL="114300" distR="114300" simplePos="0" relativeHeight="251709440" behindDoc="0" locked="0" layoutInCell="1" allowOverlap="1">
                <wp:simplePos x="0" y="0"/>
                <wp:positionH relativeFrom="column">
                  <wp:posOffset>2225040</wp:posOffset>
                </wp:positionH>
                <wp:positionV relativeFrom="paragraph">
                  <wp:posOffset>1894205</wp:posOffset>
                </wp:positionV>
                <wp:extent cx="619125" cy="190500"/>
                <wp:effectExtent l="2540" t="8890" r="6985" b="10160"/>
                <wp:wrapNone/>
                <wp:docPr id="76" name="直线 1532"/>
                <wp:cNvGraphicFramePr/>
                <a:graphic xmlns:a="http://schemas.openxmlformats.org/drawingml/2006/main">
                  <a:graphicData uri="http://schemas.microsoft.com/office/word/2010/wordprocessingShape">
                    <wps:wsp>
                      <wps:cNvCnPr/>
                      <wps:spPr>
                        <a:xfrm>
                          <a:off x="0" y="0"/>
                          <a:ext cx="619125" cy="190500"/>
                        </a:xfrm>
                        <a:prstGeom prst="line">
                          <a:avLst/>
                        </a:prstGeom>
                        <a:ln w="19050" cap="flat" cmpd="sng">
                          <a:solidFill>
                            <a:srgbClr val="FF0000"/>
                          </a:solidFill>
                          <a:prstDash val="solid"/>
                          <a:headEnd type="none" w="med" len="med"/>
                          <a:tailEnd type="none" w="med" len="med"/>
                        </a:ln>
                      </wps:spPr>
                      <wps:bodyPr upright="1"/>
                    </wps:wsp>
                  </a:graphicData>
                </a:graphic>
              </wp:anchor>
            </w:drawing>
          </mc:Choice>
          <mc:Fallback>
            <w:pict>
              <v:line id="直线 1532" o:spid="_x0000_s1026" o:spt="20" style="position:absolute;left:0pt;margin-left:175.2pt;margin-top:149.15pt;height:15pt;width:48.75pt;z-index:251709440;mso-width-relative:page;mso-height-relative:page;" filled="f" stroked="t" coordsize="21600,21600" o:gfxdata="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tzlDx9sAAAALAQAADwAAAAAAAAABACAAAAAiAAAAZHJzL2Rvd25yZXYueG1sUEsBAhQA&#10;FAAAAAgAh07iQHYs2Q7vAQAA5AMAAA4AAAAAAAAAAQAgAAAAKgEAAGRycy9lMm9Eb2MueG1sUEsF&#10;BgAAAAAGAAYAWQEAAIsFAAAAAA==&#10;">
                <v:fill on="f" focussize="0,0"/>
                <v:stroke weight="1.5pt" color="#FF0000" joinstyle="round"/>
                <v:imagedata o:title=""/>
                <o:lock v:ext="edit" aspectratio="f"/>
              </v:line>
            </w:pict>
          </mc:Fallback>
        </mc:AlternateContent>
      </w:r>
      <w:r>
        <w:rPr>
          <w:rFonts w:ascii="Times New Roman" w:hAnsi="Times New Roman"/>
          <w:sz w:val="21"/>
        </w:rPr>
        <mc:AlternateContent>
          <mc:Choice Requires="wps">
            <w:drawing>
              <wp:anchor distT="0" distB="0" distL="114300" distR="114300" simplePos="0" relativeHeight="251711488" behindDoc="0" locked="0" layoutInCell="1" allowOverlap="1">
                <wp:simplePos x="0" y="0"/>
                <wp:positionH relativeFrom="column">
                  <wp:posOffset>2482215</wp:posOffset>
                </wp:positionH>
                <wp:positionV relativeFrom="paragraph">
                  <wp:posOffset>1236980</wp:posOffset>
                </wp:positionV>
                <wp:extent cx="57150" cy="352425"/>
                <wp:effectExtent l="9525" t="1270" r="9525" b="8255"/>
                <wp:wrapNone/>
                <wp:docPr id="78" name="直线 1534"/>
                <wp:cNvGraphicFramePr/>
                <a:graphic xmlns:a="http://schemas.openxmlformats.org/drawingml/2006/main">
                  <a:graphicData uri="http://schemas.microsoft.com/office/word/2010/wordprocessingShape">
                    <wps:wsp>
                      <wps:cNvCnPr/>
                      <wps:spPr>
                        <a:xfrm flipH="1" flipV="1">
                          <a:off x="0" y="0"/>
                          <a:ext cx="57150" cy="352425"/>
                        </a:xfrm>
                        <a:prstGeom prst="line">
                          <a:avLst/>
                        </a:prstGeom>
                        <a:ln w="19050" cap="flat" cmpd="sng">
                          <a:solidFill>
                            <a:srgbClr val="FF0000"/>
                          </a:solidFill>
                          <a:prstDash val="solid"/>
                          <a:headEnd type="none" w="med" len="med"/>
                          <a:tailEnd type="none" w="med" len="med"/>
                        </a:ln>
                      </wps:spPr>
                      <wps:bodyPr upright="1"/>
                    </wps:wsp>
                  </a:graphicData>
                </a:graphic>
              </wp:anchor>
            </w:drawing>
          </mc:Choice>
          <mc:Fallback>
            <w:pict>
              <v:line id="直线 1534" o:spid="_x0000_s1026" o:spt="20" style="position:absolute;left:0pt;flip:x y;margin-left:195.45pt;margin-top:97.4pt;height:27.75pt;width:4.5pt;z-index:251711488;mso-width-relative:page;mso-height-relative:page;" filled="f" stroked="t" coordsize="21600,21600" o:gfxdata="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WlCrW1gAAAAsBAAAPAAAAAAAAAAEAIAAAACIAAABkcnMvZG93bnJldi54&#10;bWxQSwECFAAUAAAACACHTuJAlNp/cPwBAAD3AwAADgAAAAAAAAABACAAAAAlAQAAZHJzL2Uyb0Rv&#10;Yy54bWxQSwUGAAAAAAYABgBZAQAAkwUAAAAA&#10;">
                <v:fill on="f" focussize="0,0"/>
                <v:stroke weight="1.5pt" color="#FF0000" joinstyle="round"/>
                <v:imagedata o:title=""/>
                <o:lock v:ext="edit" aspectratio="f"/>
              </v:line>
            </w:pict>
          </mc:Fallback>
        </mc:AlternateContent>
      </w:r>
      <w:r>
        <w:rPr>
          <w:rFonts w:ascii="Times New Roman" w:hAnsi="Times New Roman"/>
          <w:sz w:val="21"/>
        </w:rPr>
        <mc:AlternateContent>
          <mc:Choice Requires="wps">
            <w:drawing>
              <wp:anchor distT="0" distB="0" distL="114300" distR="114300" simplePos="0" relativeHeight="251710464" behindDoc="0" locked="0" layoutInCell="1" allowOverlap="1">
                <wp:simplePos x="0" y="0"/>
                <wp:positionH relativeFrom="column">
                  <wp:posOffset>2520315</wp:posOffset>
                </wp:positionH>
                <wp:positionV relativeFrom="paragraph">
                  <wp:posOffset>1579880</wp:posOffset>
                </wp:positionV>
                <wp:extent cx="323850" cy="95250"/>
                <wp:effectExtent l="2540" t="8890" r="16510" b="10160"/>
                <wp:wrapNone/>
                <wp:docPr id="77" name="直线 1533"/>
                <wp:cNvGraphicFramePr/>
                <a:graphic xmlns:a="http://schemas.openxmlformats.org/drawingml/2006/main">
                  <a:graphicData uri="http://schemas.microsoft.com/office/word/2010/wordprocessingShape">
                    <wps:wsp>
                      <wps:cNvCnPr/>
                      <wps:spPr>
                        <a:xfrm>
                          <a:off x="0" y="0"/>
                          <a:ext cx="323850" cy="95250"/>
                        </a:xfrm>
                        <a:prstGeom prst="line">
                          <a:avLst/>
                        </a:prstGeom>
                        <a:ln w="19050" cap="flat" cmpd="sng">
                          <a:solidFill>
                            <a:srgbClr val="FF0000"/>
                          </a:solidFill>
                          <a:prstDash val="solid"/>
                          <a:headEnd type="none" w="med" len="med"/>
                          <a:tailEnd type="none" w="med" len="med"/>
                        </a:ln>
                      </wps:spPr>
                      <wps:bodyPr upright="1"/>
                    </wps:wsp>
                  </a:graphicData>
                </a:graphic>
              </wp:anchor>
            </w:drawing>
          </mc:Choice>
          <mc:Fallback>
            <w:pict>
              <v:line id="直线 1533" o:spid="_x0000_s1026" o:spt="20" style="position:absolute;left:0pt;margin-left:198.45pt;margin-top:124.4pt;height:7.5pt;width:25.5pt;z-index:251710464;mso-width-relative:page;mso-height-relative:page;" filled="f" stroked="t" coordsize="21600,21600" o:gfxdata="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LcrkV2gAAAAsBAAAPAAAAAAAAAAEAIAAAACIAAABkcnMvZG93bnJldi54bWxQSwECFAAU&#10;AAAACACHTuJAzW6lAu8BAADjAwAADgAAAAAAAAABACAAAAApAQAAZHJzL2Uyb0RvYy54bWxQSwUG&#10;AAAAAAYABgBZAQAAigUAAAAA&#10;">
                <v:fill on="f" focussize="0,0"/>
                <v:stroke weight="1.5pt" color="#FF0000" joinstyle="round"/>
                <v:imagedata o:title=""/>
                <o:lock v:ext="edit" aspectratio="f"/>
              </v:line>
            </w:pict>
          </mc:Fallback>
        </mc:AlternateContent>
      </w:r>
      <w:r>
        <w:rPr>
          <w:rFonts w:ascii="Times New Roman" w:hAnsi="Times New Roman"/>
          <w:sz w:val="21"/>
        </w:rPr>
        <mc:AlternateContent>
          <mc:Choice Requires="wps">
            <w:drawing>
              <wp:anchor distT="0" distB="0" distL="114300" distR="114300" simplePos="0" relativeHeight="251707392" behindDoc="0" locked="0" layoutInCell="1" allowOverlap="1">
                <wp:simplePos x="0" y="0"/>
                <wp:positionH relativeFrom="column">
                  <wp:posOffset>1901825</wp:posOffset>
                </wp:positionH>
                <wp:positionV relativeFrom="paragraph">
                  <wp:posOffset>2237105</wp:posOffset>
                </wp:positionV>
                <wp:extent cx="789940" cy="228600"/>
                <wp:effectExtent l="2540" t="8890" r="7620" b="10160"/>
                <wp:wrapNone/>
                <wp:docPr id="74" name="直线 1530"/>
                <wp:cNvGraphicFramePr/>
                <a:graphic xmlns:a="http://schemas.openxmlformats.org/drawingml/2006/main">
                  <a:graphicData uri="http://schemas.microsoft.com/office/word/2010/wordprocessingShape">
                    <wps:wsp>
                      <wps:cNvCnPr/>
                      <wps:spPr>
                        <a:xfrm>
                          <a:off x="0" y="0"/>
                          <a:ext cx="789940" cy="228600"/>
                        </a:xfrm>
                        <a:prstGeom prst="line">
                          <a:avLst/>
                        </a:prstGeom>
                        <a:ln w="19050" cap="flat" cmpd="sng">
                          <a:solidFill>
                            <a:srgbClr val="FF0000"/>
                          </a:solidFill>
                          <a:prstDash val="solid"/>
                          <a:headEnd type="none" w="med" len="med"/>
                          <a:tailEnd type="none" w="med" len="med"/>
                        </a:ln>
                      </wps:spPr>
                      <wps:bodyPr upright="1"/>
                    </wps:wsp>
                  </a:graphicData>
                </a:graphic>
              </wp:anchor>
            </w:drawing>
          </mc:Choice>
          <mc:Fallback>
            <w:pict>
              <v:line id="直线 1530" o:spid="_x0000_s1026" o:spt="20" style="position:absolute;left:0pt;margin-left:149.75pt;margin-top:176.15pt;height:18pt;width:62.2pt;z-index:251707392;mso-width-relative:page;mso-height-relative:page;" filled="f" stroked="t" coordsize="21600,21600" o:gfxdata="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5yGlc2wAAAAsBAAAPAAAAAAAAAAEAIAAAACIAAABkcnMvZG93bnJldi54bWxQSwEC&#10;FAAUAAAACACHTuJAMpNzhPEBAADkAwAADgAAAAAAAAABACAAAAAqAQAAZHJzL2Uyb0RvYy54bWxQ&#10;SwUGAAAAAAYABgBZAQAAjQUAAAAA&#10;">
                <v:fill on="f" focussize="0,0"/>
                <v:stroke weight="1.5pt" color="#FF0000" joinstyle="round"/>
                <v:imagedata o:title=""/>
                <o:lock v:ext="edit" aspectratio="f"/>
              </v:line>
            </w:pict>
          </mc:Fallback>
        </mc:AlternateContent>
      </w:r>
      <w:r>
        <w:rPr>
          <w:rFonts w:ascii="Times New Roman" w:hAnsi="Times New Roman"/>
          <w:sz w:val="21"/>
        </w:rPr>
        <mc:AlternateContent>
          <mc:Choice Requires="wps">
            <w:drawing>
              <wp:anchor distT="0" distB="0" distL="114300" distR="114300" simplePos="0" relativeHeight="251706368" behindDoc="0" locked="0" layoutInCell="1" allowOverlap="1">
                <wp:simplePos x="0" y="0"/>
                <wp:positionH relativeFrom="column">
                  <wp:posOffset>1720215</wp:posOffset>
                </wp:positionH>
                <wp:positionV relativeFrom="paragraph">
                  <wp:posOffset>1417955</wp:posOffset>
                </wp:positionV>
                <wp:extent cx="180975" cy="781050"/>
                <wp:effectExtent l="9525" t="1905" r="19050" b="17145"/>
                <wp:wrapNone/>
                <wp:docPr id="73" name="直线 1529"/>
                <wp:cNvGraphicFramePr/>
                <a:graphic xmlns:a="http://schemas.openxmlformats.org/drawingml/2006/main">
                  <a:graphicData uri="http://schemas.microsoft.com/office/word/2010/wordprocessingShape">
                    <wps:wsp>
                      <wps:cNvCnPr/>
                      <wps:spPr>
                        <a:xfrm>
                          <a:off x="0" y="0"/>
                          <a:ext cx="180975" cy="781050"/>
                        </a:xfrm>
                        <a:prstGeom prst="line">
                          <a:avLst/>
                        </a:prstGeom>
                        <a:ln w="19050" cap="flat" cmpd="sng">
                          <a:solidFill>
                            <a:srgbClr val="FF0000"/>
                          </a:solidFill>
                          <a:prstDash val="solid"/>
                          <a:headEnd type="none" w="med" len="med"/>
                          <a:tailEnd type="none" w="med" len="med"/>
                        </a:ln>
                      </wps:spPr>
                      <wps:bodyPr upright="1"/>
                    </wps:wsp>
                  </a:graphicData>
                </a:graphic>
              </wp:anchor>
            </w:drawing>
          </mc:Choice>
          <mc:Fallback>
            <w:pict>
              <v:line id="直线 1529" o:spid="_x0000_s1026" o:spt="20" style="position:absolute;left:0pt;margin-left:135.45pt;margin-top:111.65pt;height:61.5pt;width:14.25pt;z-index:251706368;mso-width-relative:page;mso-height-relative:page;" filled="f" stroked="t" coordsize="21600,21600" o:gfxdata="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N5PEZ3AAAAAsBAAAPAAAAAAAAAAEAIAAAACIAAABkcnMvZG93bnJldi54bWxQ&#10;SwECFAAUAAAACACHTuJAUATx2vMBAADkAwAADgAAAAAAAAABACAAAAArAQAAZHJzL2Uyb0RvYy54&#10;bWxQSwUGAAAAAAYABgBZAQAAkAUAAAAA&#10;">
                <v:fill on="f" focussize="0,0"/>
                <v:stroke weight="1.5pt" color="#FF0000" joinstyle="round"/>
                <v:imagedata o:title=""/>
                <o:lock v:ext="edit" aspectratio="f"/>
              </v:line>
            </w:pict>
          </mc:Fallback>
        </mc:AlternateContent>
      </w:r>
      <w:r>
        <w:rPr>
          <w:rFonts w:ascii="Times New Roman" w:hAnsi="Times New Roman"/>
          <w:sz w:val="21"/>
        </w:rPr>
        <mc:AlternateContent>
          <mc:Choice Requires="wps">
            <w:drawing>
              <wp:anchor distT="0" distB="0" distL="114300" distR="114300" simplePos="0" relativeHeight="251705344" behindDoc="0" locked="0" layoutInCell="1" allowOverlap="1">
                <wp:simplePos x="0" y="0"/>
                <wp:positionH relativeFrom="column">
                  <wp:posOffset>1748790</wp:posOffset>
                </wp:positionH>
                <wp:positionV relativeFrom="paragraph">
                  <wp:posOffset>1446530</wp:posOffset>
                </wp:positionV>
                <wp:extent cx="904875" cy="923925"/>
                <wp:effectExtent l="8890" t="8890" r="19685" b="19685"/>
                <wp:wrapNone/>
                <wp:docPr id="72" name="直线 1528"/>
                <wp:cNvGraphicFramePr/>
                <a:graphic xmlns:a="http://schemas.openxmlformats.org/drawingml/2006/main">
                  <a:graphicData uri="http://schemas.microsoft.com/office/word/2010/wordprocessingShape">
                    <wps:wsp>
                      <wps:cNvCnPr/>
                      <wps:spPr>
                        <a:xfrm flipV="1">
                          <a:off x="0" y="0"/>
                          <a:ext cx="904875" cy="923925"/>
                        </a:xfrm>
                        <a:prstGeom prst="line">
                          <a:avLst/>
                        </a:prstGeom>
                        <a:ln w="25400" cap="flat" cmpd="sng">
                          <a:solidFill>
                            <a:srgbClr val="FF0000"/>
                          </a:solidFill>
                          <a:prstDash val="solid"/>
                          <a:headEnd type="none" w="med" len="med"/>
                          <a:tailEnd type="none" w="med" len="med"/>
                        </a:ln>
                      </wps:spPr>
                      <wps:bodyPr upright="1"/>
                    </wps:wsp>
                  </a:graphicData>
                </a:graphic>
              </wp:anchor>
            </w:drawing>
          </mc:Choice>
          <mc:Fallback>
            <w:pict>
              <v:line id="直线 1528" o:spid="_x0000_s1026" o:spt="20" style="position:absolute;left:0pt;flip:y;margin-left:137.7pt;margin-top:113.9pt;height:72.75pt;width:71.25pt;z-index:251705344;mso-width-relative:page;mso-height-relative:page;" filled="f" stroked="t" coordsize="21600,21600" o:gfxdata="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v1jlR2AAAAAsBAAAPAAAAAAAAAAEAIAAAACIAAABkcnMvZG93bnJldi54&#10;bWxQSwECFAAUAAAACACHTuJAP8cZIfoBAADuAwAADgAAAAAAAAABACAAAAAnAQAAZHJzL2Uyb0Rv&#10;Yy54bWxQSwUGAAAAAAYABgBZAQAAkwUAAAAA&#10;">
                <v:fill on="f" focussize="0,0"/>
                <v:stroke weight="2pt" color="#FF0000" joinstyle="round"/>
                <v:imagedata o:title=""/>
                <o:lock v:ext="edit" aspectratio="f"/>
              </v:line>
            </w:pict>
          </mc:Fallback>
        </mc:AlternateContent>
      </w:r>
      <w:r>
        <w:rPr>
          <w:rFonts w:ascii="Times New Roman" w:hAnsi="Times New Roman"/>
        </w:rPr>
        <w:drawing>
          <wp:inline distT="0" distB="0" distL="114300" distR="114300">
            <wp:extent cx="5830570" cy="4210050"/>
            <wp:effectExtent l="0" t="0" r="1778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5"/>
                    <a:stretch>
                      <a:fillRect/>
                    </a:stretch>
                  </pic:blipFill>
                  <pic:spPr>
                    <a:xfrm>
                      <a:off x="0" y="0"/>
                      <a:ext cx="5830570" cy="4210050"/>
                    </a:xfrm>
                    <a:prstGeom prst="rect">
                      <a:avLst/>
                    </a:prstGeom>
                    <a:noFill/>
                    <a:ln>
                      <a:noFill/>
                    </a:ln>
                  </pic:spPr>
                </pic:pic>
              </a:graphicData>
            </a:graphic>
          </wp:inline>
        </w:drawing>
      </w:r>
    </w:p>
    <w:p>
      <w:pPr>
        <w:jc w:val="center"/>
        <w:rPr>
          <w:rFonts w:hint="default" w:ascii="Times New Roman" w:hAnsi="Times New Roman" w:eastAsiaTheme="minorEastAsia"/>
          <w:b/>
          <w:bCs/>
          <w:sz w:val="21"/>
          <w:szCs w:val="21"/>
          <w:lang w:val="en-US" w:eastAsia="zh-CN"/>
        </w:rPr>
      </w:pPr>
      <w:r>
        <w:rPr>
          <w:rFonts w:hint="eastAsia" w:ascii="Times New Roman" w:hAnsi="Times New Roman"/>
          <w:b/>
          <w:bCs/>
          <w:sz w:val="21"/>
          <w:szCs w:val="21"/>
          <w:lang w:eastAsia="zh-CN"/>
        </w:rPr>
        <w:t>图</w:t>
      </w:r>
      <w:r>
        <w:rPr>
          <w:rFonts w:hint="eastAsia" w:ascii="Times New Roman" w:hAnsi="Times New Roman"/>
          <w:b/>
          <w:bCs/>
          <w:sz w:val="21"/>
          <w:szCs w:val="21"/>
          <w:lang w:val="en-US" w:eastAsia="zh-CN"/>
        </w:rPr>
        <w:t>4.2-1  渗滤液收集管道布置图</w:t>
      </w:r>
    </w:p>
    <w:p>
      <w:pPr>
        <w:keepNext/>
        <w:keepLines/>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Times New Roman" w:hAnsi="Times New Roman"/>
          <w:color w:val="auto"/>
          <w:sz w:val="24"/>
          <w:szCs w:val="24"/>
          <w:lang w:val="en-US" w:eastAsia="zh-CN"/>
        </w:rPr>
      </w:pPr>
      <w:bookmarkStart w:id="36" w:name="_Toc8337"/>
      <w:r>
        <w:rPr>
          <w:rFonts w:hint="eastAsia" w:ascii="Times New Roman" w:hAnsi="Times New Roman"/>
          <w:color w:val="auto"/>
          <w:sz w:val="24"/>
          <w:szCs w:val="24"/>
          <w:lang w:val="en-US" w:eastAsia="zh-CN"/>
        </w:rPr>
        <w:t>本项目实际运营过程中，实际运行中，采用集中收集的方式，渗滤液收集采用场底导渗盲沟的方式，填埋区场底渗滤液导排系统由场底导流层、导排盲沟、集水井组成。在对场底进行平整后敷设500mm厚的碎石导流层，在导流层内构建纵横交错的主盲沟和次盲沟。主盲沟沿基底构建的主脊线布置，以2%的坡度倾向渗滤液竖井，盲沟内安装DN400 HDPE 穿孔管；次盲沟沿主盲沟两侧布置，与主盲沟交错形成鱼鳞状导排体系，盲沟内安装DN200 HDPE 穿孔管，渗滤液收集管线最终汇入1座集水井，用泵抽入垃圾填埋场污水处理站处理，1座集水井满足渗滤液收集要求。</w:t>
      </w:r>
    </w:p>
    <w:p>
      <w:pPr>
        <w:pStyle w:val="7"/>
        <w:pageBreakBefore w:val="0"/>
        <w:widowControl w:val="0"/>
        <w:kinsoku/>
        <w:wordWrap/>
        <w:overflowPunct/>
        <w:topLinePunct w:val="0"/>
        <w:autoSpaceDE/>
        <w:autoSpaceDN/>
        <w:bidi w:val="0"/>
        <w:adjustRightInd/>
        <w:snapToGrid/>
        <w:spacing w:line="360" w:lineRule="auto"/>
        <w:textAlignment w:val="auto"/>
        <w:rPr>
          <w:rFonts w:ascii="Times New Roman" w:hAnsi="Times New Roman"/>
          <w:color w:val="auto"/>
          <w:szCs w:val="24"/>
        </w:rPr>
      </w:pPr>
      <w:r>
        <w:rPr>
          <w:rFonts w:ascii="Times New Roman" w:hAnsi="Times New Roman"/>
          <w:color w:val="auto"/>
          <w:szCs w:val="24"/>
        </w:rPr>
        <w:t>4.</w:t>
      </w:r>
      <w:r>
        <w:rPr>
          <w:rFonts w:hint="eastAsia" w:ascii="Times New Roman" w:hAnsi="Times New Roman"/>
          <w:color w:val="auto"/>
          <w:szCs w:val="24"/>
          <w:lang w:val="en-US" w:eastAsia="zh-CN"/>
        </w:rPr>
        <w:t>2</w:t>
      </w:r>
      <w:r>
        <w:rPr>
          <w:rFonts w:ascii="Times New Roman" w:hAnsi="Times New Roman"/>
          <w:color w:val="auto"/>
          <w:szCs w:val="24"/>
        </w:rPr>
        <w:t>.2</w:t>
      </w:r>
      <w:r>
        <w:rPr>
          <w:rFonts w:hint="eastAsia" w:ascii="Times New Roman" w:hAnsi="Times New Roman"/>
          <w:color w:val="auto"/>
          <w:szCs w:val="24"/>
        </w:rPr>
        <w:t>废气</w:t>
      </w:r>
      <w:bookmarkEnd w:id="34"/>
      <w:bookmarkEnd w:id="35"/>
      <w:bookmarkEnd w:id="36"/>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color w:val="auto"/>
          <w:lang w:eastAsia="zh-CN"/>
        </w:rPr>
      </w:pPr>
      <w:r>
        <w:rPr>
          <w:rFonts w:hint="eastAsia" w:ascii="Times New Roman" w:hAnsi="Times New Roman"/>
          <w:color w:val="auto"/>
        </w:rPr>
        <w:t>本项目</w:t>
      </w:r>
      <w:r>
        <w:rPr>
          <w:rFonts w:hint="eastAsia" w:ascii="Times New Roman" w:hAnsi="Times New Roman"/>
          <w:color w:val="auto"/>
          <w:lang w:eastAsia="zh-CN"/>
        </w:rPr>
        <w:t>主要填埋的一般固废为轻度污染土壤，因此在填埋过程中会产生粉尘以及汽车运输固废带来的道路扬尘和汽车尾气。</w:t>
      </w:r>
    </w:p>
    <w:p>
      <w:pPr>
        <w:pStyle w:val="149"/>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cs="宋体"/>
          <w:color w:val="auto"/>
        </w:rPr>
      </w:pPr>
      <w:r>
        <w:rPr>
          <w:rFonts w:hint="eastAsia" w:ascii="Times New Roman" w:hAnsi="Times New Roman" w:eastAsia="宋体" w:cs="宋体"/>
          <w:color w:val="auto"/>
        </w:rPr>
        <w:t>项目填埋作业采取单元作业，并在填埋</w:t>
      </w:r>
      <w:r>
        <w:rPr>
          <w:rFonts w:hint="eastAsia" w:ascii="Times New Roman" w:hAnsi="Times New Roman" w:eastAsia="宋体" w:cs="宋体"/>
          <w:color w:val="auto"/>
          <w:lang w:eastAsia="zh-CN"/>
        </w:rPr>
        <w:t>作业面覆盖防尘网</w:t>
      </w:r>
      <w:r>
        <w:rPr>
          <w:rFonts w:hint="eastAsia" w:ascii="Times New Roman" w:hAnsi="Times New Roman" w:eastAsia="宋体" w:cs="宋体"/>
          <w:color w:val="auto"/>
        </w:rPr>
        <w:t>，</w:t>
      </w:r>
      <w:r>
        <w:rPr>
          <w:rFonts w:hint="eastAsia" w:ascii="Times New Roman" w:hAnsi="Times New Roman" w:eastAsia="宋体" w:cs="宋体"/>
          <w:color w:val="auto"/>
          <w:lang w:eastAsia="zh-CN"/>
        </w:rPr>
        <w:t>填埋作业时洒水抑尘，</w:t>
      </w:r>
      <w:r>
        <w:rPr>
          <w:rFonts w:hint="eastAsia" w:ascii="Times New Roman" w:hAnsi="Times New Roman" w:eastAsia="宋体" w:cs="宋体"/>
          <w:color w:val="auto"/>
        </w:rPr>
        <w:t>为防止轻质固废在风较大时逸散造成二次污染，填埋</w:t>
      </w:r>
      <w:r>
        <w:rPr>
          <w:rFonts w:hint="eastAsia" w:ascii="Times New Roman" w:hAnsi="Times New Roman" w:eastAsia="宋体" w:cs="宋体"/>
          <w:color w:val="auto"/>
          <w:lang w:eastAsia="zh-CN"/>
        </w:rPr>
        <w:t>至设计高度时</w:t>
      </w:r>
      <w:r>
        <w:rPr>
          <w:rFonts w:hint="eastAsia" w:ascii="Times New Roman" w:hAnsi="Times New Roman" w:eastAsia="宋体" w:cs="宋体"/>
          <w:color w:val="auto"/>
        </w:rPr>
        <w:t>及时覆土，防治轻质垃圾影响填埋区外环境。同时，填埋固体废物要轻卸，严禁凌空抛洒，以免扬尘产生，装卸填埋固体废物易产生扬尘的车辆应覆盖篷布，避免风力造成烟尘，减少物料流失，防治渣土跑、冒、撒、露等污染环境。所有临时堆放的多尘物料如土方等均用帆布覆盖，防止干燥而产生</w:t>
      </w:r>
      <w:r>
        <w:rPr>
          <w:rFonts w:hint="eastAsia" w:ascii="Times New Roman" w:hAnsi="Times New Roman" w:eastAsia="宋体" w:cs="宋体"/>
          <w:color w:val="auto"/>
          <w:lang w:eastAsia="zh-CN"/>
        </w:rPr>
        <w:t>扬</w:t>
      </w:r>
      <w:r>
        <w:rPr>
          <w:rFonts w:hint="eastAsia" w:ascii="Times New Roman" w:hAnsi="Times New Roman" w:eastAsia="宋体" w:cs="宋体"/>
          <w:color w:val="auto"/>
        </w:rPr>
        <w:t>尘。场地要定期洒水、防治</w:t>
      </w:r>
      <w:r>
        <w:rPr>
          <w:rFonts w:hint="eastAsia" w:ascii="Times New Roman" w:hAnsi="Times New Roman" w:eastAsia="宋体" w:cs="宋体"/>
          <w:color w:val="auto"/>
          <w:lang w:eastAsia="zh-CN"/>
        </w:rPr>
        <w:t>扬</w:t>
      </w:r>
      <w:r>
        <w:rPr>
          <w:rFonts w:hint="eastAsia" w:ascii="Times New Roman" w:hAnsi="Times New Roman" w:eastAsia="宋体" w:cs="宋体"/>
          <w:color w:val="auto"/>
        </w:rPr>
        <w:t>尘，在大风大气加大洒水量及洒水次数。运输车辆进入填埋场应低速行驶，减少产尘量。</w:t>
      </w:r>
    </w:p>
    <w:p>
      <w:pPr>
        <w:pStyle w:val="149"/>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cs="宋体"/>
          <w:color w:val="auto"/>
        </w:rPr>
      </w:pPr>
      <w:r>
        <w:rPr>
          <w:rFonts w:hint="eastAsia" w:ascii="Times New Roman" w:hAnsi="Times New Roman" w:eastAsia="宋体" w:cs="宋体"/>
          <w:color w:val="auto"/>
        </w:rPr>
        <w:t>道路运输车辆产生一定的道路扬尘，道路基本为硬化路面，通过控制车速</w:t>
      </w:r>
      <w:r>
        <w:rPr>
          <w:rFonts w:hint="eastAsia" w:ascii="Times New Roman" w:hAnsi="Times New Roman" w:eastAsia="宋体" w:cs="宋体"/>
          <w:color w:val="auto"/>
          <w:lang w:eastAsia="zh-CN"/>
        </w:rPr>
        <w:t>、道路清扫</w:t>
      </w:r>
      <w:r>
        <w:rPr>
          <w:rFonts w:hint="eastAsia" w:ascii="Times New Roman" w:hAnsi="Times New Roman" w:eastAsia="宋体" w:cs="宋体"/>
          <w:color w:val="auto"/>
        </w:rPr>
        <w:t>及洒水降尘以降低污染。</w:t>
      </w:r>
    </w:p>
    <w:p>
      <w:pPr>
        <w:pStyle w:val="7"/>
        <w:pageBreakBefore w:val="0"/>
        <w:widowControl w:val="0"/>
        <w:kinsoku/>
        <w:wordWrap/>
        <w:overflowPunct/>
        <w:topLinePunct w:val="0"/>
        <w:autoSpaceDE/>
        <w:autoSpaceDN/>
        <w:bidi w:val="0"/>
        <w:adjustRightInd/>
        <w:snapToGrid/>
        <w:spacing w:line="360" w:lineRule="auto"/>
        <w:textAlignment w:val="auto"/>
        <w:rPr>
          <w:rFonts w:ascii="Times New Roman" w:hAnsi="Times New Roman"/>
          <w:color w:val="auto"/>
        </w:rPr>
      </w:pPr>
      <w:bookmarkStart w:id="37" w:name="_Toc28422"/>
      <w:bookmarkStart w:id="38" w:name="_Toc48659614"/>
      <w:bookmarkStart w:id="39" w:name="_Toc53501994"/>
      <w:r>
        <w:rPr>
          <w:rFonts w:ascii="Times New Roman" w:hAnsi="Times New Roman"/>
          <w:color w:val="auto"/>
        </w:rPr>
        <w:t>4.</w:t>
      </w:r>
      <w:r>
        <w:rPr>
          <w:rFonts w:hint="eastAsia" w:ascii="Times New Roman" w:hAnsi="Times New Roman"/>
          <w:color w:val="auto"/>
          <w:lang w:val="en-US" w:eastAsia="zh-CN"/>
        </w:rPr>
        <w:t>2</w:t>
      </w:r>
      <w:r>
        <w:rPr>
          <w:rFonts w:ascii="Times New Roman" w:hAnsi="Times New Roman"/>
          <w:color w:val="auto"/>
        </w:rPr>
        <w:t>.3</w:t>
      </w:r>
      <w:r>
        <w:rPr>
          <w:rFonts w:hint="eastAsia" w:ascii="Times New Roman" w:hAnsi="Times New Roman"/>
          <w:color w:val="auto"/>
        </w:rPr>
        <w:t>噪声</w:t>
      </w:r>
      <w:bookmarkEnd w:id="37"/>
      <w:bookmarkEnd w:id="38"/>
      <w:bookmarkEnd w:id="39"/>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color w:val="auto"/>
          <w:sz w:val="24"/>
        </w:rPr>
      </w:pPr>
      <w:r>
        <w:rPr>
          <w:rFonts w:hint="eastAsia" w:ascii="Times New Roman" w:hAnsi="Times New Roman" w:eastAsia="宋体" w:cs="宋体"/>
          <w:color w:val="auto"/>
          <w:sz w:val="24"/>
        </w:rPr>
        <w:t>工程运行期主要是压实机、</w:t>
      </w:r>
      <w:r>
        <w:rPr>
          <w:rFonts w:hint="eastAsia" w:ascii="Times New Roman" w:hAnsi="Times New Roman" w:eastAsia="宋体" w:cs="宋体"/>
          <w:color w:val="auto"/>
          <w:sz w:val="24"/>
          <w:lang w:eastAsia="zh-CN"/>
        </w:rPr>
        <w:t>推土机、挖掘机、</w:t>
      </w:r>
      <w:r>
        <w:rPr>
          <w:rFonts w:hint="eastAsia" w:ascii="Times New Roman" w:hAnsi="Times New Roman" w:eastAsia="宋体" w:cs="宋体"/>
          <w:color w:val="auto"/>
          <w:sz w:val="24"/>
        </w:rPr>
        <w:t>装载机等，各机械设备运行时在5m处噪声源强值约为80~85dB(A)。以及来往运输车辆交通噪声。</w:t>
      </w:r>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color w:val="auto"/>
          <w:sz w:val="24"/>
        </w:rPr>
      </w:pPr>
      <w:r>
        <w:rPr>
          <w:rFonts w:hint="eastAsia" w:ascii="Times New Roman" w:hAnsi="Times New Roman" w:eastAsia="宋体" w:cs="宋体"/>
          <w:color w:val="auto"/>
          <w:sz w:val="24"/>
        </w:rPr>
        <w:t>对于填埋作业机械噪声防治，设计中首先采用了低噪声设备，运行中通过加强车辆运输管理以降低噪声，同时在场区及周围进行带状绿化，加强作业工人的劳动防护。针对来往运输车辆，加强管理，禁止鸣笛。</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color w:val="auto"/>
          <w:sz w:val="24"/>
        </w:rPr>
      </w:pPr>
      <w:r>
        <w:rPr>
          <w:rFonts w:hint="eastAsia" w:ascii="Times New Roman" w:hAnsi="Times New Roman" w:eastAsia="宋体" w:cs="宋体"/>
          <w:color w:val="auto"/>
          <w:sz w:val="24"/>
        </w:rPr>
        <w:t>进场道路交通噪声相对外环境较开阔，周边环境不敏感，不会给环境带来不利影响。</w:t>
      </w:r>
    </w:p>
    <w:p>
      <w:pPr>
        <w:pStyle w:val="7"/>
        <w:pageBreakBefore w:val="0"/>
        <w:widowControl w:val="0"/>
        <w:kinsoku/>
        <w:wordWrap/>
        <w:overflowPunct/>
        <w:topLinePunct w:val="0"/>
        <w:autoSpaceDE/>
        <w:autoSpaceDN/>
        <w:bidi w:val="0"/>
        <w:adjustRightInd/>
        <w:snapToGrid/>
        <w:spacing w:line="360" w:lineRule="auto"/>
        <w:textAlignment w:val="auto"/>
        <w:rPr>
          <w:rFonts w:ascii="Times New Roman" w:hAnsi="Times New Roman"/>
          <w:color w:val="auto"/>
        </w:rPr>
      </w:pPr>
      <w:bookmarkStart w:id="40" w:name="_Toc13564"/>
      <w:bookmarkStart w:id="41" w:name="_Toc48659615"/>
      <w:bookmarkStart w:id="42" w:name="_Toc53501995"/>
      <w:r>
        <w:rPr>
          <w:rFonts w:hint="eastAsia" w:ascii="Times New Roman" w:hAnsi="Times New Roman"/>
          <w:color w:val="auto"/>
        </w:rPr>
        <w:t>4</w:t>
      </w:r>
      <w:r>
        <w:rPr>
          <w:rFonts w:ascii="Times New Roman" w:hAnsi="Times New Roman"/>
          <w:color w:val="auto"/>
        </w:rPr>
        <w:t>.</w:t>
      </w:r>
      <w:r>
        <w:rPr>
          <w:rFonts w:hint="eastAsia" w:ascii="Times New Roman" w:hAnsi="Times New Roman"/>
          <w:color w:val="auto"/>
          <w:lang w:val="en-US" w:eastAsia="zh-CN"/>
        </w:rPr>
        <w:t>2</w:t>
      </w:r>
      <w:r>
        <w:rPr>
          <w:rFonts w:ascii="Times New Roman" w:hAnsi="Times New Roman"/>
          <w:color w:val="auto"/>
        </w:rPr>
        <w:t>.4固体废物</w:t>
      </w:r>
      <w:bookmarkEnd w:id="40"/>
      <w:bookmarkEnd w:id="41"/>
      <w:bookmarkEnd w:id="42"/>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color w:val="auto"/>
        </w:rPr>
      </w:pPr>
      <w:bookmarkStart w:id="43" w:name="_Toc507454871"/>
      <w:r>
        <w:rPr>
          <w:rFonts w:hint="eastAsia"/>
          <w:color w:val="auto"/>
          <w:lang w:eastAsia="zh-CN"/>
        </w:rPr>
        <w:t>由于项目不设管理区，无人居住，不产生生活垃圾</w:t>
      </w:r>
      <w:r>
        <w:rPr>
          <w:rFonts w:hint="eastAsia" w:ascii="Times New Roman" w:hAnsi="Times New Roman"/>
          <w:color w:val="auto"/>
        </w:rPr>
        <w:t>。</w:t>
      </w:r>
    </w:p>
    <w:bookmarkEnd w:id="43"/>
    <w:p>
      <w:pPr>
        <w:pStyle w:val="6"/>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color w:val="auto"/>
        </w:rPr>
      </w:pPr>
      <w:bookmarkStart w:id="44" w:name="_Toc9352"/>
      <w:bookmarkStart w:id="45" w:name="_Toc23932245"/>
      <w:r>
        <w:rPr>
          <w:rFonts w:hint="eastAsia" w:ascii="Times New Roman" w:hAnsi="Times New Roman"/>
          <w:color w:val="auto"/>
        </w:rPr>
        <w:t>4</w:t>
      </w:r>
      <w:r>
        <w:rPr>
          <w:rFonts w:ascii="Times New Roman" w:hAnsi="Times New Roman"/>
          <w:color w:val="auto"/>
        </w:rPr>
        <w:t>.</w:t>
      </w:r>
      <w:r>
        <w:rPr>
          <w:rFonts w:hint="eastAsia" w:ascii="Times New Roman" w:hAnsi="Times New Roman"/>
          <w:color w:val="auto"/>
          <w:lang w:val="en-US" w:eastAsia="zh-CN"/>
        </w:rPr>
        <w:t>3</w:t>
      </w:r>
      <w:r>
        <w:rPr>
          <w:rFonts w:hint="eastAsia" w:ascii="Times New Roman" w:hAnsi="Times New Roman"/>
          <w:color w:val="auto"/>
        </w:rPr>
        <w:t>其他环境保护设施</w:t>
      </w:r>
      <w:bookmarkEnd w:id="44"/>
    </w:p>
    <w:p>
      <w:pPr>
        <w:pStyle w:val="7"/>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color w:val="auto"/>
          <w:sz w:val="24"/>
          <w:szCs w:val="24"/>
          <w:lang w:eastAsia="zh-CN"/>
        </w:rPr>
      </w:pPr>
      <w:bookmarkStart w:id="46" w:name="_Toc50620031"/>
      <w:bookmarkStart w:id="47" w:name="_Toc53501997"/>
      <w:bookmarkStart w:id="48" w:name="_Toc20814"/>
      <w:r>
        <w:rPr>
          <w:rFonts w:hint="eastAsia" w:ascii="Times New Roman" w:hAnsi="Times New Roman"/>
          <w:color w:val="auto"/>
          <w:sz w:val="24"/>
          <w:szCs w:val="24"/>
        </w:rPr>
        <w:t>4.</w:t>
      </w:r>
      <w:r>
        <w:rPr>
          <w:rFonts w:hint="eastAsia" w:ascii="Times New Roman" w:hAnsi="Times New Roman"/>
          <w:color w:val="auto"/>
          <w:sz w:val="24"/>
          <w:szCs w:val="24"/>
          <w:lang w:val="en-US" w:eastAsia="zh-CN"/>
        </w:rPr>
        <w:t>3</w:t>
      </w:r>
      <w:r>
        <w:rPr>
          <w:rFonts w:hint="eastAsia" w:ascii="Times New Roman" w:hAnsi="Times New Roman"/>
          <w:color w:val="auto"/>
          <w:sz w:val="24"/>
          <w:szCs w:val="24"/>
        </w:rPr>
        <w:t>.1</w:t>
      </w:r>
      <w:bookmarkEnd w:id="46"/>
      <w:bookmarkEnd w:id="47"/>
      <w:r>
        <w:rPr>
          <w:rFonts w:hint="eastAsia" w:ascii="Times New Roman" w:hAnsi="Times New Roman"/>
          <w:color w:val="auto"/>
          <w:sz w:val="24"/>
          <w:szCs w:val="24"/>
          <w:lang w:eastAsia="zh-CN"/>
        </w:rPr>
        <w:t>地下水防治措施</w:t>
      </w:r>
      <w:bookmarkEnd w:id="48"/>
    </w:p>
    <w:p>
      <w:pPr>
        <w:spacing w:line="360" w:lineRule="auto"/>
        <w:ind w:firstLine="560"/>
        <w:rPr>
          <w:rFonts w:hint="eastAsia" w:ascii="Times New Roman" w:hAnsi="Times New Roman" w:eastAsia="宋体" w:cs="宋体"/>
          <w:b w:val="0"/>
          <w:bCs w:val="0"/>
          <w:color w:val="auto"/>
          <w:sz w:val="24"/>
          <w:szCs w:val="24"/>
          <w:lang w:val="en-US" w:eastAsia="zh-CN"/>
        </w:rPr>
      </w:pPr>
      <w:r>
        <w:rPr>
          <w:rFonts w:hint="eastAsia" w:ascii="Times New Roman" w:hAnsi="Times New Roman" w:eastAsia="宋体" w:cs="宋体"/>
          <w:b w:val="0"/>
          <w:bCs w:val="0"/>
          <w:color w:val="auto"/>
          <w:sz w:val="24"/>
          <w:szCs w:val="24"/>
          <w:lang w:val="en-US" w:eastAsia="zh-CN"/>
        </w:rPr>
        <w:t>（1）分区防渗</w:t>
      </w:r>
    </w:p>
    <w:p>
      <w:pPr>
        <w:spacing w:line="360" w:lineRule="auto"/>
        <w:ind w:firstLine="560"/>
        <w:rPr>
          <w:rFonts w:hint="eastAsia" w:ascii="Times New Roman" w:hAnsi="Times New Roman" w:eastAsia="宋体" w:cs="宋体"/>
          <w:color w:val="auto"/>
          <w:sz w:val="24"/>
          <w:szCs w:val="24"/>
        </w:rPr>
      </w:pPr>
      <w:r>
        <w:rPr>
          <w:rFonts w:hint="eastAsia" w:ascii="Times New Roman" w:hAnsi="Times New Roman" w:eastAsia="宋体" w:cs="宋体"/>
          <w:color w:val="auto"/>
          <w:sz w:val="24"/>
          <w:szCs w:val="24"/>
        </w:rPr>
        <w:t>根据</w:t>
      </w:r>
      <w:r>
        <w:rPr>
          <w:rFonts w:hint="eastAsia" w:ascii="Times New Roman" w:hAnsi="Times New Roman" w:eastAsia="宋体" w:cs="宋体"/>
          <w:color w:val="auto"/>
          <w:sz w:val="24"/>
          <w:szCs w:val="24"/>
          <w:lang w:eastAsia="zh-CN"/>
        </w:rPr>
        <w:t>场区</w:t>
      </w:r>
      <w:r>
        <w:rPr>
          <w:rFonts w:hint="eastAsia" w:ascii="Times New Roman" w:hAnsi="Times New Roman" w:eastAsia="宋体" w:cs="宋体"/>
          <w:color w:val="auto"/>
          <w:sz w:val="24"/>
          <w:szCs w:val="24"/>
        </w:rPr>
        <w:t>可能产生污染的地区，划分为重点污染防渗区、一般污染防渗区和简单污染防渗区。对厂区可能泄漏污染物地面进行防渗处理，可有效防治污染物渗入地下，并及时地将泄漏/渗漏的污染物收集并进行集中处理。</w:t>
      </w:r>
    </w:p>
    <w:p>
      <w:pPr>
        <w:keepNext w:val="0"/>
        <w:keepLines w:val="0"/>
        <w:pageBreakBefore w:val="0"/>
        <w:widowControl w:val="0"/>
        <w:kinsoku/>
        <w:wordWrap/>
        <w:overflowPunct/>
        <w:topLinePunct w:val="0"/>
        <w:autoSpaceDE/>
        <w:autoSpaceDN/>
        <w:bidi w:val="0"/>
        <w:adjustRightInd/>
        <w:snapToGrid/>
        <w:spacing w:line="360" w:lineRule="auto"/>
        <w:ind w:firstLine="560"/>
        <w:textAlignment w:val="auto"/>
        <w:rPr>
          <w:rFonts w:hint="eastAsia" w:ascii="Times New Roman" w:hAnsi="Times New Roman" w:eastAsia="宋体" w:cs="宋体"/>
          <w:color w:val="auto"/>
          <w:sz w:val="24"/>
          <w:szCs w:val="24"/>
        </w:rPr>
      </w:pPr>
      <w:r>
        <w:rPr>
          <w:rFonts w:hint="eastAsia" w:ascii="Times New Roman" w:hAnsi="Times New Roman" w:eastAsia="宋体" w:cs="宋体"/>
          <w:color w:val="auto"/>
          <w:sz w:val="24"/>
          <w:szCs w:val="24"/>
        </w:rPr>
        <w:t>重点防渗区：防渗层需满足</w:t>
      </w:r>
      <w:r>
        <w:rPr>
          <w:rFonts w:hint="eastAsia" w:ascii="Times New Roman" w:hAnsi="Times New Roman" w:eastAsia="宋体" w:cs="宋体"/>
          <w:color w:val="auto"/>
          <w:sz w:val="24"/>
          <w:szCs w:val="24"/>
          <w:lang w:eastAsia="zh-CN"/>
        </w:rPr>
        <w:t>天然或人工防渗材料的渗透系数不大于</w:t>
      </w:r>
      <w:r>
        <w:rPr>
          <w:rFonts w:hint="eastAsia" w:ascii="Times New Roman" w:hAnsi="Times New Roman" w:eastAsia="宋体" w:cs="宋体"/>
          <w:color w:val="auto"/>
          <w:sz w:val="24"/>
          <w:szCs w:val="24"/>
        </w:rPr>
        <w:t>1.0×10</w:t>
      </w:r>
      <w:r>
        <w:rPr>
          <w:rFonts w:hint="eastAsia" w:ascii="Times New Roman" w:hAnsi="Times New Roman" w:eastAsia="宋体" w:cs="宋体"/>
          <w:color w:val="auto"/>
          <w:sz w:val="24"/>
          <w:szCs w:val="24"/>
          <w:vertAlign w:val="superscript"/>
        </w:rPr>
        <w:t>-7</w:t>
      </w:r>
      <w:r>
        <w:rPr>
          <w:rFonts w:hint="eastAsia" w:ascii="Times New Roman" w:hAnsi="Times New Roman" w:eastAsia="宋体" w:cs="宋体"/>
          <w:color w:val="auto"/>
          <w:sz w:val="24"/>
          <w:szCs w:val="24"/>
        </w:rPr>
        <w:t>cm/s</w:t>
      </w:r>
      <w:r>
        <w:rPr>
          <w:rFonts w:hint="eastAsia" w:ascii="Times New Roman" w:hAnsi="Times New Roman" w:eastAsia="宋体" w:cs="宋体"/>
          <w:color w:val="auto"/>
          <w:sz w:val="24"/>
          <w:szCs w:val="24"/>
          <w:lang w:eastAsia="zh-CN"/>
        </w:rPr>
        <w:t>，并</w:t>
      </w:r>
      <w:r>
        <w:rPr>
          <w:rFonts w:hint="eastAsia" w:ascii="Times New Roman" w:hAnsi="Times New Roman" w:eastAsia="宋体" w:cs="宋体"/>
          <w:color w:val="auto"/>
          <w:sz w:val="24"/>
          <w:szCs w:val="24"/>
        </w:rPr>
        <w:t>参照《</w:t>
      </w:r>
      <w:r>
        <w:rPr>
          <w:rFonts w:hint="eastAsia" w:ascii="Times New Roman" w:hAnsi="Times New Roman" w:eastAsia="宋体" w:cs="宋体"/>
          <w:color w:val="auto"/>
          <w:sz w:val="24"/>
          <w:szCs w:val="24"/>
          <w:lang w:eastAsia="zh-CN"/>
        </w:rPr>
        <w:t>一般工业固体废弃物储存、处置场污染</w:t>
      </w:r>
      <w:r>
        <w:rPr>
          <w:rFonts w:hint="eastAsia" w:ascii="Times New Roman" w:hAnsi="Times New Roman" w:eastAsia="宋体" w:cs="宋体"/>
          <w:color w:val="auto"/>
          <w:sz w:val="24"/>
          <w:szCs w:val="24"/>
        </w:rPr>
        <w:t>控制标准》（GB1859</w:t>
      </w:r>
      <w:r>
        <w:rPr>
          <w:rFonts w:hint="eastAsia" w:ascii="Times New Roman" w:hAnsi="Times New Roman" w:eastAsia="宋体" w:cs="宋体"/>
          <w:color w:val="auto"/>
          <w:sz w:val="24"/>
          <w:szCs w:val="24"/>
          <w:lang w:val="en-US" w:eastAsia="zh-CN"/>
        </w:rPr>
        <w:t>9</w:t>
      </w:r>
      <w:r>
        <w:rPr>
          <w:rFonts w:hint="eastAsia" w:ascii="Times New Roman" w:hAnsi="Times New Roman" w:eastAsia="宋体" w:cs="宋体"/>
          <w:color w:val="auto"/>
          <w:sz w:val="24"/>
          <w:szCs w:val="24"/>
        </w:rPr>
        <w:t>-2001）</w:t>
      </w:r>
      <w:r>
        <w:rPr>
          <w:rFonts w:hint="eastAsia" w:ascii="Times New Roman" w:hAnsi="Times New Roman" w:eastAsia="宋体" w:cs="宋体"/>
          <w:color w:val="auto"/>
          <w:sz w:val="24"/>
          <w:szCs w:val="24"/>
          <w:lang w:eastAsia="zh-CN"/>
        </w:rPr>
        <w:t>（</w:t>
      </w:r>
      <w:r>
        <w:rPr>
          <w:rFonts w:hint="eastAsia" w:ascii="Times New Roman" w:hAnsi="Times New Roman" w:eastAsia="宋体" w:cs="宋体"/>
          <w:color w:val="auto"/>
          <w:sz w:val="24"/>
          <w:szCs w:val="24"/>
          <w:lang w:val="en-US" w:eastAsia="zh-CN"/>
        </w:rPr>
        <w:t>2013年修订</w:t>
      </w:r>
      <w:r>
        <w:rPr>
          <w:rFonts w:hint="eastAsia" w:ascii="Times New Roman" w:hAnsi="Times New Roman" w:eastAsia="宋体" w:cs="宋体"/>
          <w:color w:val="auto"/>
          <w:sz w:val="24"/>
          <w:szCs w:val="24"/>
          <w:lang w:eastAsia="zh-CN"/>
        </w:rPr>
        <w:t>）和《化工废渣填埋场设计规定》（</w:t>
      </w:r>
      <w:r>
        <w:rPr>
          <w:rFonts w:hint="eastAsia" w:ascii="Times New Roman" w:hAnsi="Times New Roman" w:eastAsia="宋体" w:cs="宋体"/>
          <w:color w:val="auto"/>
          <w:sz w:val="24"/>
          <w:szCs w:val="24"/>
          <w:lang w:val="en-US" w:eastAsia="zh-CN"/>
        </w:rPr>
        <w:t>HG20504-92</w:t>
      </w:r>
      <w:r>
        <w:rPr>
          <w:rFonts w:hint="eastAsia" w:ascii="Times New Roman" w:hAnsi="Times New Roman" w:eastAsia="宋体" w:cs="宋体"/>
          <w:color w:val="auto"/>
          <w:sz w:val="24"/>
          <w:szCs w:val="24"/>
          <w:lang w:eastAsia="zh-CN"/>
        </w:rPr>
        <w:t>）</w:t>
      </w:r>
      <w:r>
        <w:rPr>
          <w:rFonts w:hint="eastAsia" w:ascii="Times New Roman" w:hAnsi="Times New Roman" w:eastAsia="宋体" w:cs="宋体"/>
          <w:color w:val="auto"/>
          <w:sz w:val="24"/>
          <w:szCs w:val="24"/>
        </w:rPr>
        <w:t>中对防渗层的要求。</w:t>
      </w:r>
    </w:p>
    <w:p>
      <w:pPr>
        <w:keepNext w:val="0"/>
        <w:keepLines w:val="0"/>
        <w:pageBreakBefore w:val="0"/>
        <w:widowControl w:val="0"/>
        <w:kinsoku/>
        <w:wordWrap/>
        <w:overflowPunct/>
        <w:topLinePunct w:val="0"/>
        <w:autoSpaceDE/>
        <w:autoSpaceDN/>
        <w:bidi w:val="0"/>
        <w:adjustRightInd/>
        <w:snapToGrid/>
        <w:spacing w:line="360" w:lineRule="auto"/>
        <w:ind w:firstLine="560"/>
        <w:textAlignment w:val="auto"/>
        <w:rPr>
          <w:rFonts w:hint="eastAsia" w:ascii="Times New Roman" w:hAnsi="Times New Roman" w:eastAsia="宋体" w:cs="宋体"/>
          <w:color w:val="auto"/>
          <w:sz w:val="24"/>
          <w:szCs w:val="24"/>
        </w:rPr>
      </w:pPr>
      <w:r>
        <w:rPr>
          <w:rFonts w:hint="eastAsia" w:ascii="Times New Roman" w:hAnsi="Times New Roman" w:eastAsia="宋体" w:cs="宋体"/>
          <w:color w:val="auto"/>
          <w:sz w:val="24"/>
          <w:szCs w:val="24"/>
        </w:rPr>
        <w:t>一般防渗区：做一般地面硬化处理。</w:t>
      </w:r>
    </w:p>
    <w:p>
      <w:pPr>
        <w:keepNext w:val="0"/>
        <w:keepLines w:val="0"/>
        <w:pageBreakBefore w:val="0"/>
        <w:widowControl w:val="0"/>
        <w:kinsoku/>
        <w:wordWrap/>
        <w:overflowPunct/>
        <w:topLinePunct w:val="0"/>
        <w:autoSpaceDE/>
        <w:autoSpaceDN/>
        <w:bidi w:val="0"/>
        <w:adjustRightInd/>
        <w:snapToGrid/>
        <w:spacing w:line="360" w:lineRule="auto"/>
        <w:ind w:firstLine="560"/>
        <w:textAlignment w:val="auto"/>
        <w:rPr>
          <w:rFonts w:hint="eastAsia" w:ascii="Times New Roman" w:hAnsi="Times New Roman" w:eastAsia="宋体" w:cs="宋体"/>
          <w:color w:val="auto"/>
          <w:sz w:val="24"/>
          <w:szCs w:val="24"/>
        </w:rPr>
      </w:pPr>
      <w:r>
        <w:rPr>
          <w:rFonts w:hint="eastAsia" w:ascii="Times New Roman" w:hAnsi="Times New Roman" w:eastAsia="宋体" w:cs="宋体"/>
          <w:color w:val="auto"/>
          <w:sz w:val="24"/>
          <w:szCs w:val="24"/>
        </w:rPr>
        <w:t>本项目分区防渗措施如下：分区防渗图见图</w:t>
      </w:r>
      <w:r>
        <w:rPr>
          <w:rFonts w:hint="eastAsia" w:ascii="Times New Roman" w:hAnsi="Times New Roman" w:eastAsia="宋体" w:cs="宋体"/>
          <w:color w:val="auto"/>
          <w:sz w:val="24"/>
          <w:szCs w:val="24"/>
          <w:lang w:val="en-US" w:eastAsia="zh-CN"/>
        </w:rPr>
        <w:t>4.3-1</w:t>
      </w:r>
      <w:r>
        <w:rPr>
          <w:rFonts w:hint="eastAsia" w:ascii="Times New Roman" w:hAnsi="Times New Roman" w:eastAsia="宋体" w:cs="宋体"/>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宋体"/>
          <w:b/>
          <w:bCs/>
          <w:color w:val="auto"/>
          <w:sz w:val="21"/>
          <w:szCs w:val="21"/>
        </w:rPr>
      </w:pPr>
      <w:r>
        <w:rPr>
          <w:rFonts w:hint="eastAsia" w:ascii="Times New Roman" w:hAnsi="Times New Roman" w:eastAsia="宋体" w:cs="宋体"/>
          <w:b/>
          <w:bCs/>
          <w:color w:val="auto"/>
          <w:sz w:val="21"/>
          <w:szCs w:val="21"/>
        </w:rPr>
        <w:t>表</w:t>
      </w:r>
      <w:r>
        <w:rPr>
          <w:rFonts w:hint="eastAsia" w:ascii="Times New Roman" w:hAnsi="Times New Roman" w:eastAsia="宋体" w:cs="宋体"/>
          <w:b/>
          <w:bCs/>
          <w:color w:val="auto"/>
          <w:sz w:val="21"/>
          <w:szCs w:val="21"/>
          <w:lang w:val="en-US" w:eastAsia="zh-CN"/>
        </w:rPr>
        <w:t>4.3-1</w:t>
      </w:r>
      <w:r>
        <w:rPr>
          <w:rFonts w:hint="eastAsia" w:ascii="Times New Roman" w:hAnsi="Times New Roman" w:eastAsia="宋体" w:cs="宋体"/>
          <w:b/>
          <w:bCs/>
          <w:color w:val="auto"/>
          <w:sz w:val="21"/>
          <w:szCs w:val="21"/>
        </w:rPr>
        <w:t xml:space="preserve">  项目污染防治分区情况表</w:t>
      </w:r>
    </w:p>
    <w:tbl>
      <w:tblPr>
        <w:tblStyle w:val="29"/>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704"/>
        <w:gridCol w:w="4821"/>
        <w:gridCol w:w="287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07" w:type="pct"/>
            <w:noWrap w:val="0"/>
            <w:vAlign w:val="center"/>
          </w:tcPr>
          <w:p>
            <w:pPr>
              <w:snapToGrid w:val="0"/>
              <w:spacing w:line="240" w:lineRule="auto"/>
              <w:jc w:val="center"/>
              <w:rPr>
                <w:rFonts w:hint="eastAsia" w:ascii="Times New Roman" w:hAnsi="Times New Roman" w:eastAsia="宋体" w:cs="宋体"/>
                <w:color w:val="auto"/>
                <w:sz w:val="21"/>
                <w:szCs w:val="21"/>
              </w:rPr>
            </w:pPr>
            <w:r>
              <w:rPr>
                <w:rFonts w:hint="eastAsia" w:ascii="Times New Roman" w:hAnsi="Times New Roman" w:eastAsia="宋体" w:cs="宋体"/>
                <w:color w:val="auto"/>
                <w:sz w:val="21"/>
                <w:szCs w:val="21"/>
              </w:rPr>
              <w:t>名称</w:t>
            </w:r>
          </w:p>
        </w:tc>
        <w:tc>
          <w:tcPr>
            <w:tcW w:w="2565" w:type="pct"/>
            <w:noWrap w:val="0"/>
            <w:vAlign w:val="center"/>
          </w:tcPr>
          <w:p>
            <w:pPr>
              <w:snapToGrid w:val="0"/>
              <w:spacing w:line="240" w:lineRule="auto"/>
              <w:jc w:val="center"/>
              <w:rPr>
                <w:rFonts w:hint="eastAsia" w:ascii="Times New Roman" w:hAnsi="Times New Roman" w:eastAsia="宋体" w:cs="宋体"/>
                <w:color w:val="auto"/>
                <w:sz w:val="21"/>
                <w:szCs w:val="21"/>
              </w:rPr>
            </w:pPr>
            <w:r>
              <w:rPr>
                <w:rFonts w:hint="eastAsia" w:ascii="Times New Roman" w:hAnsi="Times New Roman" w:eastAsia="宋体" w:cs="宋体"/>
                <w:color w:val="auto"/>
                <w:sz w:val="21"/>
                <w:szCs w:val="21"/>
              </w:rPr>
              <w:t>范围</w:t>
            </w:r>
          </w:p>
        </w:tc>
        <w:tc>
          <w:tcPr>
            <w:tcW w:w="1527" w:type="pct"/>
            <w:noWrap w:val="0"/>
            <w:vAlign w:val="center"/>
          </w:tcPr>
          <w:p>
            <w:pPr>
              <w:snapToGrid w:val="0"/>
              <w:spacing w:line="240" w:lineRule="auto"/>
              <w:jc w:val="center"/>
              <w:rPr>
                <w:rFonts w:hint="eastAsia" w:ascii="Times New Roman" w:hAnsi="Times New Roman" w:eastAsia="宋体" w:cs="宋体"/>
                <w:color w:val="auto"/>
                <w:sz w:val="21"/>
                <w:szCs w:val="21"/>
              </w:rPr>
            </w:pPr>
            <w:r>
              <w:rPr>
                <w:rFonts w:hint="eastAsia" w:ascii="Times New Roman" w:hAnsi="Times New Roman" w:eastAsia="宋体" w:cs="宋体"/>
                <w:color w:val="auto"/>
                <w:sz w:val="21"/>
                <w:szCs w:val="21"/>
              </w:rPr>
              <w:t>防渗标准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07" w:type="pct"/>
            <w:noWrap w:val="0"/>
            <w:vAlign w:val="center"/>
          </w:tcPr>
          <w:p>
            <w:pPr>
              <w:snapToGrid w:val="0"/>
              <w:spacing w:line="240" w:lineRule="auto"/>
              <w:jc w:val="center"/>
              <w:rPr>
                <w:rFonts w:hint="eastAsia" w:ascii="Times New Roman" w:hAnsi="Times New Roman" w:eastAsia="宋体" w:cs="宋体"/>
                <w:color w:val="auto"/>
                <w:sz w:val="21"/>
                <w:szCs w:val="21"/>
              </w:rPr>
            </w:pPr>
            <w:r>
              <w:rPr>
                <w:rFonts w:hint="eastAsia" w:ascii="Times New Roman" w:hAnsi="Times New Roman" w:eastAsia="宋体" w:cs="宋体"/>
                <w:color w:val="auto"/>
                <w:sz w:val="21"/>
                <w:szCs w:val="21"/>
              </w:rPr>
              <w:t>重点防渗区</w:t>
            </w:r>
          </w:p>
        </w:tc>
        <w:tc>
          <w:tcPr>
            <w:tcW w:w="2565" w:type="pct"/>
            <w:noWrap w:val="0"/>
            <w:vAlign w:val="center"/>
          </w:tcPr>
          <w:p>
            <w:pPr>
              <w:snapToGrid w:val="0"/>
              <w:spacing w:line="240" w:lineRule="auto"/>
              <w:jc w:val="center"/>
              <w:rPr>
                <w:rFonts w:hint="eastAsia" w:ascii="Times New Roman" w:hAnsi="Times New Roman" w:eastAsia="宋体" w:cs="宋体"/>
                <w:color w:val="auto"/>
                <w:sz w:val="21"/>
                <w:szCs w:val="21"/>
              </w:rPr>
            </w:pPr>
            <w:r>
              <w:rPr>
                <w:rFonts w:hint="eastAsia" w:ascii="Times New Roman" w:hAnsi="Times New Roman" w:eastAsia="宋体" w:cs="宋体"/>
                <w:color w:val="auto"/>
                <w:sz w:val="21"/>
                <w:szCs w:val="21"/>
                <w:lang w:eastAsia="zh-CN"/>
              </w:rPr>
              <w:t>填埋</w:t>
            </w:r>
            <w:r>
              <w:rPr>
                <w:rFonts w:hint="eastAsia" w:ascii="Times New Roman" w:hAnsi="Times New Roman" w:eastAsia="宋体" w:cs="宋体"/>
                <w:color w:val="auto"/>
                <w:sz w:val="21"/>
                <w:szCs w:val="21"/>
                <w:lang w:val="en-US" w:eastAsia="zh-CN"/>
              </w:rPr>
              <w:t>区、渗滤液收集管道、渗滤液收集井、坝基和坝肩</w:t>
            </w:r>
            <w:r>
              <w:rPr>
                <w:rFonts w:hint="eastAsia" w:ascii="Times New Roman" w:hAnsi="Times New Roman" w:eastAsia="宋体" w:cs="宋体"/>
                <w:color w:val="auto"/>
                <w:sz w:val="21"/>
                <w:szCs w:val="21"/>
                <w:lang w:eastAsia="zh-CN"/>
              </w:rPr>
              <w:t>等</w:t>
            </w:r>
            <w:r>
              <w:rPr>
                <w:rFonts w:hint="eastAsia" w:ascii="Times New Roman" w:hAnsi="Times New Roman" w:eastAsia="宋体" w:cs="宋体"/>
                <w:color w:val="auto"/>
                <w:sz w:val="21"/>
                <w:szCs w:val="21"/>
              </w:rPr>
              <w:t>重点防渗</w:t>
            </w:r>
          </w:p>
        </w:tc>
        <w:tc>
          <w:tcPr>
            <w:tcW w:w="1527" w:type="pct"/>
            <w:noWrap w:val="0"/>
            <w:vAlign w:val="center"/>
          </w:tcPr>
          <w:p>
            <w:pPr>
              <w:snapToGrid w:val="0"/>
              <w:spacing w:line="240" w:lineRule="auto"/>
              <w:jc w:val="center"/>
              <w:rPr>
                <w:rFonts w:hint="eastAsia" w:ascii="Times New Roman" w:hAnsi="Times New Roman" w:eastAsia="宋体" w:cs="宋体"/>
                <w:color w:val="auto"/>
                <w:sz w:val="21"/>
                <w:szCs w:val="21"/>
              </w:rPr>
            </w:pPr>
            <w:r>
              <w:rPr>
                <w:rFonts w:hint="eastAsia" w:ascii="Times New Roman" w:hAnsi="Times New Roman" w:eastAsia="宋体" w:cs="宋体"/>
                <w:bCs/>
                <w:color w:val="auto"/>
                <w:sz w:val="21"/>
                <w:szCs w:val="21"/>
              </w:rPr>
              <w:t>重点防渗区防渗层满足K≤1.0×10</w:t>
            </w:r>
            <w:r>
              <w:rPr>
                <w:rFonts w:hint="eastAsia" w:ascii="Times New Roman" w:hAnsi="Times New Roman" w:eastAsia="宋体" w:cs="宋体"/>
                <w:bCs/>
                <w:color w:val="auto"/>
                <w:sz w:val="21"/>
                <w:szCs w:val="21"/>
                <w:vertAlign w:val="superscript"/>
              </w:rPr>
              <w:t>-7</w:t>
            </w:r>
            <w:r>
              <w:rPr>
                <w:rFonts w:hint="eastAsia" w:ascii="Times New Roman" w:hAnsi="Times New Roman" w:eastAsia="宋体" w:cs="宋体"/>
                <w:bCs/>
                <w:color w:val="auto"/>
                <w:sz w:val="21"/>
                <w:szCs w:val="21"/>
              </w:rPr>
              <w:t>cm/s</w:t>
            </w:r>
          </w:p>
        </w:tc>
      </w:tr>
    </w:tbl>
    <w:p>
      <w:pPr>
        <w:spacing w:line="360" w:lineRule="auto"/>
        <w:ind w:firstLine="480" w:firstLineChars="200"/>
        <w:rPr>
          <w:rFonts w:hint="eastAsia" w:ascii="Times New Roman" w:hAnsi="Times New Roman" w:eastAsia="宋体" w:cs="宋体"/>
          <w:b w:val="0"/>
          <w:bCs w:val="0"/>
          <w:color w:val="auto"/>
          <w:sz w:val="24"/>
          <w:szCs w:val="24"/>
          <w:lang w:eastAsia="zh-CN"/>
        </w:rPr>
        <w:sectPr>
          <w:pgSz w:w="11905" w:h="16838"/>
          <w:pgMar w:top="1361" w:right="1361" w:bottom="1361" w:left="1361" w:header="794" w:footer="850" w:gutter="0"/>
          <w:pgBorders>
            <w:top w:val="none" w:sz="0" w:space="0"/>
            <w:left w:val="none" w:sz="0" w:space="0"/>
            <w:bottom w:val="none" w:sz="0" w:space="0"/>
            <w:right w:val="none" w:sz="0" w:space="0"/>
          </w:pgBorders>
          <w:pgNumType w:fmt="decimal"/>
          <w:cols w:space="720" w:num="1"/>
          <w:rtlGutter w:val="0"/>
          <w:docGrid w:type="lines" w:linePitch="314" w:charSpace="0"/>
        </w:sectPr>
      </w:pPr>
    </w:p>
    <w:p>
      <w:pPr>
        <w:pStyle w:val="146"/>
        <w:tabs>
          <w:tab w:val="left" w:pos="338"/>
        </w:tabs>
        <w:jc w:val="center"/>
        <w:rPr>
          <w:rFonts w:hint="eastAsia" w:ascii="Times New Roman" w:hAnsi="Times New Roman"/>
          <w:b/>
          <w:bCs/>
          <w:color w:val="auto"/>
          <w:sz w:val="21"/>
          <w:szCs w:val="21"/>
          <w:lang w:val="en-US" w:eastAsia="zh-CN"/>
        </w:rPr>
      </w:pPr>
      <w:r>
        <w:rPr>
          <w:rFonts w:ascii="Times New Roman" w:hAnsi="Times New Roman"/>
          <w:sz w:val="24"/>
        </w:rPr>
        <mc:AlternateContent>
          <mc:Choice Requires="wps">
            <w:drawing>
              <wp:anchor distT="0" distB="0" distL="114300" distR="114300" simplePos="0" relativeHeight="251715584" behindDoc="0" locked="0" layoutInCell="1" allowOverlap="1">
                <wp:simplePos x="0" y="0"/>
                <wp:positionH relativeFrom="column">
                  <wp:posOffset>2861310</wp:posOffset>
                </wp:positionH>
                <wp:positionV relativeFrom="paragraph">
                  <wp:posOffset>3356610</wp:posOffset>
                </wp:positionV>
                <wp:extent cx="466090" cy="456565"/>
                <wp:effectExtent l="5715" t="5715" r="23495" b="13970"/>
                <wp:wrapNone/>
                <wp:docPr id="82" name="直线 1539"/>
                <wp:cNvGraphicFramePr/>
                <a:graphic xmlns:a="http://schemas.openxmlformats.org/drawingml/2006/main">
                  <a:graphicData uri="http://schemas.microsoft.com/office/word/2010/wordprocessingShape">
                    <wps:wsp>
                      <wps:cNvCnPr/>
                      <wps:spPr>
                        <a:xfrm flipV="1">
                          <a:off x="0" y="0"/>
                          <a:ext cx="466090" cy="456565"/>
                        </a:xfrm>
                        <a:prstGeom prst="line">
                          <a:avLst/>
                        </a:prstGeom>
                        <a:ln w="15875" cap="flat" cmpd="sng">
                          <a:solidFill>
                            <a:srgbClr val="EC04FA"/>
                          </a:solidFill>
                          <a:prstDash val="solid"/>
                          <a:headEnd type="none" w="med" len="med"/>
                          <a:tailEnd type="none" w="med" len="med"/>
                        </a:ln>
                      </wps:spPr>
                      <wps:bodyPr upright="1"/>
                    </wps:wsp>
                  </a:graphicData>
                </a:graphic>
              </wp:anchor>
            </w:drawing>
          </mc:Choice>
          <mc:Fallback>
            <w:pict>
              <v:line id="直线 1539" o:spid="_x0000_s1026" o:spt="20" style="position:absolute;left:0pt;flip:y;margin-left:225.3pt;margin-top:264.3pt;height:35.95pt;width:36.7pt;z-index:251715584;mso-width-relative:page;mso-height-relative:page;" filled="f" stroked="t" coordsize="21600,21600" o:gfxdata="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3RcDjdkAAAALAQAADwAAAAAAAAABACAAAAAiAAAAZHJzL2Rvd25yZXYu&#10;eG1sUEsBAhQAFAAAAAgAh07iQCOJZ6n6AQAA7gMAAA4AAAAAAAAAAQAgAAAAKAEAAGRycy9lMm9E&#10;b2MueG1sUEsFBgAAAAAGAAYAWQEAAJQFAAAAAA==&#10;">
                <v:fill on="f" focussize="0,0"/>
                <v:stroke weight="1.25pt" color="#EC04FA" joinstyle="round"/>
                <v:imagedata o:title=""/>
                <o:lock v:ext="edit" aspectratio="f"/>
              </v:line>
            </w:pict>
          </mc:Fallback>
        </mc:AlternateContent>
      </w:r>
      <w:r>
        <w:rPr>
          <w:rFonts w:ascii="Times New Roman" w:hAnsi="Times New Roman"/>
          <w:color w:val="auto"/>
        </w:rPr>
        <w:drawing>
          <wp:inline distT="0" distB="0" distL="114300" distR="114300">
            <wp:extent cx="7800975" cy="5495925"/>
            <wp:effectExtent l="0" t="0" r="9525" b="9525"/>
            <wp:docPr id="3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1"/>
                    <pic:cNvPicPr>
                      <a:picLocks noChangeAspect="1"/>
                    </pic:cNvPicPr>
                  </pic:nvPicPr>
                  <pic:blipFill>
                    <a:blip r:embed="rId16"/>
                    <a:stretch>
                      <a:fillRect/>
                    </a:stretch>
                  </pic:blipFill>
                  <pic:spPr>
                    <a:xfrm>
                      <a:off x="0" y="0"/>
                      <a:ext cx="7800975" cy="5495925"/>
                    </a:xfrm>
                    <a:prstGeom prst="rect">
                      <a:avLst/>
                    </a:prstGeom>
                    <a:noFill/>
                    <a:ln>
                      <a:noFill/>
                    </a:ln>
                  </pic:spPr>
                </pic:pic>
              </a:graphicData>
            </a:graphic>
          </wp:inline>
        </w:drawing>
      </w:r>
      <w:r>
        <w:rPr>
          <w:rFonts w:ascii="Times New Roman" w:hAnsi="Times New Roman"/>
          <w:sz w:val="24"/>
        </w:rPr>
        <mc:AlternateContent>
          <mc:Choice Requires="wps">
            <w:drawing>
              <wp:anchor distT="0" distB="0" distL="114300" distR="114300" simplePos="0" relativeHeight="251714560" behindDoc="0" locked="0" layoutInCell="1" allowOverlap="1">
                <wp:simplePos x="0" y="0"/>
                <wp:positionH relativeFrom="column">
                  <wp:posOffset>2766060</wp:posOffset>
                </wp:positionH>
                <wp:positionV relativeFrom="paragraph">
                  <wp:posOffset>3769360</wp:posOffset>
                </wp:positionV>
                <wp:extent cx="125730" cy="125730"/>
                <wp:effectExtent l="4445" t="4445" r="22225" b="22225"/>
                <wp:wrapNone/>
                <wp:docPr id="81" name="椭圆 1537"/>
                <wp:cNvGraphicFramePr/>
                <a:graphic xmlns:a="http://schemas.openxmlformats.org/drawingml/2006/main">
                  <a:graphicData uri="http://schemas.microsoft.com/office/word/2010/wordprocessingShape">
                    <wps:wsp>
                      <wps:cNvSpPr/>
                      <wps:spPr>
                        <a:xfrm>
                          <a:off x="0" y="0"/>
                          <a:ext cx="125730" cy="125730"/>
                        </a:xfrm>
                        <a:prstGeom prst="ellipse">
                          <a:avLst/>
                        </a:prstGeom>
                        <a:solidFill>
                          <a:srgbClr val="EC04FA"/>
                        </a:solidFill>
                        <a:ln w="9525" cap="flat" cmpd="sng">
                          <a:solidFill>
                            <a:srgbClr val="EC04FA"/>
                          </a:solidFill>
                          <a:prstDash val="solid"/>
                          <a:headEnd type="none" w="med" len="med"/>
                          <a:tailEnd type="none" w="med" len="med"/>
                        </a:ln>
                      </wps:spPr>
                      <wps:bodyPr upright="1"/>
                    </wps:wsp>
                  </a:graphicData>
                </a:graphic>
              </wp:anchor>
            </w:drawing>
          </mc:Choice>
          <mc:Fallback>
            <w:pict>
              <v:shape id="椭圆 1537" o:spid="_x0000_s1026" o:spt="3" type="#_x0000_t3" style="position:absolute;left:0pt;margin-left:217.8pt;margin-top:296.8pt;height:9.9pt;width:9.9pt;z-index:251714560;mso-width-relative:page;mso-height-relative:page;" fillcolor="#EC04FA" filled="t" stroked="t" coordsize="21600,21600" o:gfxdata="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C1OFbDcAAAACwEAAA8AAAAAAAAAAQAgAAAAIgAAAGRycy9kb3ducmV2&#10;LnhtbFBLAQIUABQAAAAIAIdO4kCmA/c6+AEAABoEAAAOAAAAAAAAAAEAIAAAACsBAABkcnMvZTJv&#10;RG9jLnhtbFBLBQYAAAAABgAGAFkBAACVBQAAAAA=&#10;">
                <v:fill on="t" focussize="0,0"/>
                <v:stroke color="#EC04FA" joinstyle="round"/>
                <v:imagedata o:title=""/>
                <o:lock v:ext="edit" aspectratio="f"/>
              </v:shape>
            </w:pict>
          </mc:Fallback>
        </mc:AlternateContent>
      </w:r>
    </w:p>
    <w:p>
      <w:pPr>
        <w:pStyle w:val="146"/>
        <w:tabs>
          <w:tab w:val="left" w:pos="338"/>
        </w:tabs>
        <w:jc w:val="center"/>
        <w:rPr>
          <w:rFonts w:hint="default" w:ascii="Times New Roman" w:hAnsi="Times New Roman" w:eastAsia="宋体"/>
          <w:b/>
          <w:bCs/>
          <w:color w:val="auto"/>
          <w:sz w:val="21"/>
          <w:szCs w:val="21"/>
          <w:lang w:val="en-US" w:eastAsia="zh-CN"/>
        </w:rPr>
        <w:sectPr>
          <w:pgSz w:w="16838" w:h="11905" w:orient="landscape"/>
          <w:pgMar w:top="1361" w:right="1361" w:bottom="1361" w:left="1361" w:header="794" w:footer="850" w:gutter="0"/>
          <w:pgBorders>
            <w:top w:val="none" w:sz="0" w:space="0"/>
            <w:left w:val="none" w:sz="0" w:space="0"/>
            <w:bottom w:val="none" w:sz="0" w:space="0"/>
            <w:right w:val="none" w:sz="0" w:space="0"/>
          </w:pgBorders>
          <w:pgNumType w:fmt="decimal"/>
          <w:cols w:space="720" w:num="1"/>
          <w:rtlGutter w:val="0"/>
          <w:docGrid w:type="lines" w:linePitch="314" w:charSpace="0"/>
        </w:sectPr>
      </w:pPr>
      <w:r>
        <w:rPr>
          <w:rFonts w:hint="eastAsia" w:ascii="Times New Roman" w:hAnsi="Times New Roman"/>
          <w:b/>
          <w:bCs/>
          <w:color w:val="auto"/>
          <w:sz w:val="21"/>
          <w:szCs w:val="21"/>
          <w:lang w:val="en-US" w:eastAsia="zh-CN"/>
        </w:rPr>
        <w:t>图4.3-1  项目分区防渗图</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color w:val="auto"/>
          <w:sz w:val="24"/>
          <w:szCs w:val="24"/>
        </w:rPr>
      </w:pPr>
      <w:r>
        <w:rPr>
          <w:rFonts w:hint="eastAsia" w:ascii="Times New Roman" w:hAnsi="Times New Roman" w:eastAsia="宋体" w:cs="宋体"/>
          <w:b w:val="0"/>
          <w:bCs w:val="0"/>
          <w:color w:val="auto"/>
          <w:sz w:val="24"/>
          <w:szCs w:val="24"/>
          <w:lang w:eastAsia="zh-CN"/>
        </w:rPr>
        <w:t>（</w:t>
      </w:r>
      <w:r>
        <w:rPr>
          <w:rFonts w:hint="eastAsia" w:ascii="Times New Roman" w:hAnsi="Times New Roman" w:eastAsia="宋体" w:cs="宋体"/>
          <w:b w:val="0"/>
          <w:bCs w:val="0"/>
          <w:color w:val="auto"/>
          <w:sz w:val="24"/>
          <w:szCs w:val="24"/>
          <w:lang w:val="en-US" w:eastAsia="zh-CN"/>
        </w:rPr>
        <w:t>2</w:t>
      </w:r>
      <w:r>
        <w:rPr>
          <w:rFonts w:hint="eastAsia" w:ascii="Times New Roman" w:hAnsi="Times New Roman" w:eastAsia="宋体" w:cs="宋体"/>
          <w:b w:val="0"/>
          <w:bCs w:val="0"/>
          <w:color w:val="auto"/>
          <w:sz w:val="24"/>
          <w:szCs w:val="24"/>
          <w:lang w:eastAsia="zh-CN"/>
        </w:rPr>
        <w:t>）地下水环境监测及管理</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color w:val="auto"/>
          <w:sz w:val="24"/>
        </w:rPr>
      </w:pPr>
      <w:r>
        <w:rPr>
          <w:rFonts w:hint="eastAsia" w:ascii="Times New Roman" w:hAnsi="Times New Roman" w:eastAsia="宋体" w:cs="宋体"/>
          <w:color w:val="auto"/>
          <w:sz w:val="24"/>
        </w:rPr>
        <w:t>做好填埋场的防渗措施，有利于防止渗滤液渗出污染地下水，保证填埋场运行的安全可靠。并按填埋场相关要求设置确定地下水监测井具体设置位置及深度。对地下水水质进行监测，如地下水受到污染，应采取防渗补救措施或将地下水抽出处理。</w:t>
      </w:r>
    </w:p>
    <w:p>
      <w:pPr>
        <w:keepNext w:val="0"/>
        <w:keepLines w:val="0"/>
        <w:pageBreakBefore w:val="0"/>
        <w:widowControl w:val="0"/>
        <w:tabs>
          <w:tab w:val="left" w:pos="3240"/>
        </w:tabs>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color w:val="auto"/>
          <w:sz w:val="24"/>
        </w:rPr>
      </w:pPr>
      <w:r>
        <w:rPr>
          <w:rFonts w:hint="eastAsia" w:ascii="Times New Roman" w:hAnsi="Times New Roman" w:eastAsia="宋体" w:cs="宋体"/>
          <w:color w:val="auto"/>
          <w:sz w:val="24"/>
        </w:rPr>
        <w:t>在填埋场设置防渗层渗漏监测井，以保证防渗层发生渗滤液渗漏时能及时发现并采取必要的污染控制措施。</w:t>
      </w:r>
      <w:r>
        <w:rPr>
          <w:rFonts w:hint="eastAsia" w:ascii="Times New Roman" w:hAnsi="Times New Roman" w:eastAsia="宋体" w:cs="宋体"/>
          <w:color w:val="auto"/>
          <w:sz w:val="24"/>
          <w:lang w:val="en-US" w:eastAsia="zh-CN"/>
        </w:rPr>
        <w:t>项目设置地下水导排层，分区铺设地下水导排管网，当地下水液位达到设计水位时潜水泵自动启动将地下水抽出，</w:t>
      </w:r>
      <w:r>
        <w:rPr>
          <w:rFonts w:hint="eastAsia" w:ascii="Times New Roman" w:hAnsi="Times New Roman" w:eastAsia="宋体" w:cs="宋体"/>
          <w:color w:val="auto"/>
          <w:sz w:val="24"/>
          <w:lang w:eastAsia="zh-CN"/>
        </w:rPr>
        <w:t>集水坑</w:t>
      </w:r>
      <w:r>
        <w:rPr>
          <w:rFonts w:hint="eastAsia" w:ascii="Times New Roman" w:hAnsi="Times New Roman" w:eastAsia="宋体" w:cs="宋体"/>
          <w:color w:val="auto"/>
          <w:sz w:val="24"/>
        </w:rPr>
        <w:t>也可以作为对地下水水质情况进行监测的辅助设施。设置</w:t>
      </w:r>
      <w:r>
        <w:rPr>
          <w:rFonts w:hint="eastAsia" w:ascii="Times New Roman" w:hAnsi="Times New Roman" w:eastAsia="宋体" w:cs="宋体"/>
          <w:color w:val="auto"/>
          <w:sz w:val="24"/>
          <w:lang w:val="en-US" w:eastAsia="zh-CN"/>
        </w:rPr>
        <w:t>5</w:t>
      </w:r>
      <w:r>
        <w:rPr>
          <w:rFonts w:hint="eastAsia" w:ascii="Times New Roman" w:hAnsi="Times New Roman" w:eastAsia="宋体" w:cs="宋体"/>
          <w:color w:val="auto"/>
          <w:sz w:val="24"/>
        </w:rPr>
        <w:t>个地下水监测井（井深</w:t>
      </w:r>
      <w:r>
        <w:rPr>
          <w:rFonts w:hint="eastAsia" w:ascii="Times New Roman" w:hAnsi="Times New Roman" w:eastAsia="宋体" w:cs="宋体"/>
          <w:color w:val="auto"/>
          <w:sz w:val="24"/>
          <w:lang w:val="en-US" w:eastAsia="zh-CN"/>
        </w:rPr>
        <w:t>20</w:t>
      </w:r>
      <w:r>
        <w:rPr>
          <w:rFonts w:hint="eastAsia" w:ascii="Times New Roman" w:hAnsi="Times New Roman" w:eastAsia="宋体" w:cs="宋体"/>
          <w:color w:val="auto"/>
          <w:sz w:val="24"/>
        </w:rPr>
        <w:t>m）：</w:t>
      </w:r>
      <w:r>
        <w:rPr>
          <w:rFonts w:hint="eastAsia" w:ascii="Times New Roman" w:hAnsi="Times New Roman" w:eastAsia="宋体" w:cs="宋体"/>
          <w:color w:val="auto"/>
          <w:sz w:val="24"/>
          <w:lang w:val="en-US" w:eastAsia="zh-CN"/>
        </w:rPr>
        <w:t>2</w:t>
      </w:r>
      <w:r>
        <w:rPr>
          <w:rFonts w:hint="eastAsia" w:ascii="Times New Roman" w:hAnsi="Times New Roman" w:eastAsia="宋体" w:cs="宋体"/>
          <w:color w:val="auto"/>
          <w:sz w:val="24"/>
        </w:rPr>
        <w:t>个下游监测井</w:t>
      </w:r>
      <w:r>
        <w:rPr>
          <w:rFonts w:hint="eastAsia" w:ascii="Times New Roman" w:hAnsi="Times New Roman" w:eastAsia="宋体" w:cs="宋体"/>
          <w:color w:val="auto"/>
          <w:sz w:val="24"/>
          <w:lang w:val="en-US" w:eastAsia="zh-CN"/>
        </w:rPr>
        <w:t>、</w:t>
      </w:r>
      <w:r>
        <w:rPr>
          <w:rFonts w:hint="eastAsia" w:ascii="Times New Roman" w:hAnsi="Times New Roman" w:eastAsia="宋体" w:cs="宋体"/>
          <w:color w:val="auto"/>
          <w:sz w:val="24"/>
        </w:rPr>
        <w:t>2个填埋场旁侧</w:t>
      </w:r>
      <w:r>
        <w:rPr>
          <w:rFonts w:hint="eastAsia" w:ascii="Times New Roman" w:hAnsi="Times New Roman" w:eastAsia="宋体" w:cs="宋体"/>
          <w:color w:val="auto"/>
          <w:sz w:val="24"/>
          <w:lang w:eastAsia="zh-CN"/>
        </w:rPr>
        <w:t>厂界污染源扩散</w:t>
      </w:r>
      <w:r>
        <w:rPr>
          <w:rFonts w:hint="eastAsia" w:ascii="Times New Roman" w:hAnsi="Times New Roman" w:eastAsia="宋体" w:cs="宋体"/>
          <w:color w:val="auto"/>
          <w:sz w:val="24"/>
        </w:rPr>
        <w:t>井</w:t>
      </w:r>
      <w:r>
        <w:rPr>
          <w:rFonts w:hint="eastAsia" w:ascii="Times New Roman" w:hAnsi="Times New Roman" w:eastAsia="宋体" w:cs="宋体"/>
          <w:color w:val="auto"/>
          <w:sz w:val="24"/>
          <w:lang w:eastAsia="zh-CN"/>
        </w:rPr>
        <w:t>、</w:t>
      </w:r>
      <w:r>
        <w:rPr>
          <w:rFonts w:hint="eastAsia" w:ascii="Times New Roman" w:hAnsi="Times New Roman" w:eastAsia="宋体" w:cs="宋体"/>
          <w:color w:val="auto"/>
          <w:sz w:val="24"/>
        </w:rPr>
        <w:t>1个上游</w:t>
      </w:r>
      <w:r>
        <w:rPr>
          <w:rFonts w:hint="eastAsia" w:ascii="Times New Roman" w:hAnsi="Times New Roman" w:eastAsia="宋体" w:cs="宋体"/>
          <w:color w:val="auto"/>
          <w:sz w:val="24"/>
          <w:lang w:eastAsia="zh-CN"/>
        </w:rPr>
        <w:t>背景监测</w:t>
      </w:r>
      <w:r>
        <w:rPr>
          <w:rFonts w:hint="eastAsia" w:ascii="Times New Roman" w:hAnsi="Times New Roman" w:eastAsia="宋体" w:cs="宋体"/>
          <w:color w:val="auto"/>
          <w:sz w:val="24"/>
        </w:rPr>
        <w:t>井。填埋场运行的第一年，每月至少取样监测一次；在正常情况下，每季度至少一次取样监测</w:t>
      </w:r>
      <w:r>
        <w:rPr>
          <w:rFonts w:hint="eastAsia" w:ascii="Times New Roman" w:hAnsi="Times New Roman" w:eastAsia="宋体" w:cs="宋体"/>
          <w:color w:val="auto"/>
          <w:sz w:val="24"/>
          <w:lang w:eastAsia="zh-CN"/>
        </w:rPr>
        <w:t>，防止地下水污染，确保地下水水质安全。</w:t>
      </w:r>
      <w:r>
        <w:rPr>
          <w:rFonts w:hint="eastAsia" w:ascii="Times New Roman" w:hAnsi="Times New Roman" w:eastAsia="宋体" w:cs="宋体"/>
          <w:color w:val="auto"/>
          <w:sz w:val="24"/>
          <w:lang w:val="en-US" w:eastAsia="zh-CN"/>
        </w:rPr>
        <w:t>地下水监控井位置和监控计划如下表：</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宋体"/>
          <w:b/>
          <w:color w:val="auto"/>
          <w:sz w:val="21"/>
          <w:szCs w:val="21"/>
        </w:rPr>
      </w:pPr>
      <w:r>
        <w:rPr>
          <w:rFonts w:hint="eastAsia" w:ascii="Times New Roman" w:hAnsi="Times New Roman" w:eastAsia="宋体" w:cs="宋体"/>
          <w:b/>
          <w:color w:val="auto"/>
          <w:sz w:val="21"/>
          <w:szCs w:val="21"/>
        </w:rPr>
        <w:t>表</w:t>
      </w:r>
      <w:r>
        <w:rPr>
          <w:rFonts w:hint="eastAsia" w:ascii="Times New Roman" w:hAnsi="Times New Roman" w:eastAsia="宋体" w:cs="宋体"/>
          <w:b/>
          <w:color w:val="auto"/>
          <w:sz w:val="21"/>
          <w:szCs w:val="21"/>
          <w:lang w:val="en-US" w:eastAsia="zh-CN"/>
        </w:rPr>
        <w:t>4.3</w:t>
      </w:r>
      <w:r>
        <w:rPr>
          <w:rFonts w:hint="eastAsia" w:ascii="Times New Roman" w:hAnsi="Times New Roman" w:eastAsia="宋体" w:cs="宋体"/>
          <w:b/>
          <w:color w:val="auto"/>
          <w:sz w:val="21"/>
          <w:szCs w:val="21"/>
        </w:rPr>
        <w:t>-</w:t>
      </w:r>
      <w:r>
        <w:rPr>
          <w:rFonts w:hint="eastAsia" w:ascii="Times New Roman" w:hAnsi="Times New Roman" w:eastAsia="宋体" w:cs="宋体"/>
          <w:b/>
          <w:color w:val="auto"/>
          <w:sz w:val="21"/>
          <w:szCs w:val="21"/>
          <w:lang w:val="en-US" w:eastAsia="zh-CN"/>
        </w:rPr>
        <w:t>2  地下水渗漏监控措施</w:t>
      </w:r>
      <w:r>
        <w:rPr>
          <w:rFonts w:hint="eastAsia" w:ascii="Times New Roman" w:hAnsi="Times New Roman" w:eastAsia="宋体" w:cs="宋体"/>
          <w:b/>
          <w:color w:val="auto"/>
          <w:sz w:val="21"/>
          <w:szCs w:val="21"/>
        </w:rPr>
        <w:t>一览表</w:t>
      </w:r>
    </w:p>
    <w:tbl>
      <w:tblPr>
        <w:tblStyle w:val="29"/>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500"/>
        <w:gridCol w:w="987"/>
        <w:gridCol w:w="1173"/>
        <w:gridCol w:w="1172"/>
        <w:gridCol w:w="893"/>
        <w:gridCol w:w="854"/>
        <w:gridCol w:w="1397"/>
        <w:gridCol w:w="1185"/>
        <w:gridCol w:w="123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266" w:type="pct"/>
            <w:tcBorders>
              <w:tl2br w:val="nil"/>
              <w:tr2bl w:val="nil"/>
            </w:tcBorders>
            <w:noWrap w:val="0"/>
            <w:vAlign w:val="center"/>
          </w:tcPr>
          <w:p>
            <w:pPr>
              <w:adjustRightInd w:val="0"/>
              <w:snapToGrid w:val="0"/>
              <w:jc w:val="center"/>
              <w:rPr>
                <w:rFonts w:hint="eastAsia" w:ascii="Times New Roman" w:hAnsi="Times New Roman" w:eastAsia="宋体" w:cs="宋体"/>
                <w:b/>
                <w:bCs/>
                <w:color w:val="auto"/>
                <w:szCs w:val="21"/>
              </w:rPr>
            </w:pPr>
            <w:r>
              <w:rPr>
                <w:rFonts w:hint="eastAsia" w:ascii="Times New Roman" w:hAnsi="Times New Roman" w:eastAsia="宋体" w:cs="宋体"/>
                <w:b/>
                <w:bCs/>
                <w:color w:val="auto"/>
                <w:szCs w:val="21"/>
              </w:rPr>
              <w:t>监测环境要素</w:t>
            </w:r>
          </w:p>
        </w:tc>
        <w:tc>
          <w:tcPr>
            <w:tcW w:w="525" w:type="pct"/>
            <w:tcBorders>
              <w:tl2br w:val="nil"/>
              <w:tr2bl w:val="nil"/>
            </w:tcBorders>
            <w:noWrap w:val="0"/>
            <w:vAlign w:val="center"/>
          </w:tcPr>
          <w:p>
            <w:pPr>
              <w:adjustRightInd w:val="0"/>
              <w:snapToGrid w:val="0"/>
              <w:jc w:val="center"/>
              <w:rPr>
                <w:rFonts w:hint="eastAsia" w:ascii="Times New Roman" w:hAnsi="Times New Roman" w:eastAsia="宋体" w:cs="宋体"/>
                <w:b/>
                <w:bCs/>
                <w:color w:val="auto"/>
                <w:szCs w:val="21"/>
              </w:rPr>
            </w:pPr>
            <w:r>
              <w:rPr>
                <w:rFonts w:hint="eastAsia" w:ascii="Times New Roman" w:hAnsi="Times New Roman" w:eastAsia="宋体" w:cs="宋体"/>
                <w:b/>
                <w:bCs/>
                <w:color w:val="auto"/>
                <w:szCs w:val="21"/>
              </w:rPr>
              <w:t>监测点位数</w:t>
            </w:r>
          </w:p>
        </w:tc>
        <w:tc>
          <w:tcPr>
            <w:tcW w:w="624" w:type="pct"/>
            <w:tcBorders>
              <w:tl2br w:val="nil"/>
              <w:tr2bl w:val="nil"/>
            </w:tcBorders>
            <w:noWrap w:val="0"/>
            <w:vAlign w:val="center"/>
          </w:tcPr>
          <w:p>
            <w:pPr>
              <w:adjustRightInd w:val="0"/>
              <w:snapToGrid w:val="0"/>
              <w:jc w:val="center"/>
              <w:rPr>
                <w:rFonts w:hint="eastAsia" w:ascii="Times New Roman" w:hAnsi="Times New Roman" w:eastAsia="宋体" w:cs="宋体"/>
                <w:b/>
                <w:bCs/>
                <w:color w:val="auto"/>
                <w:szCs w:val="21"/>
                <w:lang w:eastAsia="zh-CN"/>
              </w:rPr>
            </w:pPr>
            <w:r>
              <w:rPr>
                <w:rFonts w:hint="eastAsia" w:ascii="Times New Roman" w:hAnsi="Times New Roman" w:eastAsia="宋体" w:cs="宋体"/>
                <w:b/>
                <w:bCs/>
                <w:color w:val="auto"/>
                <w:szCs w:val="21"/>
                <w:lang w:eastAsia="zh-CN"/>
              </w:rPr>
              <w:t>经度</w:t>
            </w:r>
          </w:p>
        </w:tc>
        <w:tc>
          <w:tcPr>
            <w:tcW w:w="623" w:type="pct"/>
            <w:tcBorders>
              <w:tl2br w:val="nil"/>
              <w:tr2bl w:val="nil"/>
            </w:tcBorders>
            <w:noWrap w:val="0"/>
            <w:vAlign w:val="center"/>
          </w:tcPr>
          <w:p>
            <w:pPr>
              <w:adjustRightInd w:val="0"/>
              <w:snapToGrid w:val="0"/>
              <w:jc w:val="center"/>
              <w:rPr>
                <w:rFonts w:hint="eastAsia" w:ascii="Times New Roman" w:hAnsi="Times New Roman" w:eastAsia="宋体" w:cs="宋体"/>
                <w:b/>
                <w:bCs/>
                <w:color w:val="auto"/>
                <w:szCs w:val="21"/>
                <w:lang w:eastAsia="zh-CN"/>
              </w:rPr>
            </w:pPr>
            <w:r>
              <w:rPr>
                <w:rFonts w:hint="eastAsia" w:ascii="Times New Roman" w:hAnsi="Times New Roman" w:eastAsia="宋体" w:cs="宋体"/>
                <w:b/>
                <w:bCs/>
                <w:color w:val="auto"/>
                <w:szCs w:val="21"/>
                <w:lang w:eastAsia="zh-CN"/>
              </w:rPr>
              <w:t>纬度</w:t>
            </w:r>
          </w:p>
        </w:tc>
        <w:tc>
          <w:tcPr>
            <w:tcW w:w="475" w:type="pct"/>
            <w:tcBorders>
              <w:tl2br w:val="nil"/>
              <w:tr2bl w:val="nil"/>
            </w:tcBorders>
            <w:noWrap w:val="0"/>
            <w:vAlign w:val="center"/>
          </w:tcPr>
          <w:p>
            <w:pPr>
              <w:pStyle w:val="147"/>
              <w:rPr>
                <w:rFonts w:hint="eastAsia" w:ascii="Times New Roman" w:hAnsi="Times New Roman" w:eastAsia="宋体" w:cs="宋体"/>
                <w:b/>
                <w:bCs/>
                <w:color w:val="auto"/>
                <w:szCs w:val="21"/>
                <w:lang w:eastAsia="zh-CN"/>
              </w:rPr>
            </w:pPr>
            <w:r>
              <w:rPr>
                <w:rFonts w:hint="eastAsia" w:ascii="Times New Roman" w:hAnsi="Times New Roman" w:eastAsia="宋体"/>
                <w:b/>
                <w:bCs/>
                <w:color w:val="auto"/>
              </w:rPr>
              <w:t>井深</w:t>
            </w:r>
          </w:p>
        </w:tc>
        <w:tc>
          <w:tcPr>
            <w:tcW w:w="454" w:type="pct"/>
            <w:tcBorders>
              <w:tl2br w:val="nil"/>
              <w:tr2bl w:val="nil"/>
            </w:tcBorders>
            <w:noWrap w:val="0"/>
            <w:vAlign w:val="center"/>
          </w:tcPr>
          <w:p>
            <w:pPr>
              <w:pStyle w:val="147"/>
              <w:rPr>
                <w:rFonts w:hint="eastAsia" w:ascii="Times New Roman" w:hAnsi="Times New Roman" w:eastAsia="宋体" w:cs="宋体"/>
                <w:b/>
                <w:bCs/>
                <w:color w:val="auto"/>
                <w:szCs w:val="21"/>
                <w:lang w:eastAsia="zh-CN"/>
              </w:rPr>
            </w:pPr>
            <w:r>
              <w:rPr>
                <w:rFonts w:hint="eastAsia" w:ascii="Times New Roman" w:hAnsi="Times New Roman" w:eastAsia="宋体"/>
                <w:b/>
                <w:bCs/>
                <w:color w:val="auto"/>
              </w:rPr>
              <w:t>监测含水层</w:t>
            </w:r>
          </w:p>
        </w:tc>
        <w:tc>
          <w:tcPr>
            <w:tcW w:w="743" w:type="pct"/>
            <w:tcBorders>
              <w:tl2br w:val="nil"/>
              <w:tr2bl w:val="nil"/>
            </w:tcBorders>
            <w:noWrap w:val="0"/>
            <w:vAlign w:val="center"/>
          </w:tcPr>
          <w:p>
            <w:pPr>
              <w:pStyle w:val="147"/>
              <w:rPr>
                <w:rFonts w:hint="eastAsia" w:ascii="Times New Roman" w:hAnsi="Times New Roman" w:eastAsia="宋体"/>
                <w:b/>
                <w:bCs/>
                <w:color w:val="auto"/>
                <w:lang w:eastAsia="zh-CN"/>
              </w:rPr>
            </w:pPr>
            <w:r>
              <w:rPr>
                <w:rFonts w:hint="eastAsia" w:ascii="Times New Roman" w:hAnsi="Times New Roman" w:eastAsia="宋体"/>
                <w:b/>
                <w:bCs/>
                <w:color w:val="auto"/>
                <w:lang w:eastAsia="zh-CN"/>
              </w:rPr>
              <w:t>监测井性质</w:t>
            </w:r>
          </w:p>
        </w:tc>
        <w:tc>
          <w:tcPr>
            <w:tcW w:w="630" w:type="pct"/>
            <w:tcBorders>
              <w:tl2br w:val="nil"/>
              <w:tr2bl w:val="nil"/>
            </w:tcBorders>
            <w:noWrap w:val="0"/>
            <w:vAlign w:val="center"/>
          </w:tcPr>
          <w:p>
            <w:pPr>
              <w:adjustRightInd w:val="0"/>
              <w:snapToGrid w:val="0"/>
              <w:jc w:val="center"/>
              <w:rPr>
                <w:rFonts w:hint="eastAsia" w:ascii="Times New Roman" w:hAnsi="Times New Roman" w:eastAsia="宋体" w:cs="宋体"/>
                <w:b/>
                <w:bCs/>
                <w:color w:val="auto"/>
                <w:szCs w:val="21"/>
              </w:rPr>
            </w:pPr>
            <w:r>
              <w:rPr>
                <w:rFonts w:hint="eastAsia" w:ascii="Times New Roman" w:hAnsi="Times New Roman" w:eastAsia="宋体" w:cs="宋体"/>
                <w:b/>
                <w:bCs/>
                <w:color w:val="auto"/>
                <w:szCs w:val="21"/>
              </w:rPr>
              <w:t>监测频率</w:t>
            </w:r>
          </w:p>
        </w:tc>
        <w:tc>
          <w:tcPr>
            <w:tcW w:w="655" w:type="pct"/>
            <w:tcBorders>
              <w:tl2br w:val="nil"/>
              <w:tr2bl w:val="nil"/>
            </w:tcBorders>
            <w:noWrap w:val="0"/>
            <w:vAlign w:val="center"/>
          </w:tcPr>
          <w:p>
            <w:pPr>
              <w:adjustRightInd w:val="0"/>
              <w:snapToGrid w:val="0"/>
              <w:jc w:val="center"/>
              <w:rPr>
                <w:rFonts w:hint="eastAsia" w:ascii="Times New Roman" w:hAnsi="Times New Roman" w:eastAsia="宋体" w:cs="宋体"/>
                <w:b/>
                <w:bCs/>
                <w:color w:val="auto"/>
                <w:szCs w:val="21"/>
              </w:rPr>
            </w:pPr>
            <w:r>
              <w:rPr>
                <w:rFonts w:hint="eastAsia" w:ascii="Times New Roman" w:hAnsi="Times New Roman" w:eastAsia="宋体" w:cs="宋体"/>
                <w:b/>
                <w:bCs/>
                <w:color w:val="auto"/>
                <w:szCs w:val="21"/>
              </w:rPr>
              <w:t>监测因子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266" w:type="pct"/>
            <w:vMerge w:val="restar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rPr>
              <w:t>地下水</w:t>
            </w:r>
          </w:p>
        </w:tc>
        <w:tc>
          <w:tcPr>
            <w:tcW w:w="525"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rPr>
              <w:t>填埋库区上游40m处</w:t>
            </w:r>
          </w:p>
        </w:tc>
        <w:tc>
          <w:tcPr>
            <w:tcW w:w="624"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lang w:val="en-US" w:eastAsia="zh-CN"/>
              </w:rPr>
            </w:pPr>
            <w:r>
              <w:rPr>
                <w:rFonts w:hint="eastAsia" w:ascii="Times New Roman" w:hAnsi="Times New Roman" w:eastAsia="宋体" w:cs="宋体"/>
                <w:color w:val="auto"/>
                <w:szCs w:val="21"/>
                <w:lang w:val="en-US" w:eastAsia="zh-CN"/>
              </w:rPr>
              <w:t>117.8882</w:t>
            </w:r>
          </w:p>
        </w:tc>
        <w:tc>
          <w:tcPr>
            <w:tcW w:w="623"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lang w:val="en-US" w:eastAsia="zh-CN"/>
              </w:rPr>
            </w:pPr>
            <w:r>
              <w:rPr>
                <w:rFonts w:hint="eastAsia" w:ascii="Times New Roman" w:hAnsi="Times New Roman" w:eastAsia="宋体" w:cs="宋体"/>
                <w:color w:val="auto"/>
                <w:szCs w:val="21"/>
                <w:lang w:val="en-US" w:eastAsia="zh-CN"/>
              </w:rPr>
              <w:t>33.7014</w:t>
            </w:r>
          </w:p>
        </w:tc>
        <w:tc>
          <w:tcPr>
            <w:tcW w:w="475"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lang w:val="en-US" w:eastAsia="zh-CN"/>
              </w:rPr>
            </w:pPr>
            <w:r>
              <w:rPr>
                <w:rFonts w:hint="eastAsia" w:ascii="Times New Roman" w:hAnsi="Times New Roman" w:eastAsia="宋体" w:cs="宋体"/>
                <w:color w:val="auto"/>
                <w:szCs w:val="21"/>
                <w:lang w:val="en-US" w:eastAsia="zh-CN"/>
              </w:rPr>
              <w:t>20.0m</w:t>
            </w:r>
          </w:p>
        </w:tc>
        <w:tc>
          <w:tcPr>
            <w:tcW w:w="454"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lang w:val="en-US" w:eastAsia="zh-CN"/>
              </w:rPr>
            </w:pPr>
            <w:r>
              <w:rPr>
                <w:rFonts w:hint="eastAsia" w:ascii="Times New Roman" w:hAnsi="Times New Roman" w:eastAsia="宋体" w:cs="宋体"/>
                <w:color w:val="auto"/>
                <w:szCs w:val="21"/>
                <w:lang w:val="en-US" w:eastAsia="zh-CN"/>
              </w:rPr>
              <w:t>潜水含水层</w:t>
            </w:r>
          </w:p>
        </w:tc>
        <w:tc>
          <w:tcPr>
            <w:tcW w:w="743"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lang w:val="en-US" w:eastAsia="zh-CN"/>
              </w:rPr>
            </w:pPr>
            <w:r>
              <w:rPr>
                <w:rFonts w:hint="eastAsia" w:ascii="Times New Roman" w:hAnsi="Times New Roman" w:eastAsia="宋体" w:cs="宋体"/>
                <w:color w:val="auto"/>
                <w:szCs w:val="21"/>
                <w:lang w:val="en-US" w:eastAsia="zh-CN"/>
              </w:rPr>
              <w:t>背景监测井</w:t>
            </w:r>
          </w:p>
        </w:tc>
        <w:tc>
          <w:tcPr>
            <w:tcW w:w="630" w:type="pct"/>
            <w:vMerge w:val="restar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rPr>
              <w:t>填埋场运行的第一年，每月至少取样监测一次；在正常情况下，每季度至少一次取样监测</w:t>
            </w:r>
          </w:p>
        </w:tc>
        <w:tc>
          <w:tcPr>
            <w:tcW w:w="655" w:type="pct"/>
            <w:vMerge w:val="restar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lang w:eastAsia="zh-CN"/>
              </w:rPr>
            </w:pPr>
            <w:r>
              <w:rPr>
                <w:rFonts w:hint="eastAsia" w:ascii="Times New Roman" w:hAnsi="Times New Roman" w:eastAsia="宋体" w:cs="宋体"/>
                <w:color w:val="auto"/>
                <w:szCs w:val="21"/>
                <w:lang w:val="en-US" w:eastAsia="zh-CN"/>
              </w:rPr>
              <w:t>pH、耗氧量、氯化物、总硬度、溶解性总固体、硫酸盐、氨氮、硝酸盐、氟化物、铬、铁、铜、锌、镉、砷、铅</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266" w:type="pct"/>
            <w:vMerge w:val="continue"/>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p>
        </w:tc>
        <w:tc>
          <w:tcPr>
            <w:tcW w:w="525" w:type="pct"/>
            <w:vMerge w:val="restar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lang w:eastAsia="zh-CN"/>
              </w:rPr>
              <w:t>填埋库区两侧</w:t>
            </w:r>
          </w:p>
        </w:tc>
        <w:tc>
          <w:tcPr>
            <w:tcW w:w="624"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rPr>
              <w:t>11</w:t>
            </w:r>
            <w:r>
              <w:rPr>
                <w:rFonts w:hint="eastAsia" w:ascii="Times New Roman" w:hAnsi="Times New Roman" w:eastAsia="宋体" w:cs="宋体"/>
                <w:color w:val="auto"/>
                <w:szCs w:val="21"/>
                <w:lang w:val="en-US" w:eastAsia="zh-CN"/>
              </w:rPr>
              <w:t>7</w:t>
            </w:r>
            <w:r>
              <w:rPr>
                <w:rFonts w:hint="eastAsia" w:ascii="Times New Roman" w:hAnsi="Times New Roman" w:eastAsia="宋体" w:cs="宋体"/>
                <w:color w:val="auto"/>
                <w:szCs w:val="21"/>
              </w:rPr>
              <w:t>.8851</w:t>
            </w:r>
          </w:p>
        </w:tc>
        <w:tc>
          <w:tcPr>
            <w:tcW w:w="623"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rPr>
              <w:t>3</w:t>
            </w:r>
            <w:r>
              <w:rPr>
                <w:rFonts w:hint="eastAsia" w:ascii="Times New Roman" w:hAnsi="Times New Roman" w:eastAsia="宋体" w:cs="宋体"/>
                <w:color w:val="auto"/>
                <w:szCs w:val="21"/>
                <w:lang w:val="en-US" w:eastAsia="zh-CN"/>
              </w:rPr>
              <w:t>3</w:t>
            </w:r>
            <w:r>
              <w:rPr>
                <w:rFonts w:hint="eastAsia" w:ascii="Times New Roman" w:hAnsi="Times New Roman" w:eastAsia="宋体" w:cs="宋体"/>
                <w:color w:val="auto"/>
                <w:szCs w:val="21"/>
              </w:rPr>
              <w:t>.7014</w:t>
            </w:r>
          </w:p>
        </w:tc>
        <w:tc>
          <w:tcPr>
            <w:tcW w:w="475"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lang w:val="en-US" w:eastAsia="zh-CN"/>
              </w:rPr>
              <w:t>20.0m</w:t>
            </w:r>
          </w:p>
        </w:tc>
        <w:tc>
          <w:tcPr>
            <w:tcW w:w="454"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lang w:val="en-US" w:eastAsia="zh-CN"/>
              </w:rPr>
              <w:t>潜水含水层</w:t>
            </w:r>
          </w:p>
        </w:tc>
        <w:tc>
          <w:tcPr>
            <w:tcW w:w="743"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lang w:eastAsia="zh-CN"/>
              </w:rPr>
              <w:t>厂界污染源监测井</w:t>
            </w:r>
          </w:p>
        </w:tc>
        <w:tc>
          <w:tcPr>
            <w:tcW w:w="630" w:type="pct"/>
            <w:vMerge w:val="continue"/>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p>
        </w:tc>
        <w:tc>
          <w:tcPr>
            <w:tcW w:w="655" w:type="pct"/>
            <w:vMerge w:val="continue"/>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266" w:type="pct"/>
            <w:vMerge w:val="continue"/>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p>
        </w:tc>
        <w:tc>
          <w:tcPr>
            <w:tcW w:w="525" w:type="pct"/>
            <w:vMerge w:val="continue"/>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lang w:eastAsia="zh-CN"/>
              </w:rPr>
            </w:pPr>
          </w:p>
        </w:tc>
        <w:tc>
          <w:tcPr>
            <w:tcW w:w="624"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rPr>
              <w:t>11</w:t>
            </w:r>
            <w:r>
              <w:rPr>
                <w:rFonts w:hint="eastAsia" w:ascii="Times New Roman" w:hAnsi="Times New Roman" w:eastAsia="宋体" w:cs="宋体"/>
                <w:color w:val="auto"/>
                <w:szCs w:val="21"/>
                <w:lang w:val="en-US" w:eastAsia="zh-CN"/>
              </w:rPr>
              <w:t>7</w:t>
            </w:r>
            <w:r>
              <w:rPr>
                <w:rFonts w:hint="eastAsia" w:ascii="Times New Roman" w:hAnsi="Times New Roman" w:eastAsia="宋体" w:cs="宋体"/>
                <w:color w:val="auto"/>
                <w:szCs w:val="21"/>
              </w:rPr>
              <w:t>.8924</w:t>
            </w:r>
          </w:p>
        </w:tc>
        <w:tc>
          <w:tcPr>
            <w:tcW w:w="623"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rPr>
              <w:t>3</w:t>
            </w:r>
            <w:r>
              <w:rPr>
                <w:rFonts w:hint="eastAsia" w:ascii="Times New Roman" w:hAnsi="Times New Roman" w:eastAsia="宋体" w:cs="宋体"/>
                <w:color w:val="auto"/>
                <w:szCs w:val="21"/>
                <w:lang w:val="en-US" w:eastAsia="zh-CN"/>
              </w:rPr>
              <w:t>3</w:t>
            </w:r>
            <w:r>
              <w:rPr>
                <w:rFonts w:hint="eastAsia" w:ascii="Times New Roman" w:hAnsi="Times New Roman" w:eastAsia="宋体" w:cs="宋体"/>
                <w:color w:val="auto"/>
                <w:szCs w:val="21"/>
              </w:rPr>
              <w:t>.6976</w:t>
            </w:r>
          </w:p>
        </w:tc>
        <w:tc>
          <w:tcPr>
            <w:tcW w:w="475"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lang w:val="en-US" w:eastAsia="zh-CN"/>
              </w:rPr>
              <w:t>20.0m</w:t>
            </w:r>
          </w:p>
        </w:tc>
        <w:tc>
          <w:tcPr>
            <w:tcW w:w="454"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lang w:val="en-US" w:eastAsia="zh-CN"/>
              </w:rPr>
              <w:t>潜水含水层</w:t>
            </w:r>
          </w:p>
        </w:tc>
        <w:tc>
          <w:tcPr>
            <w:tcW w:w="743"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lang w:eastAsia="zh-CN"/>
              </w:rPr>
              <w:t>厂界污染源监测井</w:t>
            </w:r>
          </w:p>
        </w:tc>
        <w:tc>
          <w:tcPr>
            <w:tcW w:w="630" w:type="pct"/>
            <w:vMerge w:val="continue"/>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p>
        </w:tc>
        <w:tc>
          <w:tcPr>
            <w:tcW w:w="655" w:type="pct"/>
            <w:vMerge w:val="continue"/>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266" w:type="pct"/>
            <w:vMerge w:val="continue"/>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p>
        </w:tc>
        <w:tc>
          <w:tcPr>
            <w:tcW w:w="525"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lang w:eastAsia="zh-CN"/>
              </w:rPr>
            </w:pPr>
            <w:r>
              <w:rPr>
                <w:rFonts w:hint="eastAsia" w:ascii="Times New Roman" w:hAnsi="Times New Roman" w:eastAsia="宋体" w:cs="宋体"/>
                <w:color w:val="auto"/>
                <w:szCs w:val="21"/>
                <w:lang w:eastAsia="zh-CN"/>
              </w:rPr>
              <w:t>填埋库区</w:t>
            </w:r>
            <w:r>
              <w:rPr>
                <w:rFonts w:hint="eastAsia" w:ascii="Times New Roman" w:hAnsi="Times New Roman" w:eastAsia="宋体" w:cs="宋体"/>
                <w:color w:val="auto"/>
                <w:szCs w:val="21"/>
              </w:rPr>
              <w:t>下游</w:t>
            </w:r>
            <w:r>
              <w:rPr>
                <w:rFonts w:hint="eastAsia" w:ascii="Times New Roman" w:hAnsi="Times New Roman" w:eastAsia="宋体" w:cs="宋体"/>
                <w:color w:val="auto"/>
                <w:szCs w:val="21"/>
                <w:lang w:val="en-US" w:eastAsia="zh-CN"/>
              </w:rPr>
              <w:t>3</w:t>
            </w:r>
            <w:r>
              <w:rPr>
                <w:rFonts w:hint="eastAsia" w:ascii="Times New Roman" w:hAnsi="Times New Roman" w:eastAsia="宋体" w:cs="宋体"/>
                <w:color w:val="auto"/>
                <w:szCs w:val="21"/>
              </w:rPr>
              <w:t>0m处</w:t>
            </w:r>
          </w:p>
        </w:tc>
        <w:tc>
          <w:tcPr>
            <w:tcW w:w="624"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lang w:eastAsia="zh-CN"/>
              </w:rPr>
            </w:pPr>
            <w:r>
              <w:rPr>
                <w:rFonts w:hint="eastAsia" w:ascii="Times New Roman" w:hAnsi="Times New Roman" w:eastAsia="宋体" w:cs="宋体"/>
                <w:color w:val="auto"/>
                <w:szCs w:val="21"/>
              </w:rPr>
              <w:t>11</w:t>
            </w:r>
            <w:r>
              <w:rPr>
                <w:rFonts w:hint="eastAsia" w:ascii="Times New Roman" w:hAnsi="Times New Roman" w:eastAsia="宋体" w:cs="宋体"/>
                <w:color w:val="auto"/>
                <w:szCs w:val="21"/>
                <w:lang w:val="en-US" w:eastAsia="zh-CN"/>
              </w:rPr>
              <w:t>7</w:t>
            </w:r>
            <w:r>
              <w:rPr>
                <w:rFonts w:hint="eastAsia" w:ascii="Times New Roman" w:hAnsi="Times New Roman" w:eastAsia="宋体" w:cs="宋体"/>
                <w:color w:val="auto"/>
                <w:szCs w:val="21"/>
              </w:rPr>
              <w:t>.</w:t>
            </w:r>
            <w:r>
              <w:rPr>
                <w:rFonts w:hint="eastAsia" w:ascii="Times New Roman" w:hAnsi="Times New Roman" w:eastAsia="宋体" w:cs="宋体"/>
                <w:color w:val="auto"/>
                <w:szCs w:val="21"/>
                <w:lang w:val="en-US" w:eastAsia="zh-CN"/>
              </w:rPr>
              <w:t>66</w:t>
            </w:r>
            <w:r>
              <w:rPr>
                <w:rFonts w:hint="eastAsia" w:ascii="Times New Roman" w:hAnsi="Times New Roman" w:eastAsia="宋体" w:cs="宋体"/>
                <w:color w:val="auto"/>
                <w:szCs w:val="21"/>
              </w:rPr>
              <w:t>8</w:t>
            </w:r>
            <w:r>
              <w:rPr>
                <w:rFonts w:hint="eastAsia" w:ascii="Times New Roman" w:hAnsi="Times New Roman" w:eastAsia="宋体" w:cs="宋体"/>
                <w:color w:val="auto"/>
                <w:szCs w:val="21"/>
                <w:lang w:val="en-US" w:eastAsia="zh-CN"/>
              </w:rPr>
              <w:t>2</w:t>
            </w:r>
          </w:p>
        </w:tc>
        <w:tc>
          <w:tcPr>
            <w:tcW w:w="623"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rPr>
              <w:t>3</w:t>
            </w:r>
            <w:r>
              <w:rPr>
                <w:rFonts w:hint="eastAsia" w:ascii="Times New Roman" w:hAnsi="Times New Roman" w:eastAsia="宋体" w:cs="宋体"/>
                <w:color w:val="auto"/>
                <w:szCs w:val="21"/>
                <w:lang w:val="en-US" w:eastAsia="zh-CN"/>
              </w:rPr>
              <w:t>3</w:t>
            </w:r>
            <w:r>
              <w:rPr>
                <w:rFonts w:hint="eastAsia" w:ascii="Times New Roman" w:hAnsi="Times New Roman" w:eastAsia="宋体" w:cs="宋体"/>
                <w:color w:val="auto"/>
                <w:szCs w:val="21"/>
              </w:rPr>
              <w:t>.6</w:t>
            </w:r>
            <w:r>
              <w:rPr>
                <w:rFonts w:hint="eastAsia" w:ascii="Times New Roman" w:hAnsi="Times New Roman" w:eastAsia="宋体" w:cs="宋体"/>
                <w:color w:val="auto"/>
                <w:szCs w:val="21"/>
                <w:lang w:val="en-US" w:eastAsia="zh-CN"/>
              </w:rPr>
              <w:t>52</w:t>
            </w:r>
            <w:r>
              <w:rPr>
                <w:rFonts w:hint="eastAsia" w:ascii="Times New Roman" w:hAnsi="Times New Roman" w:eastAsia="宋体" w:cs="宋体"/>
                <w:color w:val="auto"/>
                <w:szCs w:val="21"/>
              </w:rPr>
              <w:t>7</w:t>
            </w:r>
          </w:p>
        </w:tc>
        <w:tc>
          <w:tcPr>
            <w:tcW w:w="475"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lang w:val="en-US" w:eastAsia="zh-CN"/>
              </w:rPr>
              <w:t>20.0m</w:t>
            </w:r>
          </w:p>
        </w:tc>
        <w:tc>
          <w:tcPr>
            <w:tcW w:w="454"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lang w:val="en-US" w:eastAsia="zh-CN"/>
              </w:rPr>
              <w:t>潜水含水层</w:t>
            </w:r>
          </w:p>
        </w:tc>
        <w:tc>
          <w:tcPr>
            <w:tcW w:w="743"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lang w:eastAsia="zh-CN"/>
              </w:rPr>
              <w:t>下游监测井</w:t>
            </w:r>
          </w:p>
        </w:tc>
        <w:tc>
          <w:tcPr>
            <w:tcW w:w="630" w:type="pct"/>
            <w:vMerge w:val="continue"/>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p>
        </w:tc>
        <w:tc>
          <w:tcPr>
            <w:tcW w:w="655" w:type="pct"/>
            <w:vMerge w:val="continue"/>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266" w:type="pct"/>
            <w:vMerge w:val="continue"/>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p>
        </w:tc>
        <w:tc>
          <w:tcPr>
            <w:tcW w:w="525" w:type="pct"/>
            <w:tcBorders>
              <w:tl2br w:val="nil"/>
              <w:tr2bl w:val="nil"/>
            </w:tcBorders>
            <w:noWrap w:val="0"/>
            <w:vAlign w:val="center"/>
          </w:tcPr>
          <w:p>
            <w:pPr>
              <w:adjustRightInd w:val="0"/>
              <w:snapToGrid w:val="0"/>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Cs w:val="21"/>
                <w:lang w:eastAsia="zh-CN"/>
              </w:rPr>
              <w:t>填埋库区</w:t>
            </w:r>
            <w:r>
              <w:rPr>
                <w:rFonts w:hint="eastAsia" w:ascii="Times New Roman" w:hAnsi="Times New Roman" w:eastAsia="宋体" w:cs="宋体"/>
                <w:color w:val="auto"/>
                <w:szCs w:val="21"/>
              </w:rPr>
              <w:t>下游</w:t>
            </w:r>
            <w:r>
              <w:rPr>
                <w:rFonts w:hint="eastAsia" w:ascii="Times New Roman" w:hAnsi="Times New Roman" w:eastAsia="宋体" w:cs="宋体"/>
                <w:color w:val="auto"/>
                <w:szCs w:val="21"/>
                <w:lang w:val="en-US" w:eastAsia="zh-CN"/>
              </w:rPr>
              <w:t>5</w:t>
            </w:r>
            <w:r>
              <w:rPr>
                <w:rFonts w:hint="eastAsia" w:ascii="Times New Roman" w:hAnsi="Times New Roman" w:eastAsia="宋体" w:cs="宋体"/>
                <w:color w:val="auto"/>
                <w:szCs w:val="21"/>
              </w:rPr>
              <w:t>0m处</w:t>
            </w:r>
          </w:p>
        </w:tc>
        <w:tc>
          <w:tcPr>
            <w:tcW w:w="624" w:type="pct"/>
            <w:tcBorders>
              <w:tl2br w:val="nil"/>
              <w:tr2bl w:val="nil"/>
            </w:tcBorders>
            <w:noWrap w:val="0"/>
            <w:vAlign w:val="center"/>
          </w:tcPr>
          <w:p>
            <w:pPr>
              <w:adjustRightInd w:val="0"/>
              <w:snapToGrid w:val="0"/>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Cs w:val="21"/>
              </w:rPr>
              <w:t>11</w:t>
            </w:r>
            <w:r>
              <w:rPr>
                <w:rFonts w:hint="eastAsia" w:ascii="Times New Roman" w:hAnsi="Times New Roman" w:eastAsia="宋体" w:cs="宋体"/>
                <w:color w:val="auto"/>
                <w:szCs w:val="21"/>
                <w:lang w:val="en-US" w:eastAsia="zh-CN"/>
              </w:rPr>
              <w:t>7</w:t>
            </w:r>
            <w:r>
              <w:rPr>
                <w:rFonts w:hint="eastAsia" w:ascii="Times New Roman" w:hAnsi="Times New Roman" w:eastAsia="宋体" w:cs="宋体"/>
                <w:color w:val="auto"/>
                <w:szCs w:val="21"/>
              </w:rPr>
              <w:t>.8881</w:t>
            </w:r>
          </w:p>
        </w:tc>
        <w:tc>
          <w:tcPr>
            <w:tcW w:w="623" w:type="pct"/>
            <w:tcBorders>
              <w:tl2br w:val="nil"/>
              <w:tr2bl w:val="nil"/>
            </w:tcBorders>
            <w:noWrap w:val="0"/>
            <w:vAlign w:val="center"/>
          </w:tcPr>
          <w:p>
            <w:pPr>
              <w:adjustRightInd w:val="0"/>
              <w:snapToGrid w:val="0"/>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Cs w:val="21"/>
              </w:rPr>
              <w:t>3</w:t>
            </w:r>
            <w:r>
              <w:rPr>
                <w:rFonts w:hint="eastAsia" w:ascii="Times New Roman" w:hAnsi="Times New Roman" w:eastAsia="宋体" w:cs="宋体"/>
                <w:color w:val="auto"/>
                <w:szCs w:val="21"/>
                <w:lang w:val="en-US" w:eastAsia="zh-CN"/>
              </w:rPr>
              <w:t>3</w:t>
            </w:r>
            <w:r>
              <w:rPr>
                <w:rFonts w:hint="eastAsia" w:ascii="Times New Roman" w:hAnsi="Times New Roman" w:eastAsia="宋体" w:cs="宋体"/>
                <w:color w:val="auto"/>
                <w:szCs w:val="21"/>
              </w:rPr>
              <w:t>.6987</w:t>
            </w:r>
          </w:p>
        </w:tc>
        <w:tc>
          <w:tcPr>
            <w:tcW w:w="475" w:type="pct"/>
            <w:tcBorders>
              <w:tl2br w:val="nil"/>
              <w:tr2bl w:val="nil"/>
            </w:tcBorders>
            <w:noWrap w:val="0"/>
            <w:vAlign w:val="center"/>
          </w:tcPr>
          <w:p>
            <w:pPr>
              <w:adjustRightInd w:val="0"/>
              <w:snapToGrid w:val="0"/>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Cs w:val="21"/>
                <w:lang w:val="en-US" w:eastAsia="zh-CN"/>
              </w:rPr>
              <w:t>20.0m</w:t>
            </w:r>
          </w:p>
        </w:tc>
        <w:tc>
          <w:tcPr>
            <w:tcW w:w="454" w:type="pct"/>
            <w:tcBorders>
              <w:tl2br w:val="nil"/>
              <w:tr2bl w:val="nil"/>
            </w:tcBorders>
            <w:noWrap w:val="0"/>
            <w:vAlign w:val="center"/>
          </w:tcPr>
          <w:p>
            <w:pPr>
              <w:adjustRightInd w:val="0"/>
              <w:snapToGrid w:val="0"/>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Cs w:val="21"/>
                <w:lang w:val="en-US" w:eastAsia="zh-CN"/>
              </w:rPr>
              <w:t>潜水含水层</w:t>
            </w:r>
          </w:p>
        </w:tc>
        <w:tc>
          <w:tcPr>
            <w:tcW w:w="743" w:type="pct"/>
            <w:tcBorders>
              <w:tl2br w:val="nil"/>
              <w:tr2bl w:val="nil"/>
            </w:tcBorders>
            <w:noWrap w:val="0"/>
            <w:vAlign w:val="center"/>
          </w:tcPr>
          <w:p>
            <w:pPr>
              <w:adjustRightInd w:val="0"/>
              <w:snapToGrid w:val="0"/>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Cs w:val="21"/>
                <w:lang w:eastAsia="zh-CN"/>
              </w:rPr>
              <w:t>下游监测井</w:t>
            </w:r>
          </w:p>
        </w:tc>
        <w:tc>
          <w:tcPr>
            <w:tcW w:w="630" w:type="pct"/>
            <w:vMerge w:val="continue"/>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p>
        </w:tc>
        <w:tc>
          <w:tcPr>
            <w:tcW w:w="655" w:type="pct"/>
            <w:vMerge w:val="continue"/>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lang w:val="en-US" w:eastAsia="zh-CN"/>
              </w:rPr>
            </w:pPr>
          </w:p>
        </w:tc>
      </w:tr>
    </w:tbl>
    <w:p>
      <w:pPr>
        <w:pStyle w:val="146"/>
        <w:rPr>
          <w:rFonts w:hint="eastAsia" w:ascii="Times New Roman" w:hAnsi="Times New Roman"/>
          <w:color w:val="auto"/>
        </w:rPr>
      </w:pPr>
    </w:p>
    <w:p>
      <w:pPr>
        <w:tabs>
          <w:tab w:val="left" w:pos="3240"/>
        </w:tabs>
        <w:spacing w:line="360" w:lineRule="auto"/>
        <w:ind w:firstLine="480" w:firstLineChars="200"/>
        <w:rPr>
          <w:rFonts w:hint="eastAsia" w:ascii="Times New Roman" w:hAnsi="Times New Roman" w:eastAsia="宋体" w:cs="宋体"/>
          <w:color w:val="auto"/>
          <w:sz w:val="24"/>
        </w:rPr>
      </w:pPr>
      <w:r>
        <w:rPr>
          <w:rFonts w:hint="eastAsia" w:ascii="Times New Roman" w:hAnsi="Times New Roman" w:eastAsia="宋体" w:cs="宋体"/>
          <w:color w:val="auto"/>
          <w:sz w:val="24"/>
        </w:rPr>
        <w:t>（</w:t>
      </w:r>
      <w:r>
        <w:rPr>
          <w:rFonts w:hint="eastAsia" w:ascii="Times New Roman" w:hAnsi="Times New Roman" w:eastAsia="宋体" w:cs="宋体"/>
          <w:color w:val="auto"/>
          <w:sz w:val="24"/>
          <w:lang w:val="en-US" w:eastAsia="zh-CN"/>
        </w:rPr>
        <w:t>3</w:t>
      </w:r>
      <w:r>
        <w:rPr>
          <w:rFonts w:hint="eastAsia" w:ascii="Times New Roman" w:hAnsi="Times New Roman" w:eastAsia="宋体" w:cs="宋体"/>
          <w:color w:val="auto"/>
          <w:sz w:val="24"/>
        </w:rPr>
        <w:t>）填埋场建设采用采用</w:t>
      </w:r>
      <w:r>
        <w:rPr>
          <w:rFonts w:hint="eastAsia" w:ascii="Times New Roman" w:hAnsi="Times New Roman" w:eastAsia="宋体" w:cs="宋体"/>
          <w:color w:val="auto"/>
          <w:kern w:val="0"/>
          <w:sz w:val="24"/>
        </w:rPr>
        <w:t>“HDPE+土工布+粘土层”的复合防渗结构</w:t>
      </w:r>
      <w:r>
        <w:rPr>
          <w:rFonts w:hint="eastAsia" w:ascii="Times New Roman" w:hAnsi="Times New Roman" w:eastAsia="宋体" w:cs="宋体"/>
          <w:color w:val="auto"/>
          <w:sz w:val="24"/>
        </w:rPr>
        <w:t>。</w:t>
      </w:r>
    </w:p>
    <w:p>
      <w:pPr>
        <w:spacing w:line="360" w:lineRule="auto"/>
        <w:ind w:firstLine="480" w:firstLineChars="200"/>
        <w:rPr>
          <w:rFonts w:hint="eastAsia" w:ascii="Times New Roman" w:hAnsi="Times New Roman" w:eastAsia="宋体" w:cs="宋体"/>
          <w:bCs/>
          <w:color w:val="auto"/>
          <w:sz w:val="24"/>
        </w:rPr>
      </w:pPr>
      <w:r>
        <w:rPr>
          <w:rFonts w:hint="eastAsia" w:ascii="Times New Roman" w:hAnsi="Times New Roman" w:eastAsia="宋体" w:cs="宋体"/>
          <w:bCs/>
          <w:color w:val="auto"/>
          <w:sz w:val="24"/>
        </w:rPr>
        <w:t>（</w:t>
      </w:r>
      <w:r>
        <w:rPr>
          <w:rFonts w:hint="eastAsia" w:ascii="Times New Roman" w:hAnsi="Times New Roman" w:eastAsia="宋体" w:cs="宋体"/>
          <w:bCs/>
          <w:color w:val="auto"/>
          <w:sz w:val="24"/>
          <w:lang w:val="en-US" w:eastAsia="zh-CN"/>
        </w:rPr>
        <w:t>4</w:t>
      </w:r>
      <w:r>
        <w:rPr>
          <w:rFonts w:hint="eastAsia" w:ascii="Times New Roman" w:hAnsi="Times New Roman" w:eastAsia="宋体" w:cs="宋体"/>
          <w:bCs/>
          <w:color w:val="auto"/>
          <w:sz w:val="24"/>
        </w:rPr>
        <w:t>）在防渗层以下沿库底冲沟设置地下水导排盲沟，地下导排盲沟穿过填埋库区、垃圾坝，将地下水引至库区下游排出。</w:t>
      </w:r>
    </w:p>
    <w:p>
      <w:pPr>
        <w:tabs>
          <w:tab w:val="left" w:pos="3240"/>
        </w:tabs>
        <w:spacing w:line="360" w:lineRule="auto"/>
        <w:ind w:firstLine="480" w:firstLineChars="200"/>
        <w:rPr>
          <w:rFonts w:hint="eastAsia" w:ascii="Times New Roman" w:hAnsi="Times New Roman" w:eastAsia="宋体" w:cs="宋体"/>
          <w:color w:val="auto"/>
          <w:sz w:val="24"/>
        </w:rPr>
      </w:pPr>
      <w:r>
        <w:rPr>
          <w:rFonts w:hint="eastAsia" w:ascii="Times New Roman" w:hAnsi="Times New Roman" w:eastAsia="宋体" w:cs="宋体"/>
          <w:color w:val="auto"/>
          <w:sz w:val="24"/>
        </w:rPr>
        <w:t>（</w:t>
      </w:r>
      <w:r>
        <w:rPr>
          <w:rFonts w:hint="eastAsia" w:ascii="Times New Roman" w:hAnsi="Times New Roman" w:eastAsia="宋体" w:cs="宋体"/>
          <w:color w:val="auto"/>
          <w:sz w:val="24"/>
          <w:lang w:val="en-US" w:eastAsia="zh-CN"/>
        </w:rPr>
        <w:t>5</w:t>
      </w:r>
      <w:r>
        <w:rPr>
          <w:rFonts w:hint="eastAsia" w:ascii="Times New Roman" w:hAnsi="Times New Roman" w:eastAsia="宋体" w:cs="宋体"/>
          <w:color w:val="auto"/>
          <w:sz w:val="24"/>
        </w:rPr>
        <w:t>）填埋场建设渗滤液导排系统，该导排系统确保填埋场在运营期内防渗衬层上的</w:t>
      </w:r>
      <w:r>
        <w:rPr>
          <w:rFonts w:hint="eastAsia" w:ascii="Times New Roman" w:hAnsi="Times New Roman" w:eastAsia="宋体" w:cs="宋体"/>
          <w:bCs/>
          <w:color w:val="auto"/>
          <w:sz w:val="24"/>
        </w:rPr>
        <w:t>渗滤液深度不大于30m。</w:t>
      </w:r>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color w:val="auto"/>
          <w:sz w:val="24"/>
        </w:rPr>
      </w:pPr>
      <w:r>
        <w:rPr>
          <w:rFonts w:hint="eastAsia" w:ascii="Times New Roman" w:hAnsi="Times New Roman" w:eastAsia="宋体" w:cs="宋体"/>
          <w:color w:val="auto"/>
          <w:sz w:val="24"/>
        </w:rPr>
        <w:t>（</w:t>
      </w:r>
      <w:r>
        <w:rPr>
          <w:rFonts w:hint="eastAsia" w:ascii="Times New Roman" w:hAnsi="Times New Roman" w:eastAsia="宋体" w:cs="宋体"/>
          <w:color w:val="auto"/>
          <w:sz w:val="24"/>
          <w:lang w:val="en-US" w:eastAsia="zh-CN"/>
        </w:rPr>
        <w:t>6</w:t>
      </w:r>
      <w:r>
        <w:rPr>
          <w:rFonts w:hint="eastAsia" w:ascii="Times New Roman" w:hAnsi="Times New Roman" w:eastAsia="宋体" w:cs="宋体"/>
          <w:color w:val="auto"/>
          <w:sz w:val="24"/>
        </w:rPr>
        <w:t>）发现地下水质出现异常现象时，应加大取样频率，并根据实际情况增加监测项目，查出原因以便进行补救；同时极时上报当地环保部门及其他相关部门，采取应急措施。查出原因以便进行补救。</w:t>
      </w:r>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color w:val="auto"/>
          <w:sz w:val="24"/>
          <w:szCs w:val="24"/>
        </w:rPr>
      </w:pPr>
      <w:r>
        <w:rPr>
          <w:rFonts w:hint="eastAsia" w:ascii="Times New Roman" w:hAnsi="Times New Roman" w:eastAsia="宋体" w:cs="宋体"/>
          <w:color w:val="auto"/>
          <w:sz w:val="24"/>
          <w:szCs w:val="24"/>
        </w:rPr>
        <w:t>（</w:t>
      </w:r>
      <w:r>
        <w:rPr>
          <w:rFonts w:hint="eastAsia" w:ascii="Times New Roman" w:hAnsi="Times New Roman" w:eastAsia="宋体" w:cs="宋体"/>
          <w:color w:val="auto"/>
          <w:sz w:val="24"/>
          <w:szCs w:val="24"/>
          <w:lang w:val="en-US" w:eastAsia="zh-CN"/>
        </w:rPr>
        <w:t>7</w:t>
      </w:r>
      <w:r>
        <w:rPr>
          <w:rFonts w:hint="eastAsia" w:ascii="Times New Roman" w:hAnsi="Times New Roman" w:eastAsia="宋体" w:cs="宋体"/>
          <w:color w:val="auto"/>
          <w:sz w:val="24"/>
          <w:szCs w:val="24"/>
        </w:rPr>
        <w:t>）填埋场设置渗滤液</w:t>
      </w:r>
      <w:r>
        <w:rPr>
          <w:rFonts w:hint="eastAsia" w:ascii="Times New Roman" w:hAnsi="Times New Roman" w:eastAsia="宋体" w:cs="宋体"/>
          <w:color w:val="auto"/>
          <w:sz w:val="24"/>
          <w:szCs w:val="24"/>
          <w:lang w:eastAsia="zh-CN"/>
        </w:rPr>
        <w:t>收集系统</w:t>
      </w:r>
      <w:r>
        <w:rPr>
          <w:rFonts w:hint="eastAsia" w:ascii="Times New Roman" w:hAnsi="Times New Roman" w:eastAsia="宋体" w:cs="宋体"/>
          <w:color w:val="auto"/>
          <w:sz w:val="24"/>
          <w:szCs w:val="24"/>
        </w:rPr>
        <w:t>，雨水系统收集的雨水不得与渗滤液混排，</w:t>
      </w:r>
      <w:r>
        <w:rPr>
          <w:rFonts w:hint="eastAsia" w:ascii="Times New Roman" w:hAnsi="Times New Roman"/>
          <w:color w:val="auto"/>
          <w:sz w:val="24"/>
          <w:szCs w:val="24"/>
          <w:lang w:eastAsia="zh-CN"/>
        </w:rPr>
        <w:t>渗滤液收集后泵送入厂区南侧的灵璧县生活垃圾填埋场处理。</w:t>
      </w:r>
    </w:p>
    <w:bookmarkEnd w:id="45"/>
    <w:p>
      <w:pPr>
        <w:pStyle w:val="6"/>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cs="Times New Roman"/>
          <w:color w:val="auto"/>
        </w:rPr>
      </w:pPr>
      <w:bookmarkStart w:id="49" w:name="_Toc23932247"/>
      <w:bookmarkStart w:id="50" w:name="_Toc22954"/>
      <w:r>
        <w:rPr>
          <w:rFonts w:ascii="Times New Roman" w:hAnsi="Times New Roman" w:cs="Times New Roman"/>
          <w:color w:val="auto"/>
        </w:rPr>
        <w:t>4.</w:t>
      </w:r>
      <w:r>
        <w:rPr>
          <w:rFonts w:hint="eastAsia" w:ascii="Times New Roman" w:hAnsi="Times New Roman" w:cs="Times New Roman"/>
          <w:color w:val="auto"/>
          <w:lang w:val="en-US" w:eastAsia="zh-CN"/>
        </w:rPr>
        <w:t>4</w:t>
      </w:r>
      <w:r>
        <w:rPr>
          <w:rFonts w:ascii="Times New Roman" w:hAnsi="Times New Roman" w:cs="Times New Roman"/>
          <w:color w:val="auto"/>
        </w:rPr>
        <w:t>环境管理检查情况</w:t>
      </w:r>
      <w:bookmarkEnd w:id="49"/>
      <w:bookmarkEnd w:id="50"/>
    </w:p>
    <w:p>
      <w:pPr>
        <w:pStyle w:val="7"/>
        <w:pageBreakBefore w:val="0"/>
        <w:widowControl w:val="0"/>
        <w:kinsoku/>
        <w:wordWrap/>
        <w:overflowPunct/>
        <w:topLinePunct w:val="0"/>
        <w:autoSpaceDE/>
        <w:autoSpaceDN/>
        <w:bidi w:val="0"/>
        <w:adjustRightInd/>
        <w:snapToGrid/>
        <w:spacing w:line="360" w:lineRule="auto"/>
        <w:textAlignment w:val="auto"/>
        <w:rPr>
          <w:rFonts w:ascii="Times New Roman" w:hAnsi="Times New Roman"/>
          <w:color w:val="auto"/>
        </w:rPr>
      </w:pPr>
      <w:bookmarkStart w:id="51" w:name="_Toc23788572"/>
      <w:bookmarkStart w:id="52" w:name="_Toc23932248"/>
      <w:bookmarkStart w:id="53" w:name="_Toc20925"/>
      <w:bookmarkStart w:id="54" w:name="_Toc53502001"/>
      <w:bookmarkStart w:id="55" w:name="_Toc48659620"/>
      <w:r>
        <w:rPr>
          <w:rFonts w:hint="eastAsia" w:ascii="Times New Roman" w:hAnsi="Times New Roman"/>
          <w:color w:val="auto"/>
        </w:rPr>
        <w:t>4.</w:t>
      </w:r>
      <w:r>
        <w:rPr>
          <w:rFonts w:hint="eastAsia" w:ascii="Times New Roman" w:hAnsi="Times New Roman"/>
          <w:color w:val="auto"/>
          <w:lang w:val="en-US" w:eastAsia="zh-CN"/>
        </w:rPr>
        <w:t>4</w:t>
      </w:r>
      <w:r>
        <w:rPr>
          <w:rFonts w:hint="eastAsia" w:ascii="Times New Roman" w:hAnsi="Times New Roman"/>
          <w:color w:val="auto"/>
        </w:rPr>
        <w:t>.</w:t>
      </w:r>
      <w:r>
        <w:rPr>
          <w:rFonts w:hint="eastAsia" w:ascii="Times New Roman" w:hAnsi="Times New Roman"/>
          <w:color w:val="auto"/>
          <w:lang w:val="en-US" w:eastAsia="zh-CN"/>
        </w:rPr>
        <w:t>1</w:t>
      </w:r>
      <w:r>
        <w:rPr>
          <w:rFonts w:hint="eastAsia" w:ascii="Times New Roman" w:hAnsi="Times New Roman"/>
          <w:color w:val="auto"/>
        </w:rPr>
        <w:t>环境管理</w:t>
      </w:r>
      <w:bookmarkEnd w:id="51"/>
      <w:bookmarkEnd w:id="52"/>
      <w:r>
        <w:rPr>
          <w:rFonts w:hint="eastAsia" w:ascii="Times New Roman" w:hAnsi="Times New Roman"/>
          <w:color w:val="auto"/>
        </w:rPr>
        <w:t>制度</w:t>
      </w:r>
      <w:bookmarkEnd w:id="53"/>
      <w:bookmarkEnd w:id="54"/>
      <w:bookmarkEnd w:id="55"/>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color w:val="auto"/>
          <w:kern w:val="1"/>
        </w:rPr>
      </w:pPr>
      <w:bookmarkStart w:id="56" w:name="_Toc23932249"/>
      <w:r>
        <w:rPr>
          <w:rFonts w:ascii="Times New Roman" w:hAnsi="Times New Roman"/>
          <w:color w:val="auto"/>
          <w:kern w:val="1"/>
        </w:rPr>
        <w:t>其内容主要有：环境管理的指导思想、目的和要求，环境管理体制和机构及职责分工及相关关系，实施环境管理的基本原则、途径和方法，环境保护的检查、考核与奖惩等。</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color w:val="auto"/>
          <w:kern w:val="1"/>
        </w:rPr>
      </w:pPr>
      <w:r>
        <w:rPr>
          <w:rFonts w:ascii="Times New Roman" w:hAnsi="Times New Roman"/>
          <w:color w:val="auto"/>
          <w:kern w:val="1"/>
        </w:rPr>
        <w:t>环境管理技术规程、标准。主要包括：污染物排放控制标准；环境监测技术规程；生产工艺、设备的环境技术规程；环境保护设备的操作规程等。</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color w:val="auto"/>
          <w:kern w:val="1"/>
        </w:rPr>
      </w:pPr>
      <w:r>
        <w:rPr>
          <w:rFonts w:ascii="Times New Roman" w:hAnsi="Times New Roman"/>
          <w:color w:val="auto"/>
          <w:kern w:val="1"/>
        </w:rPr>
        <w:t>环境保护责任制度。其主要内容为：</w:t>
      </w:r>
      <w:r>
        <w:rPr>
          <w:rFonts w:hint="eastAsia" w:ascii="Times New Roman" w:hAnsi="Times New Roman"/>
          <w:color w:val="auto"/>
          <w:kern w:val="1"/>
          <w:lang w:eastAsia="zh-CN"/>
        </w:rPr>
        <w:t>场区内部</w:t>
      </w:r>
      <w:r>
        <w:rPr>
          <w:rFonts w:ascii="Times New Roman" w:hAnsi="Times New Roman"/>
          <w:color w:val="auto"/>
          <w:kern w:val="1"/>
        </w:rPr>
        <w:t>各部门、各类人员的环境保护工作范围、应负的责任，以及相应的权力。</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color w:val="auto"/>
        </w:rPr>
      </w:pPr>
      <w:r>
        <w:rPr>
          <w:rFonts w:ascii="Times New Roman" w:hAnsi="Times New Roman"/>
          <w:color w:val="auto"/>
          <w:kern w:val="1"/>
        </w:rPr>
        <w:t>环境保护业务管理制度。主要包括：环保设备管理制度、环境监测管理制度、环境统计制度、环保考核制度等。</w:t>
      </w:r>
    </w:p>
    <w:bookmarkEnd w:id="56"/>
    <w:p>
      <w:pPr>
        <w:pStyle w:val="7"/>
        <w:rPr>
          <w:rFonts w:ascii="Times New Roman" w:hAnsi="Times New Roman"/>
          <w:color w:val="auto"/>
        </w:rPr>
      </w:pPr>
      <w:bookmarkStart w:id="57" w:name="_Toc23932250"/>
      <w:bookmarkStart w:id="58" w:name="_Toc15997"/>
      <w:bookmarkStart w:id="59" w:name="_Toc20420889"/>
      <w:bookmarkStart w:id="60" w:name="_Toc23788574"/>
      <w:bookmarkStart w:id="61" w:name="_Toc534902526"/>
      <w:bookmarkStart w:id="62" w:name="_Toc8466082"/>
      <w:bookmarkStart w:id="63" w:name="_Toc48659622"/>
      <w:bookmarkStart w:id="64" w:name="_Toc534902903"/>
      <w:bookmarkStart w:id="65" w:name="_Toc3909996"/>
      <w:bookmarkStart w:id="66" w:name="_Toc53502002"/>
      <w:bookmarkStart w:id="67" w:name="_Toc6578134"/>
      <w:r>
        <w:rPr>
          <w:rFonts w:ascii="Times New Roman" w:hAnsi="Times New Roman"/>
          <w:color w:val="auto"/>
        </w:rPr>
        <w:t>4.</w:t>
      </w:r>
      <w:r>
        <w:rPr>
          <w:rFonts w:hint="eastAsia" w:ascii="Times New Roman" w:hAnsi="Times New Roman"/>
          <w:color w:val="auto"/>
          <w:lang w:val="en-US" w:eastAsia="zh-CN"/>
        </w:rPr>
        <w:t>4</w:t>
      </w:r>
      <w:r>
        <w:rPr>
          <w:rFonts w:ascii="Times New Roman" w:hAnsi="Times New Roman"/>
          <w:color w:val="auto"/>
        </w:rPr>
        <w:t>.</w:t>
      </w:r>
      <w:r>
        <w:rPr>
          <w:rFonts w:hint="eastAsia" w:ascii="Times New Roman" w:hAnsi="Times New Roman"/>
          <w:color w:val="auto"/>
        </w:rPr>
        <w:t>2</w:t>
      </w:r>
      <w:r>
        <w:rPr>
          <w:rFonts w:ascii="Times New Roman" w:hAnsi="Times New Roman"/>
          <w:color w:val="auto"/>
        </w:rPr>
        <w:t>环境监测计划</w:t>
      </w:r>
      <w:bookmarkEnd w:id="57"/>
      <w:bookmarkEnd w:id="58"/>
      <w:bookmarkEnd w:id="59"/>
      <w:bookmarkEnd w:id="60"/>
      <w:bookmarkEnd w:id="61"/>
      <w:bookmarkEnd w:id="62"/>
      <w:bookmarkEnd w:id="63"/>
      <w:bookmarkEnd w:id="64"/>
      <w:bookmarkEnd w:id="65"/>
      <w:bookmarkEnd w:id="66"/>
      <w:bookmarkEnd w:id="67"/>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color w:val="auto"/>
          <w:sz w:val="24"/>
        </w:rPr>
      </w:pPr>
      <w:r>
        <w:rPr>
          <w:rFonts w:hint="eastAsia" w:ascii="Times New Roman" w:hAnsi="Times New Roman" w:eastAsia="宋体" w:cs="宋体"/>
          <w:color w:val="auto"/>
          <w:sz w:val="24"/>
          <w:lang w:eastAsia="zh-CN"/>
        </w:rPr>
        <w:t>（</w:t>
      </w:r>
      <w:r>
        <w:rPr>
          <w:rFonts w:hint="eastAsia" w:ascii="Times New Roman" w:hAnsi="Times New Roman" w:eastAsia="宋体" w:cs="宋体"/>
          <w:color w:val="auto"/>
          <w:sz w:val="24"/>
          <w:lang w:val="en-US" w:eastAsia="zh-CN"/>
        </w:rPr>
        <w:t>1</w:t>
      </w:r>
      <w:r>
        <w:rPr>
          <w:rFonts w:hint="eastAsia" w:ascii="Times New Roman" w:hAnsi="Times New Roman" w:eastAsia="宋体" w:cs="宋体"/>
          <w:color w:val="auto"/>
          <w:sz w:val="24"/>
          <w:lang w:eastAsia="zh-CN"/>
        </w:rPr>
        <w:t>）</w:t>
      </w:r>
      <w:r>
        <w:rPr>
          <w:rFonts w:hint="eastAsia" w:ascii="Times New Roman" w:hAnsi="Times New Roman" w:eastAsia="宋体" w:cs="宋体"/>
          <w:color w:val="auto"/>
          <w:sz w:val="24"/>
        </w:rPr>
        <w:t>地下水监测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color w:val="auto"/>
          <w:sz w:val="24"/>
        </w:rPr>
      </w:pPr>
      <w:r>
        <w:rPr>
          <w:rFonts w:hint="eastAsia" w:ascii="Times New Roman" w:hAnsi="Times New Roman" w:eastAsia="宋体" w:cs="宋体"/>
          <w:color w:val="auto"/>
          <w:sz w:val="24"/>
        </w:rPr>
        <w:t>设置</w:t>
      </w:r>
      <w:r>
        <w:rPr>
          <w:rFonts w:hint="eastAsia" w:ascii="Times New Roman" w:hAnsi="Times New Roman" w:eastAsia="宋体" w:cs="宋体"/>
          <w:color w:val="auto"/>
          <w:sz w:val="24"/>
          <w:lang w:val="en-US" w:eastAsia="zh-CN"/>
        </w:rPr>
        <w:t>5</w:t>
      </w:r>
      <w:r>
        <w:rPr>
          <w:rFonts w:hint="eastAsia" w:ascii="Times New Roman" w:hAnsi="Times New Roman" w:eastAsia="宋体" w:cs="宋体"/>
          <w:color w:val="auto"/>
          <w:sz w:val="24"/>
        </w:rPr>
        <w:t>个地下水监测井（井深</w:t>
      </w:r>
      <w:r>
        <w:rPr>
          <w:rFonts w:hint="eastAsia" w:ascii="Times New Roman" w:hAnsi="Times New Roman" w:eastAsia="宋体" w:cs="宋体"/>
          <w:color w:val="auto"/>
          <w:sz w:val="24"/>
          <w:lang w:val="en-US" w:eastAsia="zh-CN"/>
        </w:rPr>
        <w:t>20</w:t>
      </w:r>
      <w:r>
        <w:rPr>
          <w:rFonts w:hint="eastAsia" w:ascii="Times New Roman" w:hAnsi="Times New Roman" w:eastAsia="宋体" w:cs="宋体"/>
          <w:color w:val="auto"/>
          <w:sz w:val="24"/>
        </w:rPr>
        <w:t>m）：</w:t>
      </w:r>
      <w:r>
        <w:rPr>
          <w:rFonts w:hint="eastAsia" w:ascii="Times New Roman" w:hAnsi="Times New Roman" w:eastAsia="宋体" w:cs="宋体"/>
          <w:color w:val="auto"/>
          <w:sz w:val="24"/>
          <w:lang w:val="en-US" w:eastAsia="zh-CN"/>
        </w:rPr>
        <w:t>2</w:t>
      </w:r>
      <w:r>
        <w:rPr>
          <w:rFonts w:hint="eastAsia" w:ascii="Times New Roman" w:hAnsi="Times New Roman" w:eastAsia="宋体" w:cs="宋体"/>
          <w:color w:val="auto"/>
          <w:sz w:val="24"/>
        </w:rPr>
        <w:t>个下游监测井</w:t>
      </w:r>
      <w:r>
        <w:rPr>
          <w:rFonts w:hint="eastAsia" w:ascii="Times New Roman" w:hAnsi="Times New Roman" w:eastAsia="宋体" w:cs="宋体"/>
          <w:color w:val="auto"/>
          <w:sz w:val="24"/>
          <w:lang w:val="en-US" w:eastAsia="zh-CN"/>
        </w:rPr>
        <w:t>、</w:t>
      </w:r>
      <w:r>
        <w:rPr>
          <w:rFonts w:hint="eastAsia" w:ascii="Times New Roman" w:hAnsi="Times New Roman" w:eastAsia="宋体" w:cs="宋体"/>
          <w:color w:val="auto"/>
          <w:sz w:val="24"/>
        </w:rPr>
        <w:t>2个填埋场旁侧</w:t>
      </w:r>
      <w:r>
        <w:rPr>
          <w:rFonts w:hint="eastAsia" w:ascii="Times New Roman" w:hAnsi="Times New Roman" w:eastAsia="宋体" w:cs="宋体"/>
          <w:color w:val="auto"/>
          <w:sz w:val="24"/>
          <w:lang w:eastAsia="zh-CN"/>
        </w:rPr>
        <w:t>厂界污染源监测</w:t>
      </w:r>
      <w:r>
        <w:rPr>
          <w:rFonts w:hint="eastAsia" w:ascii="Times New Roman" w:hAnsi="Times New Roman" w:eastAsia="宋体" w:cs="宋体"/>
          <w:color w:val="auto"/>
          <w:sz w:val="24"/>
        </w:rPr>
        <w:t>井</w:t>
      </w:r>
      <w:r>
        <w:rPr>
          <w:rFonts w:hint="eastAsia" w:ascii="Times New Roman" w:hAnsi="Times New Roman" w:eastAsia="宋体" w:cs="宋体"/>
          <w:color w:val="auto"/>
          <w:sz w:val="24"/>
          <w:lang w:eastAsia="zh-CN"/>
        </w:rPr>
        <w:t>、</w:t>
      </w:r>
      <w:r>
        <w:rPr>
          <w:rFonts w:hint="eastAsia" w:ascii="Times New Roman" w:hAnsi="Times New Roman" w:eastAsia="宋体" w:cs="宋体"/>
          <w:color w:val="auto"/>
          <w:sz w:val="24"/>
        </w:rPr>
        <w:t>1个上游</w:t>
      </w:r>
      <w:r>
        <w:rPr>
          <w:rFonts w:hint="eastAsia" w:ascii="Times New Roman" w:hAnsi="Times New Roman" w:eastAsia="宋体" w:cs="宋体"/>
          <w:color w:val="auto"/>
          <w:sz w:val="24"/>
          <w:lang w:eastAsia="zh-CN"/>
        </w:rPr>
        <w:t>背景监测</w:t>
      </w:r>
      <w:r>
        <w:rPr>
          <w:rFonts w:hint="eastAsia" w:ascii="Times New Roman" w:hAnsi="Times New Roman" w:eastAsia="宋体" w:cs="宋体"/>
          <w:color w:val="auto"/>
          <w:sz w:val="24"/>
        </w:rPr>
        <w:t>井。</w:t>
      </w:r>
      <w:r>
        <w:rPr>
          <w:rFonts w:hint="eastAsia" w:ascii="Times New Roman" w:hAnsi="Times New Roman" w:eastAsia="宋体" w:cs="宋体"/>
          <w:color w:val="auto"/>
          <w:sz w:val="24"/>
          <w:lang w:eastAsia="zh-CN"/>
        </w:rPr>
        <w:t>分别位于</w:t>
      </w:r>
      <w:r>
        <w:rPr>
          <w:rFonts w:hint="eastAsia" w:ascii="Times New Roman" w:hAnsi="Times New Roman" w:eastAsia="宋体" w:cs="宋体"/>
          <w:color w:val="auto"/>
          <w:sz w:val="24"/>
        </w:rPr>
        <w:t>填埋库区上游40m处、</w:t>
      </w:r>
      <w:r>
        <w:rPr>
          <w:rFonts w:hint="eastAsia" w:ascii="Times New Roman" w:hAnsi="Times New Roman" w:eastAsia="宋体" w:cs="宋体"/>
          <w:color w:val="auto"/>
          <w:sz w:val="24"/>
          <w:lang w:eastAsia="zh-CN"/>
        </w:rPr>
        <w:t>库区</w:t>
      </w:r>
      <w:r>
        <w:rPr>
          <w:rFonts w:hint="eastAsia" w:ascii="Times New Roman" w:hAnsi="Times New Roman" w:eastAsia="宋体" w:cs="宋体"/>
          <w:color w:val="auto"/>
          <w:sz w:val="24"/>
          <w:szCs w:val="24"/>
          <w:lang w:eastAsia="zh-CN"/>
        </w:rPr>
        <w:t>两侧</w:t>
      </w:r>
      <w:r>
        <w:rPr>
          <w:rFonts w:hint="eastAsia" w:ascii="Times New Roman" w:hAnsi="Times New Roman" w:eastAsia="宋体" w:cs="宋体"/>
          <w:color w:val="auto"/>
          <w:sz w:val="24"/>
          <w:lang w:eastAsia="zh-CN"/>
        </w:rPr>
        <w:t>、填埋库区</w:t>
      </w:r>
      <w:r>
        <w:rPr>
          <w:rFonts w:hint="eastAsia" w:ascii="Times New Roman" w:hAnsi="Times New Roman" w:eastAsia="宋体" w:cs="宋体"/>
          <w:color w:val="auto"/>
          <w:sz w:val="24"/>
        </w:rPr>
        <w:t>下游</w:t>
      </w:r>
      <w:r>
        <w:rPr>
          <w:rFonts w:hint="eastAsia" w:ascii="Times New Roman" w:hAnsi="Times New Roman" w:eastAsia="宋体" w:cs="宋体"/>
          <w:color w:val="auto"/>
          <w:sz w:val="24"/>
          <w:lang w:val="en-US" w:eastAsia="zh-CN"/>
        </w:rPr>
        <w:t>3</w:t>
      </w:r>
      <w:r>
        <w:rPr>
          <w:rFonts w:hint="eastAsia" w:ascii="Times New Roman" w:hAnsi="Times New Roman" w:eastAsia="宋体" w:cs="宋体"/>
          <w:color w:val="auto"/>
          <w:sz w:val="24"/>
        </w:rPr>
        <w:t>0m</w:t>
      </w:r>
      <w:r>
        <w:rPr>
          <w:rFonts w:hint="eastAsia" w:ascii="Times New Roman" w:hAnsi="Times New Roman" w:eastAsia="宋体" w:cs="宋体"/>
          <w:color w:val="auto"/>
          <w:sz w:val="24"/>
          <w:lang w:eastAsia="zh-CN"/>
        </w:rPr>
        <w:t>、</w:t>
      </w:r>
      <w:r>
        <w:rPr>
          <w:rFonts w:hint="eastAsia" w:ascii="Times New Roman" w:hAnsi="Times New Roman" w:eastAsia="宋体" w:cs="宋体"/>
          <w:color w:val="auto"/>
          <w:sz w:val="24"/>
          <w:lang w:val="en-US" w:eastAsia="zh-CN"/>
        </w:rPr>
        <w:t>50m</w:t>
      </w:r>
      <w:r>
        <w:rPr>
          <w:rFonts w:hint="eastAsia" w:ascii="Times New Roman" w:hAnsi="Times New Roman" w:eastAsia="宋体" w:cs="宋体"/>
          <w:color w:val="auto"/>
          <w:sz w:val="24"/>
        </w:rPr>
        <w:t>处各设一</w:t>
      </w:r>
      <w:r>
        <w:rPr>
          <w:rFonts w:hint="eastAsia" w:ascii="Times New Roman" w:hAnsi="Times New Roman" w:eastAsia="宋体" w:cs="宋体"/>
          <w:color w:val="auto"/>
          <w:sz w:val="24"/>
          <w:lang w:eastAsia="zh-CN"/>
        </w:rPr>
        <w:t>个</w:t>
      </w:r>
      <w:r>
        <w:rPr>
          <w:rFonts w:hint="eastAsia" w:ascii="Times New Roman" w:hAnsi="Times New Roman" w:eastAsia="宋体" w:cs="宋体"/>
          <w:color w:val="auto"/>
          <w:sz w:val="24"/>
        </w:rPr>
        <w:t>监测井；</w:t>
      </w:r>
      <w:r>
        <w:rPr>
          <w:rFonts w:hint="eastAsia" w:ascii="Times New Roman" w:hAnsi="Times New Roman" w:eastAsia="宋体" w:cs="宋体"/>
          <w:color w:val="auto"/>
          <w:sz w:val="24"/>
          <w:szCs w:val="24"/>
        </w:rPr>
        <w:t>填埋场运行的第一年，每月至少取样监测一次；在正常情况下，每季度至少一次取样监测</w:t>
      </w:r>
      <w:r>
        <w:rPr>
          <w:rFonts w:hint="eastAsia" w:ascii="Times New Roman" w:hAnsi="Times New Roman" w:eastAsia="宋体" w:cs="宋体"/>
          <w:color w:val="auto"/>
          <w:sz w:val="24"/>
        </w:rPr>
        <w:t>；监测项目为</w:t>
      </w:r>
      <w:r>
        <w:rPr>
          <w:rFonts w:hint="eastAsia" w:ascii="Times New Roman" w:hAnsi="Times New Roman" w:eastAsia="宋体" w:cs="宋体"/>
          <w:color w:val="auto"/>
          <w:sz w:val="24"/>
          <w:lang w:val="en-US" w:eastAsia="zh-CN"/>
        </w:rPr>
        <w:t>pH、耗氧量、氯化物、总硬度、溶解性总固体、硫酸盐、氨氮、硝酸盐、氟化物、铬、铁、铜、锌、镉、砷、铅以及水位。</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宋体"/>
          <w:b/>
          <w:color w:val="auto"/>
          <w:sz w:val="21"/>
          <w:szCs w:val="21"/>
        </w:rPr>
      </w:pPr>
      <w:r>
        <w:rPr>
          <w:rFonts w:hint="eastAsia" w:ascii="Times New Roman" w:hAnsi="Times New Roman" w:eastAsia="宋体" w:cs="宋体"/>
          <w:b/>
          <w:color w:val="auto"/>
          <w:sz w:val="21"/>
          <w:szCs w:val="21"/>
        </w:rPr>
        <w:t>表</w:t>
      </w:r>
      <w:r>
        <w:rPr>
          <w:rFonts w:hint="eastAsia" w:ascii="Times New Roman" w:hAnsi="Times New Roman" w:eastAsia="宋体" w:cs="宋体"/>
          <w:b/>
          <w:color w:val="auto"/>
          <w:sz w:val="21"/>
          <w:szCs w:val="21"/>
          <w:lang w:val="en-US" w:eastAsia="zh-CN"/>
        </w:rPr>
        <w:t>4.4</w:t>
      </w:r>
      <w:r>
        <w:rPr>
          <w:rFonts w:hint="eastAsia" w:ascii="Times New Roman" w:hAnsi="Times New Roman" w:eastAsia="宋体" w:cs="宋体"/>
          <w:b/>
          <w:color w:val="auto"/>
          <w:sz w:val="21"/>
          <w:szCs w:val="21"/>
        </w:rPr>
        <w:t>-1</w:t>
      </w:r>
      <w:r>
        <w:rPr>
          <w:rFonts w:hint="eastAsia" w:ascii="Times New Roman" w:hAnsi="Times New Roman" w:eastAsia="宋体" w:cs="宋体"/>
          <w:b/>
          <w:color w:val="auto"/>
          <w:sz w:val="21"/>
          <w:szCs w:val="21"/>
          <w:lang w:val="en-US" w:eastAsia="zh-CN"/>
        </w:rPr>
        <w:t xml:space="preserve">  </w:t>
      </w:r>
      <w:r>
        <w:rPr>
          <w:rFonts w:hint="eastAsia" w:ascii="Times New Roman" w:hAnsi="Times New Roman" w:eastAsia="宋体" w:cs="宋体"/>
          <w:b/>
          <w:color w:val="auto"/>
          <w:sz w:val="21"/>
          <w:szCs w:val="21"/>
          <w:lang w:eastAsia="zh-CN"/>
        </w:rPr>
        <w:t>地下水</w:t>
      </w:r>
      <w:r>
        <w:rPr>
          <w:rFonts w:hint="eastAsia" w:ascii="Times New Roman" w:hAnsi="Times New Roman" w:eastAsia="宋体" w:cs="宋体"/>
          <w:b/>
          <w:color w:val="auto"/>
          <w:sz w:val="21"/>
          <w:szCs w:val="21"/>
        </w:rPr>
        <w:t>监测点位一览表</w:t>
      </w:r>
    </w:p>
    <w:tbl>
      <w:tblPr>
        <w:tblStyle w:val="29"/>
        <w:tblW w:w="4995"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98"/>
        <w:gridCol w:w="987"/>
        <w:gridCol w:w="1173"/>
        <w:gridCol w:w="1171"/>
        <w:gridCol w:w="998"/>
        <w:gridCol w:w="991"/>
        <w:gridCol w:w="1051"/>
        <w:gridCol w:w="1186"/>
        <w:gridCol w:w="133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265" w:type="pct"/>
            <w:tcBorders>
              <w:tl2br w:val="nil"/>
              <w:tr2bl w:val="nil"/>
            </w:tcBorders>
            <w:noWrap w:val="0"/>
            <w:vAlign w:val="center"/>
          </w:tcPr>
          <w:p>
            <w:pPr>
              <w:adjustRightInd w:val="0"/>
              <w:snapToGrid w:val="0"/>
              <w:jc w:val="center"/>
              <w:rPr>
                <w:rFonts w:hint="eastAsia" w:ascii="Times New Roman" w:hAnsi="Times New Roman" w:eastAsia="宋体" w:cs="宋体"/>
                <w:b/>
                <w:bCs/>
                <w:color w:val="auto"/>
                <w:szCs w:val="21"/>
              </w:rPr>
            </w:pPr>
            <w:r>
              <w:rPr>
                <w:rFonts w:hint="eastAsia" w:ascii="Times New Roman" w:hAnsi="Times New Roman" w:eastAsia="宋体" w:cs="宋体"/>
                <w:b/>
                <w:bCs/>
                <w:color w:val="auto"/>
                <w:szCs w:val="21"/>
              </w:rPr>
              <w:t>监测环境要素</w:t>
            </w:r>
          </w:p>
        </w:tc>
        <w:tc>
          <w:tcPr>
            <w:tcW w:w="525" w:type="pct"/>
            <w:tcBorders>
              <w:tl2br w:val="nil"/>
              <w:tr2bl w:val="nil"/>
            </w:tcBorders>
            <w:noWrap w:val="0"/>
            <w:vAlign w:val="center"/>
          </w:tcPr>
          <w:p>
            <w:pPr>
              <w:adjustRightInd w:val="0"/>
              <w:snapToGrid w:val="0"/>
              <w:jc w:val="center"/>
              <w:rPr>
                <w:rFonts w:hint="eastAsia" w:ascii="Times New Roman" w:hAnsi="Times New Roman" w:eastAsia="宋体" w:cs="宋体"/>
                <w:b/>
                <w:bCs/>
                <w:color w:val="auto"/>
                <w:szCs w:val="21"/>
              </w:rPr>
            </w:pPr>
            <w:r>
              <w:rPr>
                <w:rFonts w:hint="eastAsia" w:ascii="Times New Roman" w:hAnsi="Times New Roman" w:eastAsia="宋体" w:cs="宋体"/>
                <w:b/>
                <w:bCs/>
                <w:color w:val="auto"/>
                <w:szCs w:val="21"/>
              </w:rPr>
              <w:t>监测点位数</w:t>
            </w:r>
          </w:p>
        </w:tc>
        <w:tc>
          <w:tcPr>
            <w:tcW w:w="624" w:type="pct"/>
            <w:tcBorders>
              <w:tl2br w:val="nil"/>
              <w:tr2bl w:val="nil"/>
            </w:tcBorders>
            <w:noWrap w:val="0"/>
            <w:vAlign w:val="center"/>
          </w:tcPr>
          <w:p>
            <w:pPr>
              <w:adjustRightInd w:val="0"/>
              <w:snapToGrid w:val="0"/>
              <w:jc w:val="center"/>
              <w:rPr>
                <w:rFonts w:hint="eastAsia" w:ascii="Times New Roman" w:hAnsi="Times New Roman" w:eastAsia="宋体" w:cs="宋体"/>
                <w:b/>
                <w:bCs/>
                <w:color w:val="auto"/>
                <w:szCs w:val="21"/>
                <w:lang w:eastAsia="zh-CN"/>
              </w:rPr>
            </w:pPr>
            <w:r>
              <w:rPr>
                <w:rFonts w:hint="eastAsia" w:ascii="Times New Roman" w:hAnsi="Times New Roman" w:eastAsia="宋体" w:cs="宋体"/>
                <w:b/>
                <w:bCs/>
                <w:color w:val="auto"/>
                <w:szCs w:val="21"/>
                <w:lang w:eastAsia="zh-CN"/>
              </w:rPr>
              <w:t>经度</w:t>
            </w:r>
          </w:p>
        </w:tc>
        <w:tc>
          <w:tcPr>
            <w:tcW w:w="623" w:type="pct"/>
            <w:tcBorders>
              <w:tl2br w:val="nil"/>
              <w:tr2bl w:val="nil"/>
            </w:tcBorders>
            <w:noWrap w:val="0"/>
            <w:vAlign w:val="center"/>
          </w:tcPr>
          <w:p>
            <w:pPr>
              <w:adjustRightInd w:val="0"/>
              <w:snapToGrid w:val="0"/>
              <w:jc w:val="center"/>
              <w:rPr>
                <w:rFonts w:hint="eastAsia" w:ascii="Times New Roman" w:hAnsi="Times New Roman" w:eastAsia="宋体" w:cs="宋体"/>
                <w:b/>
                <w:bCs/>
                <w:color w:val="auto"/>
                <w:szCs w:val="21"/>
                <w:lang w:eastAsia="zh-CN"/>
              </w:rPr>
            </w:pPr>
            <w:r>
              <w:rPr>
                <w:rFonts w:hint="eastAsia" w:ascii="Times New Roman" w:hAnsi="Times New Roman" w:eastAsia="宋体" w:cs="宋体"/>
                <w:b/>
                <w:bCs/>
                <w:color w:val="auto"/>
                <w:szCs w:val="21"/>
                <w:lang w:eastAsia="zh-CN"/>
              </w:rPr>
              <w:t>纬度</w:t>
            </w:r>
          </w:p>
        </w:tc>
        <w:tc>
          <w:tcPr>
            <w:tcW w:w="531" w:type="pct"/>
            <w:tcBorders>
              <w:tl2br w:val="nil"/>
              <w:tr2bl w:val="nil"/>
            </w:tcBorders>
            <w:noWrap w:val="0"/>
            <w:vAlign w:val="center"/>
          </w:tcPr>
          <w:p>
            <w:pPr>
              <w:pStyle w:val="147"/>
              <w:rPr>
                <w:rFonts w:hint="eastAsia" w:ascii="Times New Roman" w:hAnsi="Times New Roman" w:eastAsia="宋体" w:cs="宋体"/>
                <w:b/>
                <w:bCs/>
                <w:color w:val="auto"/>
                <w:szCs w:val="21"/>
                <w:lang w:eastAsia="zh-CN"/>
              </w:rPr>
            </w:pPr>
            <w:r>
              <w:rPr>
                <w:rFonts w:hint="eastAsia" w:ascii="Times New Roman" w:hAnsi="Times New Roman" w:eastAsia="宋体"/>
                <w:b/>
                <w:bCs/>
                <w:color w:val="auto"/>
              </w:rPr>
              <w:t>井深</w:t>
            </w:r>
          </w:p>
        </w:tc>
        <w:tc>
          <w:tcPr>
            <w:tcW w:w="527" w:type="pct"/>
            <w:tcBorders>
              <w:tl2br w:val="nil"/>
              <w:tr2bl w:val="nil"/>
            </w:tcBorders>
            <w:noWrap w:val="0"/>
            <w:vAlign w:val="center"/>
          </w:tcPr>
          <w:p>
            <w:pPr>
              <w:pStyle w:val="147"/>
              <w:rPr>
                <w:rFonts w:hint="eastAsia" w:ascii="Times New Roman" w:hAnsi="Times New Roman" w:eastAsia="宋体" w:cs="宋体"/>
                <w:b/>
                <w:bCs/>
                <w:color w:val="auto"/>
                <w:szCs w:val="21"/>
                <w:lang w:eastAsia="zh-CN"/>
              </w:rPr>
            </w:pPr>
            <w:r>
              <w:rPr>
                <w:rFonts w:hint="eastAsia" w:ascii="Times New Roman" w:hAnsi="Times New Roman" w:eastAsia="宋体"/>
                <w:b/>
                <w:bCs/>
                <w:color w:val="auto"/>
              </w:rPr>
              <w:t>监测含水层</w:t>
            </w:r>
          </w:p>
        </w:tc>
        <w:tc>
          <w:tcPr>
            <w:tcW w:w="559" w:type="pct"/>
            <w:tcBorders>
              <w:tl2br w:val="nil"/>
              <w:tr2bl w:val="nil"/>
            </w:tcBorders>
            <w:noWrap w:val="0"/>
            <w:vAlign w:val="center"/>
          </w:tcPr>
          <w:p>
            <w:pPr>
              <w:pStyle w:val="147"/>
              <w:rPr>
                <w:rFonts w:hint="eastAsia" w:ascii="Times New Roman" w:hAnsi="Times New Roman" w:eastAsia="宋体"/>
                <w:b/>
                <w:bCs/>
                <w:color w:val="auto"/>
                <w:lang w:eastAsia="zh-CN"/>
              </w:rPr>
            </w:pPr>
            <w:r>
              <w:rPr>
                <w:rFonts w:hint="eastAsia" w:ascii="Times New Roman" w:hAnsi="Times New Roman" w:eastAsia="宋体"/>
                <w:b/>
                <w:bCs/>
                <w:color w:val="auto"/>
                <w:lang w:eastAsia="zh-CN"/>
              </w:rPr>
              <w:t>监测井性质</w:t>
            </w:r>
          </w:p>
        </w:tc>
        <w:tc>
          <w:tcPr>
            <w:tcW w:w="631" w:type="pct"/>
            <w:tcBorders>
              <w:tl2br w:val="nil"/>
              <w:tr2bl w:val="nil"/>
            </w:tcBorders>
            <w:noWrap w:val="0"/>
            <w:vAlign w:val="center"/>
          </w:tcPr>
          <w:p>
            <w:pPr>
              <w:adjustRightInd w:val="0"/>
              <w:snapToGrid w:val="0"/>
              <w:jc w:val="center"/>
              <w:rPr>
                <w:rFonts w:hint="eastAsia" w:ascii="Times New Roman" w:hAnsi="Times New Roman" w:eastAsia="宋体" w:cs="宋体"/>
                <w:b/>
                <w:bCs/>
                <w:color w:val="auto"/>
                <w:szCs w:val="21"/>
              </w:rPr>
            </w:pPr>
            <w:r>
              <w:rPr>
                <w:rFonts w:hint="eastAsia" w:ascii="Times New Roman" w:hAnsi="Times New Roman" w:eastAsia="宋体" w:cs="宋体"/>
                <w:b/>
                <w:bCs/>
                <w:color w:val="auto"/>
                <w:szCs w:val="21"/>
              </w:rPr>
              <w:t>监测频率</w:t>
            </w:r>
          </w:p>
        </w:tc>
        <w:tc>
          <w:tcPr>
            <w:tcW w:w="710" w:type="pct"/>
            <w:tcBorders>
              <w:tl2br w:val="nil"/>
              <w:tr2bl w:val="nil"/>
            </w:tcBorders>
            <w:noWrap w:val="0"/>
            <w:vAlign w:val="center"/>
          </w:tcPr>
          <w:p>
            <w:pPr>
              <w:adjustRightInd w:val="0"/>
              <w:snapToGrid w:val="0"/>
              <w:jc w:val="center"/>
              <w:rPr>
                <w:rFonts w:hint="eastAsia" w:ascii="Times New Roman" w:hAnsi="Times New Roman" w:eastAsia="宋体" w:cs="宋体"/>
                <w:b/>
                <w:bCs/>
                <w:color w:val="auto"/>
                <w:szCs w:val="21"/>
              </w:rPr>
            </w:pPr>
            <w:r>
              <w:rPr>
                <w:rFonts w:hint="eastAsia" w:ascii="Times New Roman" w:hAnsi="Times New Roman" w:eastAsia="宋体" w:cs="宋体"/>
                <w:b/>
                <w:bCs/>
                <w:color w:val="auto"/>
                <w:szCs w:val="21"/>
              </w:rPr>
              <w:t>监测因子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265" w:type="pct"/>
            <w:vMerge w:val="restar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rPr>
              <w:t>地下水</w:t>
            </w:r>
          </w:p>
        </w:tc>
        <w:tc>
          <w:tcPr>
            <w:tcW w:w="525"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rPr>
              <w:t>填埋库区上游40m处</w:t>
            </w:r>
          </w:p>
        </w:tc>
        <w:tc>
          <w:tcPr>
            <w:tcW w:w="624"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lang w:val="en-US" w:eastAsia="zh-CN"/>
              </w:rPr>
            </w:pPr>
            <w:r>
              <w:rPr>
                <w:rFonts w:hint="eastAsia" w:ascii="Times New Roman" w:hAnsi="Times New Roman" w:eastAsia="宋体" w:cs="宋体"/>
                <w:color w:val="auto"/>
                <w:szCs w:val="21"/>
                <w:lang w:val="en-US" w:eastAsia="zh-CN"/>
              </w:rPr>
              <w:t>117.8882</w:t>
            </w:r>
          </w:p>
        </w:tc>
        <w:tc>
          <w:tcPr>
            <w:tcW w:w="623"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lang w:val="en-US" w:eastAsia="zh-CN"/>
              </w:rPr>
            </w:pPr>
            <w:r>
              <w:rPr>
                <w:rFonts w:hint="eastAsia" w:ascii="Times New Roman" w:hAnsi="Times New Roman" w:eastAsia="宋体" w:cs="宋体"/>
                <w:color w:val="auto"/>
                <w:szCs w:val="21"/>
                <w:lang w:val="en-US" w:eastAsia="zh-CN"/>
              </w:rPr>
              <w:t>33.7014</w:t>
            </w:r>
          </w:p>
        </w:tc>
        <w:tc>
          <w:tcPr>
            <w:tcW w:w="531"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lang w:val="en-US" w:eastAsia="zh-CN"/>
              </w:rPr>
            </w:pPr>
            <w:r>
              <w:rPr>
                <w:rFonts w:hint="eastAsia" w:ascii="Times New Roman" w:hAnsi="Times New Roman" w:eastAsia="宋体" w:cs="宋体"/>
                <w:color w:val="auto"/>
                <w:szCs w:val="21"/>
                <w:lang w:val="en-US" w:eastAsia="zh-CN"/>
              </w:rPr>
              <w:t>20.0m</w:t>
            </w:r>
          </w:p>
        </w:tc>
        <w:tc>
          <w:tcPr>
            <w:tcW w:w="527"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lang w:val="en-US" w:eastAsia="zh-CN"/>
              </w:rPr>
            </w:pPr>
            <w:r>
              <w:rPr>
                <w:rFonts w:hint="eastAsia" w:ascii="Times New Roman" w:hAnsi="Times New Roman" w:eastAsia="宋体" w:cs="宋体"/>
                <w:color w:val="auto"/>
                <w:szCs w:val="21"/>
                <w:lang w:val="en-US" w:eastAsia="zh-CN"/>
              </w:rPr>
              <w:t>潜水含水层</w:t>
            </w:r>
          </w:p>
        </w:tc>
        <w:tc>
          <w:tcPr>
            <w:tcW w:w="559"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lang w:val="en-US" w:eastAsia="zh-CN"/>
              </w:rPr>
            </w:pPr>
            <w:r>
              <w:rPr>
                <w:rFonts w:hint="eastAsia" w:ascii="Times New Roman" w:hAnsi="Times New Roman" w:eastAsia="宋体" w:cs="宋体"/>
                <w:color w:val="auto"/>
                <w:szCs w:val="21"/>
                <w:lang w:val="en-US" w:eastAsia="zh-CN"/>
              </w:rPr>
              <w:t>背景监测井</w:t>
            </w:r>
          </w:p>
        </w:tc>
        <w:tc>
          <w:tcPr>
            <w:tcW w:w="631" w:type="pct"/>
            <w:vMerge w:val="restar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rPr>
              <w:t>填埋场运行的第一年，每月至少取样监测一次；在正常情况下，每季度至少一次取样监测</w:t>
            </w:r>
          </w:p>
        </w:tc>
        <w:tc>
          <w:tcPr>
            <w:tcW w:w="710" w:type="pct"/>
            <w:vMerge w:val="restar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lang w:eastAsia="zh-CN"/>
              </w:rPr>
            </w:pPr>
            <w:r>
              <w:rPr>
                <w:rFonts w:hint="eastAsia" w:ascii="Times New Roman" w:hAnsi="Times New Roman" w:eastAsia="宋体" w:cs="宋体"/>
                <w:color w:val="auto"/>
                <w:szCs w:val="21"/>
                <w:lang w:val="en-US" w:eastAsia="zh-CN"/>
              </w:rPr>
              <w:t>pH、耗氧量、氯化物、总硬度、溶解性总固体、硫酸盐、氨氮、硝酸盐、氟化物、铬、铁、铜、锌、镉、砷、铅以及水位</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265" w:type="pct"/>
            <w:vMerge w:val="continue"/>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p>
        </w:tc>
        <w:tc>
          <w:tcPr>
            <w:tcW w:w="525" w:type="pct"/>
            <w:vMerge w:val="restar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lang w:eastAsia="zh-CN"/>
              </w:rPr>
              <w:t>填埋库区两侧</w:t>
            </w:r>
          </w:p>
        </w:tc>
        <w:tc>
          <w:tcPr>
            <w:tcW w:w="624"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rPr>
              <w:t>11</w:t>
            </w:r>
            <w:r>
              <w:rPr>
                <w:rFonts w:hint="eastAsia" w:ascii="Times New Roman" w:hAnsi="Times New Roman" w:eastAsia="宋体" w:cs="宋体"/>
                <w:color w:val="auto"/>
                <w:szCs w:val="21"/>
                <w:lang w:val="en-US" w:eastAsia="zh-CN"/>
              </w:rPr>
              <w:t>7</w:t>
            </w:r>
            <w:r>
              <w:rPr>
                <w:rFonts w:hint="eastAsia" w:ascii="Times New Roman" w:hAnsi="Times New Roman" w:eastAsia="宋体" w:cs="宋体"/>
                <w:color w:val="auto"/>
                <w:szCs w:val="21"/>
              </w:rPr>
              <w:t>.8851</w:t>
            </w:r>
          </w:p>
        </w:tc>
        <w:tc>
          <w:tcPr>
            <w:tcW w:w="623"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rPr>
              <w:t>3</w:t>
            </w:r>
            <w:r>
              <w:rPr>
                <w:rFonts w:hint="eastAsia" w:ascii="Times New Roman" w:hAnsi="Times New Roman" w:eastAsia="宋体" w:cs="宋体"/>
                <w:color w:val="auto"/>
                <w:szCs w:val="21"/>
                <w:lang w:val="en-US" w:eastAsia="zh-CN"/>
              </w:rPr>
              <w:t>3</w:t>
            </w:r>
            <w:r>
              <w:rPr>
                <w:rFonts w:hint="eastAsia" w:ascii="Times New Roman" w:hAnsi="Times New Roman" w:eastAsia="宋体" w:cs="宋体"/>
                <w:color w:val="auto"/>
                <w:szCs w:val="21"/>
              </w:rPr>
              <w:t>.7014</w:t>
            </w:r>
          </w:p>
        </w:tc>
        <w:tc>
          <w:tcPr>
            <w:tcW w:w="531"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lang w:val="en-US" w:eastAsia="zh-CN"/>
              </w:rPr>
              <w:t>20.0m</w:t>
            </w:r>
          </w:p>
        </w:tc>
        <w:tc>
          <w:tcPr>
            <w:tcW w:w="527"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lang w:val="en-US" w:eastAsia="zh-CN"/>
              </w:rPr>
              <w:t>潜水含水层</w:t>
            </w:r>
          </w:p>
        </w:tc>
        <w:tc>
          <w:tcPr>
            <w:tcW w:w="559"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lang w:eastAsia="zh-CN"/>
              </w:rPr>
              <w:t>厂界污染源监测井</w:t>
            </w:r>
          </w:p>
        </w:tc>
        <w:tc>
          <w:tcPr>
            <w:tcW w:w="631" w:type="pct"/>
            <w:vMerge w:val="continue"/>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p>
        </w:tc>
        <w:tc>
          <w:tcPr>
            <w:tcW w:w="710" w:type="pct"/>
            <w:vMerge w:val="continue"/>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265" w:type="pct"/>
            <w:vMerge w:val="continue"/>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p>
        </w:tc>
        <w:tc>
          <w:tcPr>
            <w:tcW w:w="525" w:type="pct"/>
            <w:vMerge w:val="continue"/>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lang w:eastAsia="zh-CN"/>
              </w:rPr>
            </w:pPr>
          </w:p>
        </w:tc>
        <w:tc>
          <w:tcPr>
            <w:tcW w:w="624"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rPr>
              <w:t>11</w:t>
            </w:r>
            <w:r>
              <w:rPr>
                <w:rFonts w:hint="eastAsia" w:ascii="Times New Roman" w:hAnsi="Times New Roman" w:eastAsia="宋体" w:cs="宋体"/>
                <w:color w:val="auto"/>
                <w:szCs w:val="21"/>
                <w:lang w:val="en-US" w:eastAsia="zh-CN"/>
              </w:rPr>
              <w:t>7</w:t>
            </w:r>
            <w:r>
              <w:rPr>
                <w:rFonts w:hint="eastAsia" w:ascii="Times New Roman" w:hAnsi="Times New Roman" w:eastAsia="宋体" w:cs="宋体"/>
                <w:color w:val="auto"/>
                <w:szCs w:val="21"/>
              </w:rPr>
              <w:t>.8924</w:t>
            </w:r>
          </w:p>
        </w:tc>
        <w:tc>
          <w:tcPr>
            <w:tcW w:w="623"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rPr>
              <w:t>3</w:t>
            </w:r>
            <w:r>
              <w:rPr>
                <w:rFonts w:hint="eastAsia" w:ascii="Times New Roman" w:hAnsi="Times New Roman" w:eastAsia="宋体" w:cs="宋体"/>
                <w:color w:val="auto"/>
                <w:szCs w:val="21"/>
                <w:lang w:val="en-US" w:eastAsia="zh-CN"/>
              </w:rPr>
              <w:t>3</w:t>
            </w:r>
            <w:r>
              <w:rPr>
                <w:rFonts w:hint="eastAsia" w:ascii="Times New Roman" w:hAnsi="Times New Roman" w:eastAsia="宋体" w:cs="宋体"/>
                <w:color w:val="auto"/>
                <w:szCs w:val="21"/>
              </w:rPr>
              <w:t>.6976</w:t>
            </w:r>
          </w:p>
        </w:tc>
        <w:tc>
          <w:tcPr>
            <w:tcW w:w="531"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lang w:val="en-US" w:eastAsia="zh-CN"/>
              </w:rPr>
              <w:t>20.0m</w:t>
            </w:r>
          </w:p>
        </w:tc>
        <w:tc>
          <w:tcPr>
            <w:tcW w:w="527"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lang w:val="en-US" w:eastAsia="zh-CN"/>
              </w:rPr>
              <w:t>潜水含水层</w:t>
            </w:r>
          </w:p>
        </w:tc>
        <w:tc>
          <w:tcPr>
            <w:tcW w:w="559"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lang w:eastAsia="zh-CN"/>
              </w:rPr>
              <w:t>厂界污染源监测井</w:t>
            </w:r>
          </w:p>
        </w:tc>
        <w:tc>
          <w:tcPr>
            <w:tcW w:w="631" w:type="pct"/>
            <w:vMerge w:val="continue"/>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p>
        </w:tc>
        <w:tc>
          <w:tcPr>
            <w:tcW w:w="710" w:type="pct"/>
            <w:vMerge w:val="continue"/>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265" w:type="pct"/>
            <w:vMerge w:val="continue"/>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p>
        </w:tc>
        <w:tc>
          <w:tcPr>
            <w:tcW w:w="525"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lang w:eastAsia="zh-CN"/>
              </w:rPr>
            </w:pPr>
            <w:r>
              <w:rPr>
                <w:rFonts w:hint="eastAsia" w:ascii="Times New Roman" w:hAnsi="Times New Roman" w:eastAsia="宋体" w:cs="宋体"/>
                <w:color w:val="auto"/>
                <w:szCs w:val="21"/>
                <w:lang w:eastAsia="zh-CN"/>
              </w:rPr>
              <w:t>填埋库区</w:t>
            </w:r>
            <w:r>
              <w:rPr>
                <w:rFonts w:hint="eastAsia" w:ascii="Times New Roman" w:hAnsi="Times New Roman" w:eastAsia="宋体" w:cs="宋体"/>
                <w:color w:val="auto"/>
                <w:szCs w:val="21"/>
              </w:rPr>
              <w:t>下游</w:t>
            </w:r>
            <w:r>
              <w:rPr>
                <w:rFonts w:hint="eastAsia" w:ascii="Times New Roman" w:hAnsi="Times New Roman" w:eastAsia="宋体" w:cs="宋体"/>
                <w:color w:val="auto"/>
                <w:szCs w:val="21"/>
                <w:lang w:val="en-US" w:eastAsia="zh-CN"/>
              </w:rPr>
              <w:t>3</w:t>
            </w:r>
            <w:r>
              <w:rPr>
                <w:rFonts w:hint="eastAsia" w:ascii="Times New Roman" w:hAnsi="Times New Roman" w:eastAsia="宋体" w:cs="宋体"/>
                <w:color w:val="auto"/>
                <w:szCs w:val="21"/>
              </w:rPr>
              <w:t>0m处</w:t>
            </w:r>
          </w:p>
        </w:tc>
        <w:tc>
          <w:tcPr>
            <w:tcW w:w="624"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lang w:eastAsia="zh-CN"/>
              </w:rPr>
            </w:pPr>
            <w:r>
              <w:rPr>
                <w:rFonts w:hint="eastAsia" w:ascii="Times New Roman" w:hAnsi="Times New Roman" w:eastAsia="宋体" w:cs="宋体"/>
                <w:color w:val="auto"/>
                <w:szCs w:val="21"/>
              </w:rPr>
              <w:t>11</w:t>
            </w:r>
            <w:r>
              <w:rPr>
                <w:rFonts w:hint="eastAsia" w:ascii="Times New Roman" w:hAnsi="Times New Roman" w:eastAsia="宋体" w:cs="宋体"/>
                <w:color w:val="auto"/>
                <w:szCs w:val="21"/>
                <w:lang w:val="en-US" w:eastAsia="zh-CN"/>
              </w:rPr>
              <w:t>7</w:t>
            </w:r>
            <w:r>
              <w:rPr>
                <w:rFonts w:hint="eastAsia" w:ascii="Times New Roman" w:hAnsi="Times New Roman" w:eastAsia="宋体" w:cs="宋体"/>
                <w:color w:val="auto"/>
                <w:szCs w:val="21"/>
              </w:rPr>
              <w:t>.</w:t>
            </w:r>
            <w:r>
              <w:rPr>
                <w:rFonts w:hint="eastAsia" w:ascii="Times New Roman" w:hAnsi="Times New Roman" w:eastAsia="宋体" w:cs="宋体"/>
                <w:color w:val="auto"/>
                <w:szCs w:val="21"/>
                <w:lang w:val="en-US" w:eastAsia="zh-CN"/>
              </w:rPr>
              <w:t>66</w:t>
            </w:r>
            <w:r>
              <w:rPr>
                <w:rFonts w:hint="eastAsia" w:ascii="Times New Roman" w:hAnsi="Times New Roman" w:eastAsia="宋体" w:cs="宋体"/>
                <w:color w:val="auto"/>
                <w:szCs w:val="21"/>
              </w:rPr>
              <w:t>8</w:t>
            </w:r>
            <w:r>
              <w:rPr>
                <w:rFonts w:hint="eastAsia" w:ascii="Times New Roman" w:hAnsi="Times New Roman" w:eastAsia="宋体" w:cs="宋体"/>
                <w:color w:val="auto"/>
                <w:szCs w:val="21"/>
                <w:lang w:val="en-US" w:eastAsia="zh-CN"/>
              </w:rPr>
              <w:t>2</w:t>
            </w:r>
          </w:p>
        </w:tc>
        <w:tc>
          <w:tcPr>
            <w:tcW w:w="623"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rPr>
              <w:t>3</w:t>
            </w:r>
            <w:r>
              <w:rPr>
                <w:rFonts w:hint="eastAsia" w:ascii="Times New Roman" w:hAnsi="Times New Roman" w:eastAsia="宋体" w:cs="宋体"/>
                <w:color w:val="auto"/>
                <w:szCs w:val="21"/>
                <w:lang w:val="en-US" w:eastAsia="zh-CN"/>
              </w:rPr>
              <w:t>3</w:t>
            </w:r>
            <w:r>
              <w:rPr>
                <w:rFonts w:hint="eastAsia" w:ascii="Times New Roman" w:hAnsi="Times New Roman" w:eastAsia="宋体" w:cs="宋体"/>
                <w:color w:val="auto"/>
                <w:szCs w:val="21"/>
              </w:rPr>
              <w:t>.6</w:t>
            </w:r>
            <w:r>
              <w:rPr>
                <w:rFonts w:hint="eastAsia" w:ascii="Times New Roman" w:hAnsi="Times New Roman" w:eastAsia="宋体" w:cs="宋体"/>
                <w:color w:val="auto"/>
                <w:szCs w:val="21"/>
                <w:lang w:val="en-US" w:eastAsia="zh-CN"/>
              </w:rPr>
              <w:t>52</w:t>
            </w:r>
            <w:r>
              <w:rPr>
                <w:rFonts w:hint="eastAsia" w:ascii="Times New Roman" w:hAnsi="Times New Roman" w:eastAsia="宋体" w:cs="宋体"/>
                <w:color w:val="auto"/>
                <w:szCs w:val="21"/>
              </w:rPr>
              <w:t>7</w:t>
            </w:r>
          </w:p>
        </w:tc>
        <w:tc>
          <w:tcPr>
            <w:tcW w:w="531"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lang w:val="en-US" w:eastAsia="zh-CN"/>
              </w:rPr>
              <w:t>20.0m</w:t>
            </w:r>
          </w:p>
        </w:tc>
        <w:tc>
          <w:tcPr>
            <w:tcW w:w="527"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lang w:val="en-US" w:eastAsia="zh-CN"/>
              </w:rPr>
              <w:t>潜水含水层</w:t>
            </w:r>
          </w:p>
        </w:tc>
        <w:tc>
          <w:tcPr>
            <w:tcW w:w="559" w:type="pct"/>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lang w:eastAsia="zh-CN"/>
              </w:rPr>
              <w:t>下游监测井</w:t>
            </w:r>
          </w:p>
        </w:tc>
        <w:tc>
          <w:tcPr>
            <w:tcW w:w="631" w:type="pct"/>
            <w:vMerge w:val="continue"/>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p>
        </w:tc>
        <w:tc>
          <w:tcPr>
            <w:tcW w:w="710" w:type="pct"/>
            <w:vMerge w:val="continue"/>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265" w:type="pct"/>
            <w:vMerge w:val="continue"/>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p>
        </w:tc>
        <w:tc>
          <w:tcPr>
            <w:tcW w:w="525" w:type="pct"/>
            <w:tcBorders>
              <w:tl2br w:val="nil"/>
              <w:tr2bl w:val="nil"/>
            </w:tcBorders>
            <w:noWrap w:val="0"/>
            <w:vAlign w:val="center"/>
          </w:tcPr>
          <w:p>
            <w:pPr>
              <w:adjustRightInd w:val="0"/>
              <w:snapToGrid w:val="0"/>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Cs w:val="21"/>
                <w:lang w:eastAsia="zh-CN"/>
              </w:rPr>
              <w:t>填埋库区</w:t>
            </w:r>
            <w:r>
              <w:rPr>
                <w:rFonts w:hint="eastAsia" w:ascii="Times New Roman" w:hAnsi="Times New Roman" w:eastAsia="宋体" w:cs="宋体"/>
                <w:color w:val="auto"/>
                <w:szCs w:val="21"/>
              </w:rPr>
              <w:t>下游</w:t>
            </w:r>
            <w:r>
              <w:rPr>
                <w:rFonts w:hint="eastAsia" w:ascii="Times New Roman" w:hAnsi="Times New Roman" w:eastAsia="宋体" w:cs="宋体"/>
                <w:color w:val="auto"/>
                <w:szCs w:val="21"/>
                <w:lang w:val="en-US" w:eastAsia="zh-CN"/>
              </w:rPr>
              <w:t>5</w:t>
            </w:r>
            <w:r>
              <w:rPr>
                <w:rFonts w:hint="eastAsia" w:ascii="Times New Roman" w:hAnsi="Times New Roman" w:eastAsia="宋体" w:cs="宋体"/>
                <w:color w:val="auto"/>
                <w:szCs w:val="21"/>
              </w:rPr>
              <w:t>0m处</w:t>
            </w:r>
          </w:p>
        </w:tc>
        <w:tc>
          <w:tcPr>
            <w:tcW w:w="624" w:type="pct"/>
            <w:tcBorders>
              <w:tl2br w:val="nil"/>
              <w:tr2bl w:val="nil"/>
            </w:tcBorders>
            <w:noWrap w:val="0"/>
            <w:vAlign w:val="center"/>
          </w:tcPr>
          <w:p>
            <w:pPr>
              <w:adjustRightInd w:val="0"/>
              <w:snapToGrid w:val="0"/>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Cs w:val="21"/>
              </w:rPr>
              <w:t>11</w:t>
            </w:r>
            <w:r>
              <w:rPr>
                <w:rFonts w:hint="eastAsia" w:ascii="Times New Roman" w:hAnsi="Times New Roman" w:eastAsia="宋体" w:cs="宋体"/>
                <w:color w:val="auto"/>
                <w:szCs w:val="21"/>
                <w:lang w:val="en-US" w:eastAsia="zh-CN"/>
              </w:rPr>
              <w:t>7</w:t>
            </w:r>
            <w:r>
              <w:rPr>
                <w:rFonts w:hint="eastAsia" w:ascii="Times New Roman" w:hAnsi="Times New Roman" w:eastAsia="宋体" w:cs="宋体"/>
                <w:color w:val="auto"/>
                <w:szCs w:val="21"/>
              </w:rPr>
              <w:t>.8881</w:t>
            </w:r>
          </w:p>
        </w:tc>
        <w:tc>
          <w:tcPr>
            <w:tcW w:w="623" w:type="pct"/>
            <w:tcBorders>
              <w:tl2br w:val="nil"/>
              <w:tr2bl w:val="nil"/>
            </w:tcBorders>
            <w:noWrap w:val="0"/>
            <w:vAlign w:val="center"/>
          </w:tcPr>
          <w:p>
            <w:pPr>
              <w:adjustRightInd w:val="0"/>
              <w:snapToGrid w:val="0"/>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Cs w:val="21"/>
              </w:rPr>
              <w:t>3</w:t>
            </w:r>
            <w:r>
              <w:rPr>
                <w:rFonts w:hint="eastAsia" w:ascii="Times New Roman" w:hAnsi="Times New Roman" w:eastAsia="宋体" w:cs="宋体"/>
                <w:color w:val="auto"/>
                <w:szCs w:val="21"/>
                <w:lang w:val="en-US" w:eastAsia="zh-CN"/>
              </w:rPr>
              <w:t>3</w:t>
            </w:r>
            <w:r>
              <w:rPr>
                <w:rFonts w:hint="eastAsia" w:ascii="Times New Roman" w:hAnsi="Times New Roman" w:eastAsia="宋体" w:cs="宋体"/>
                <w:color w:val="auto"/>
                <w:szCs w:val="21"/>
              </w:rPr>
              <w:t>.6987</w:t>
            </w:r>
          </w:p>
        </w:tc>
        <w:tc>
          <w:tcPr>
            <w:tcW w:w="531" w:type="pct"/>
            <w:tcBorders>
              <w:tl2br w:val="nil"/>
              <w:tr2bl w:val="nil"/>
            </w:tcBorders>
            <w:noWrap w:val="0"/>
            <w:vAlign w:val="center"/>
          </w:tcPr>
          <w:p>
            <w:pPr>
              <w:adjustRightInd w:val="0"/>
              <w:snapToGrid w:val="0"/>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Cs w:val="21"/>
                <w:lang w:val="en-US" w:eastAsia="zh-CN"/>
              </w:rPr>
              <w:t>20.0m</w:t>
            </w:r>
          </w:p>
        </w:tc>
        <w:tc>
          <w:tcPr>
            <w:tcW w:w="527" w:type="pct"/>
            <w:tcBorders>
              <w:tl2br w:val="nil"/>
              <w:tr2bl w:val="nil"/>
            </w:tcBorders>
            <w:noWrap w:val="0"/>
            <w:vAlign w:val="center"/>
          </w:tcPr>
          <w:p>
            <w:pPr>
              <w:adjustRightInd w:val="0"/>
              <w:snapToGrid w:val="0"/>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Cs w:val="21"/>
                <w:lang w:val="en-US" w:eastAsia="zh-CN"/>
              </w:rPr>
              <w:t>潜水含水层</w:t>
            </w:r>
          </w:p>
        </w:tc>
        <w:tc>
          <w:tcPr>
            <w:tcW w:w="559" w:type="pct"/>
            <w:tcBorders>
              <w:tl2br w:val="nil"/>
              <w:tr2bl w:val="nil"/>
            </w:tcBorders>
            <w:noWrap w:val="0"/>
            <w:vAlign w:val="center"/>
          </w:tcPr>
          <w:p>
            <w:pPr>
              <w:adjustRightInd w:val="0"/>
              <w:snapToGrid w:val="0"/>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Cs w:val="21"/>
                <w:lang w:eastAsia="zh-CN"/>
              </w:rPr>
              <w:t>下游监测井</w:t>
            </w:r>
          </w:p>
        </w:tc>
        <w:tc>
          <w:tcPr>
            <w:tcW w:w="631" w:type="pct"/>
            <w:vMerge w:val="continue"/>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rPr>
            </w:pPr>
          </w:p>
        </w:tc>
        <w:tc>
          <w:tcPr>
            <w:tcW w:w="710" w:type="pct"/>
            <w:vMerge w:val="continue"/>
            <w:tcBorders>
              <w:tl2br w:val="nil"/>
              <w:tr2bl w:val="nil"/>
            </w:tcBorders>
            <w:noWrap w:val="0"/>
            <w:vAlign w:val="center"/>
          </w:tcPr>
          <w:p>
            <w:pPr>
              <w:adjustRightInd w:val="0"/>
              <w:snapToGrid w:val="0"/>
              <w:jc w:val="center"/>
              <w:rPr>
                <w:rFonts w:hint="eastAsia" w:ascii="Times New Roman" w:hAnsi="Times New Roman" w:eastAsia="宋体" w:cs="宋体"/>
                <w:color w:val="auto"/>
                <w:szCs w:val="21"/>
                <w:lang w:val="en-US" w:eastAsia="zh-CN"/>
              </w:rPr>
            </w:pP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color w:val="auto"/>
          <w:sz w:val="24"/>
          <w:lang w:eastAsia="zh-CN"/>
        </w:rPr>
      </w:pPr>
      <w:r>
        <w:rPr>
          <w:rFonts w:hint="eastAsia" w:ascii="Times New Roman" w:hAnsi="Times New Roman" w:eastAsia="宋体" w:cs="宋体"/>
          <w:color w:val="auto"/>
          <w:sz w:val="24"/>
          <w:lang w:eastAsia="zh-CN"/>
        </w:rPr>
        <w:t>（</w:t>
      </w:r>
      <w:r>
        <w:rPr>
          <w:rFonts w:hint="eastAsia" w:ascii="Times New Roman" w:hAnsi="Times New Roman" w:eastAsia="宋体" w:cs="宋体"/>
          <w:color w:val="auto"/>
          <w:sz w:val="24"/>
          <w:lang w:val="en-US" w:eastAsia="zh-CN"/>
        </w:rPr>
        <w:t>2</w:t>
      </w:r>
      <w:r>
        <w:rPr>
          <w:rFonts w:hint="eastAsia" w:ascii="Times New Roman" w:hAnsi="Times New Roman" w:eastAsia="宋体" w:cs="宋体"/>
          <w:color w:val="auto"/>
          <w:sz w:val="24"/>
          <w:lang w:eastAsia="zh-CN"/>
        </w:rPr>
        <w:t>）废气</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宋体"/>
          <w:color w:val="auto"/>
          <w:sz w:val="24"/>
        </w:rPr>
      </w:pPr>
      <w:r>
        <w:rPr>
          <w:rFonts w:hint="eastAsia" w:ascii="Times New Roman" w:hAnsi="Times New Roman" w:eastAsia="宋体" w:cs="宋体"/>
          <w:color w:val="auto"/>
          <w:sz w:val="24"/>
        </w:rPr>
        <w:t>废气监测主要为填埋场库区粉尘的监测；厂界处上方向一</w:t>
      </w:r>
      <w:r>
        <w:rPr>
          <w:rFonts w:hint="eastAsia" w:ascii="Times New Roman" w:hAnsi="Times New Roman" w:eastAsia="宋体" w:cs="宋体"/>
          <w:color w:val="auto"/>
          <w:sz w:val="24"/>
          <w:lang w:eastAsia="zh-CN"/>
        </w:rPr>
        <w:t>个</w:t>
      </w:r>
      <w:r>
        <w:rPr>
          <w:rFonts w:hint="eastAsia" w:ascii="Times New Roman" w:hAnsi="Times New Roman" w:eastAsia="宋体" w:cs="宋体"/>
          <w:color w:val="auto"/>
          <w:sz w:val="24"/>
        </w:rPr>
        <w:t>点，下风向三个点，一共4个点；</w:t>
      </w:r>
      <w:r>
        <w:rPr>
          <w:rFonts w:hint="eastAsia" w:ascii="Times New Roman" w:hAnsi="Times New Roman" w:eastAsia="宋体" w:cs="宋体"/>
          <w:color w:val="auto"/>
          <w:sz w:val="24"/>
          <w:lang w:eastAsia="zh-CN"/>
        </w:rPr>
        <w:t>每年</w:t>
      </w:r>
      <w:r>
        <w:rPr>
          <w:rFonts w:hint="eastAsia" w:ascii="Times New Roman" w:hAnsi="Times New Roman" w:eastAsia="宋体" w:cs="宋体"/>
          <w:color w:val="auto"/>
          <w:sz w:val="24"/>
        </w:rPr>
        <w:t>监测一次。</w:t>
      </w:r>
    </w:p>
    <w:p>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eastAsia" w:ascii="Times New Roman" w:hAnsi="Times New Roman" w:eastAsia="宋体" w:cs="宋体"/>
          <w:color w:val="auto"/>
          <w:kern w:val="2"/>
          <w:sz w:val="24"/>
          <w:szCs w:val="22"/>
          <w:lang w:val="en-US" w:eastAsia="zh-CN" w:bidi="ar-SA"/>
        </w:rPr>
      </w:pPr>
      <w:r>
        <w:rPr>
          <w:rFonts w:hint="eastAsia" w:ascii="Times New Roman" w:hAnsi="Times New Roman" w:eastAsia="宋体" w:cs="宋体"/>
          <w:color w:val="auto"/>
          <w:kern w:val="2"/>
          <w:sz w:val="24"/>
          <w:szCs w:val="22"/>
          <w:lang w:val="en-US" w:eastAsia="zh-CN" w:bidi="ar-SA"/>
        </w:rPr>
        <w:t>（3）噪声</w:t>
      </w:r>
    </w:p>
    <w:p>
      <w:pPr>
        <w:pStyle w:val="104"/>
        <w:keepNext w:val="0"/>
        <w:keepLines w:val="0"/>
        <w:pageBreakBefore w:val="0"/>
        <w:widowControl w:val="0"/>
        <w:kinsoku/>
        <w:wordWrap/>
        <w:overflowPunct/>
        <w:topLinePunct w:val="0"/>
        <w:autoSpaceDE/>
        <w:autoSpaceDN/>
        <w:bidi w:val="0"/>
        <w:adjustRightInd/>
        <w:snapToGrid/>
        <w:spacing w:line="360" w:lineRule="auto"/>
        <w:ind w:left="0" w:leftChars="0" w:firstLine="480"/>
        <w:textAlignment w:val="auto"/>
        <w:rPr>
          <w:rFonts w:ascii="Times New Roman" w:hAnsi="Times New Roman"/>
          <w:color w:val="auto"/>
        </w:rPr>
      </w:pPr>
      <w:r>
        <w:rPr>
          <w:rFonts w:hint="eastAsia" w:ascii="Times New Roman" w:hAnsi="Times New Roman"/>
          <w:color w:val="auto"/>
        </w:rPr>
        <w:t>根据项目周围环境现状，在厂界四周外1米处设置厂界噪声监测点位，监测厂界噪声是否达标。监测因子及监测频次见表4.</w:t>
      </w:r>
      <w:r>
        <w:rPr>
          <w:rFonts w:hint="eastAsia" w:ascii="Times New Roman" w:hAnsi="Times New Roman"/>
          <w:color w:val="auto"/>
          <w:lang w:val="en-US" w:eastAsia="zh-CN"/>
        </w:rPr>
        <w:t>4</w:t>
      </w:r>
      <w:r>
        <w:rPr>
          <w:rFonts w:hint="eastAsia" w:ascii="Times New Roman" w:hAnsi="Times New Roman"/>
          <w:color w:val="auto"/>
        </w:rPr>
        <w:t>-</w:t>
      </w:r>
      <w:r>
        <w:rPr>
          <w:rFonts w:hint="eastAsia" w:ascii="Times New Roman" w:hAnsi="Times New Roman"/>
          <w:color w:val="auto"/>
          <w:lang w:val="en-US" w:eastAsia="zh-CN"/>
        </w:rPr>
        <w:t>2</w:t>
      </w:r>
      <w:r>
        <w:rPr>
          <w:rFonts w:hint="eastAsia" w:ascii="Times New Roman" w:hAnsi="Times New Roman"/>
          <w:color w:val="auto"/>
        </w:rPr>
        <w:t>。</w:t>
      </w:r>
    </w:p>
    <w:p>
      <w:pPr>
        <w:keepNext w:val="0"/>
        <w:keepLines w:val="0"/>
        <w:pageBreakBefore w:val="0"/>
        <w:widowControl w:val="0"/>
        <w:kinsoku/>
        <w:wordWrap/>
        <w:overflowPunct/>
        <w:topLinePunct w:val="0"/>
        <w:autoSpaceDE/>
        <w:autoSpaceDN/>
        <w:bidi w:val="0"/>
        <w:adjustRightInd/>
        <w:snapToGrid/>
        <w:spacing w:line="360" w:lineRule="auto"/>
        <w:ind w:left="0" w:leftChars="0" w:firstLine="570"/>
        <w:jc w:val="center"/>
        <w:textAlignment w:val="auto"/>
        <w:rPr>
          <w:rFonts w:ascii="Times New Roman" w:hAnsi="Times New Roman"/>
          <w:b/>
          <w:bCs/>
          <w:color w:val="auto"/>
          <w:szCs w:val="21"/>
        </w:rPr>
      </w:pPr>
      <w:r>
        <w:rPr>
          <w:rFonts w:ascii="Times New Roman" w:hAnsi="Times New Roman"/>
          <w:b/>
          <w:bCs/>
          <w:color w:val="auto"/>
          <w:szCs w:val="21"/>
        </w:rPr>
        <w:t>表</w:t>
      </w:r>
      <w:r>
        <w:rPr>
          <w:rFonts w:hint="eastAsia" w:ascii="Times New Roman" w:hAnsi="Times New Roman"/>
          <w:b/>
          <w:bCs/>
          <w:color w:val="auto"/>
          <w:szCs w:val="21"/>
        </w:rPr>
        <w:t>4.</w:t>
      </w:r>
      <w:r>
        <w:rPr>
          <w:rFonts w:hint="eastAsia" w:ascii="Times New Roman" w:hAnsi="Times New Roman"/>
          <w:b/>
          <w:bCs/>
          <w:color w:val="auto"/>
          <w:szCs w:val="21"/>
          <w:lang w:val="en-US" w:eastAsia="zh-CN"/>
        </w:rPr>
        <w:t>4</w:t>
      </w:r>
      <w:r>
        <w:rPr>
          <w:rFonts w:hint="eastAsia" w:ascii="Times New Roman" w:hAnsi="Times New Roman"/>
          <w:b/>
          <w:bCs/>
          <w:color w:val="auto"/>
          <w:szCs w:val="21"/>
        </w:rPr>
        <w:t>-</w:t>
      </w:r>
      <w:r>
        <w:rPr>
          <w:rFonts w:hint="eastAsia" w:ascii="Times New Roman" w:hAnsi="Times New Roman"/>
          <w:b/>
          <w:bCs/>
          <w:color w:val="auto"/>
          <w:szCs w:val="21"/>
          <w:lang w:val="en-US" w:eastAsia="zh-CN"/>
        </w:rPr>
        <w:t>2</w:t>
      </w:r>
      <w:r>
        <w:rPr>
          <w:rFonts w:hint="eastAsia" w:ascii="Times New Roman" w:hAnsi="Times New Roman"/>
          <w:b/>
          <w:bCs/>
          <w:color w:val="auto"/>
          <w:szCs w:val="21"/>
        </w:rPr>
        <w:t xml:space="preserve"> </w:t>
      </w:r>
      <w:r>
        <w:rPr>
          <w:rFonts w:hint="eastAsia" w:ascii="Times New Roman" w:hAnsi="Times New Roman"/>
          <w:b/>
          <w:bCs/>
          <w:color w:val="auto"/>
          <w:szCs w:val="21"/>
          <w:lang w:val="en-US" w:eastAsia="zh-CN"/>
        </w:rPr>
        <w:t xml:space="preserve">  </w:t>
      </w:r>
      <w:r>
        <w:rPr>
          <w:rFonts w:hint="eastAsia" w:ascii="Times New Roman" w:hAnsi="Times New Roman"/>
          <w:b/>
          <w:bCs/>
          <w:color w:val="auto"/>
          <w:szCs w:val="21"/>
        </w:rPr>
        <w:t>噪声</w:t>
      </w:r>
      <w:r>
        <w:rPr>
          <w:rFonts w:ascii="Times New Roman" w:hAnsi="Times New Roman"/>
          <w:b/>
          <w:bCs/>
          <w:color w:val="auto"/>
          <w:szCs w:val="21"/>
        </w:rPr>
        <w:t>监测</w:t>
      </w:r>
      <w:r>
        <w:rPr>
          <w:rFonts w:hint="eastAsia" w:ascii="Times New Roman" w:hAnsi="Times New Roman"/>
          <w:b/>
          <w:bCs/>
          <w:color w:val="auto"/>
          <w:szCs w:val="21"/>
        </w:rPr>
        <w:t>点位、监测</w:t>
      </w:r>
      <w:r>
        <w:rPr>
          <w:rFonts w:ascii="Times New Roman" w:hAnsi="Times New Roman"/>
          <w:b/>
          <w:bCs/>
          <w:color w:val="auto"/>
          <w:szCs w:val="21"/>
        </w:rPr>
        <w:t>因子及</w:t>
      </w:r>
      <w:r>
        <w:rPr>
          <w:rFonts w:hint="eastAsia" w:ascii="Times New Roman" w:hAnsi="Times New Roman"/>
          <w:b/>
          <w:bCs/>
          <w:color w:val="auto"/>
          <w:szCs w:val="21"/>
        </w:rPr>
        <w:t>监测</w:t>
      </w:r>
      <w:r>
        <w:rPr>
          <w:rFonts w:ascii="Times New Roman" w:hAnsi="Times New Roman"/>
          <w:b/>
          <w:bCs/>
          <w:color w:val="auto"/>
          <w:szCs w:val="21"/>
        </w:rPr>
        <w:t>频次</w:t>
      </w:r>
    </w:p>
    <w:tbl>
      <w:tblPr>
        <w:tblStyle w:val="29"/>
        <w:tblW w:w="5000"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108" w:type="dxa"/>
          <w:bottom w:w="0" w:type="dxa"/>
          <w:right w:w="108" w:type="dxa"/>
        </w:tblCellMar>
      </w:tblPr>
      <w:tblGrid>
        <w:gridCol w:w="3697"/>
        <w:gridCol w:w="3080"/>
        <w:gridCol w:w="2623"/>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454" w:hRule="exact"/>
          <w:jc w:val="center"/>
        </w:trPr>
        <w:tc>
          <w:tcPr>
            <w:tcW w:w="1966" w:type="pct"/>
            <w:shd w:val="clear" w:color="auto" w:fill="auto"/>
            <w:vAlign w:val="center"/>
          </w:tcPr>
          <w:p>
            <w:pPr>
              <w:jc w:val="center"/>
              <w:rPr>
                <w:rFonts w:ascii="Times New Roman" w:hAnsi="Times New Roman"/>
                <w:b/>
                <w:color w:val="auto"/>
                <w:kern w:val="0"/>
                <w:szCs w:val="21"/>
              </w:rPr>
            </w:pPr>
            <w:r>
              <w:rPr>
                <w:rFonts w:ascii="Times New Roman" w:hAnsi="Times New Roman"/>
                <w:b/>
                <w:color w:val="auto"/>
                <w:kern w:val="0"/>
                <w:szCs w:val="21"/>
              </w:rPr>
              <w:t>监测</w:t>
            </w:r>
            <w:r>
              <w:rPr>
                <w:rFonts w:hint="eastAsia" w:ascii="Times New Roman" w:hAnsi="Times New Roman"/>
                <w:b/>
                <w:color w:val="auto"/>
                <w:kern w:val="0"/>
                <w:szCs w:val="21"/>
              </w:rPr>
              <w:t>点位</w:t>
            </w:r>
          </w:p>
        </w:tc>
        <w:tc>
          <w:tcPr>
            <w:tcW w:w="1638" w:type="pct"/>
            <w:shd w:val="clear" w:color="auto" w:fill="auto"/>
            <w:vAlign w:val="center"/>
          </w:tcPr>
          <w:p>
            <w:pPr>
              <w:jc w:val="center"/>
              <w:rPr>
                <w:rFonts w:ascii="Times New Roman" w:hAnsi="Times New Roman"/>
                <w:b/>
                <w:color w:val="auto"/>
                <w:kern w:val="0"/>
                <w:szCs w:val="21"/>
              </w:rPr>
            </w:pPr>
            <w:r>
              <w:rPr>
                <w:rFonts w:ascii="Times New Roman" w:hAnsi="Times New Roman"/>
                <w:b/>
                <w:color w:val="auto"/>
                <w:kern w:val="0"/>
                <w:szCs w:val="21"/>
              </w:rPr>
              <w:t>监测项目</w:t>
            </w:r>
          </w:p>
        </w:tc>
        <w:tc>
          <w:tcPr>
            <w:tcW w:w="1395" w:type="pct"/>
            <w:shd w:val="clear" w:color="auto" w:fill="auto"/>
            <w:vAlign w:val="center"/>
          </w:tcPr>
          <w:p>
            <w:pPr>
              <w:jc w:val="center"/>
              <w:rPr>
                <w:rFonts w:ascii="Times New Roman" w:hAnsi="Times New Roman"/>
                <w:b/>
                <w:color w:val="auto"/>
                <w:kern w:val="0"/>
                <w:szCs w:val="21"/>
              </w:rPr>
            </w:pPr>
            <w:r>
              <w:rPr>
                <w:rFonts w:ascii="Times New Roman" w:hAnsi="Times New Roman"/>
                <w:b/>
                <w:color w:val="auto"/>
                <w:kern w:val="0"/>
                <w:szCs w:val="21"/>
              </w:rPr>
              <w:t>监测频次</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458" w:hRule="atLeast"/>
          <w:jc w:val="center"/>
        </w:trPr>
        <w:tc>
          <w:tcPr>
            <w:tcW w:w="1966" w:type="pct"/>
            <w:shd w:val="clear" w:color="auto" w:fill="auto"/>
            <w:vAlign w:val="center"/>
          </w:tcPr>
          <w:p>
            <w:pPr>
              <w:jc w:val="center"/>
              <w:rPr>
                <w:rFonts w:ascii="Times New Roman" w:hAnsi="Times New Roman"/>
                <w:color w:val="auto"/>
                <w:kern w:val="0"/>
                <w:szCs w:val="21"/>
              </w:rPr>
            </w:pPr>
            <w:r>
              <w:rPr>
                <w:rFonts w:hint="eastAsia" w:ascii="Times New Roman" w:hAnsi="Times New Roman"/>
                <w:color w:val="auto"/>
                <w:kern w:val="0"/>
                <w:szCs w:val="21"/>
              </w:rPr>
              <w:t>厂界四周外1m范围4个点位</w:t>
            </w:r>
          </w:p>
        </w:tc>
        <w:tc>
          <w:tcPr>
            <w:tcW w:w="1638" w:type="pct"/>
            <w:shd w:val="clear" w:color="auto" w:fill="auto"/>
            <w:vAlign w:val="center"/>
          </w:tcPr>
          <w:p>
            <w:pPr>
              <w:jc w:val="center"/>
              <w:rPr>
                <w:rFonts w:ascii="Times New Roman" w:hAnsi="Times New Roman"/>
                <w:color w:val="auto"/>
                <w:kern w:val="0"/>
                <w:szCs w:val="21"/>
              </w:rPr>
            </w:pPr>
            <w:r>
              <w:rPr>
                <w:rFonts w:hint="eastAsia" w:ascii="Times New Roman" w:hAnsi="Times New Roman"/>
                <w:color w:val="auto"/>
                <w:kern w:val="0"/>
                <w:szCs w:val="21"/>
              </w:rPr>
              <w:t>A声级</w:t>
            </w:r>
          </w:p>
        </w:tc>
        <w:tc>
          <w:tcPr>
            <w:tcW w:w="1395" w:type="pct"/>
            <w:shd w:val="clear" w:color="auto" w:fill="auto"/>
            <w:vAlign w:val="center"/>
          </w:tcPr>
          <w:p>
            <w:pPr>
              <w:jc w:val="center"/>
              <w:rPr>
                <w:rFonts w:ascii="Times New Roman" w:hAnsi="Times New Roman"/>
                <w:color w:val="auto"/>
                <w:kern w:val="0"/>
                <w:szCs w:val="21"/>
              </w:rPr>
            </w:pPr>
            <w:r>
              <w:rPr>
                <w:rFonts w:hint="eastAsia" w:ascii="Times New Roman" w:hAnsi="Times New Roman"/>
                <w:color w:val="auto"/>
                <w:kern w:val="0"/>
                <w:szCs w:val="21"/>
              </w:rPr>
              <w:t>每</w:t>
            </w:r>
            <w:r>
              <w:rPr>
                <w:rFonts w:hint="eastAsia" w:ascii="Times New Roman" w:hAnsi="Times New Roman"/>
                <w:color w:val="auto"/>
                <w:kern w:val="0"/>
                <w:szCs w:val="21"/>
                <w:lang w:eastAsia="zh-CN"/>
              </w:rPr>
              <w:t>年</w:t>
            </w:r>
            <w:r>
              <w:rPr>
                <w:rFonts w:hint="eastAsia" w:ascii="Times New Roman" w:hAnsi="Times New Roman"/>
                <w:color w:val="auto"/>
                <w:kern w:val="0"/>
                <w:szCs w:val="21"/>
              </w:rPr>
              <w:t>监测一次</w:t>
            </w:r>
          </w:p>
        </w:tc>
      </w:tr>
    </w:tbl>
    <w:p>
      <w:pPr>
        <w:spacing w:line="360" w:lineRule="auto"/>
        <w:ind w:firstLine="480" w:firstLineChars="200"/>
        <w:rPr>
          <w:rFonts w:hint="eastAsia" w:ascii="Times New Roman" w:hAnsi="Times New Roman" w:eastAsia="宋体" w:cs="宋体"/>
          <w:color w:val="auto"/>
          <w:sz w:val="24"/>
        </w:rPr>
      </w:pPr>
      <w:r>
        <w:rPr>
          <w:rFonts w:hint="eastAsia" w:ascii="Times New Roman" w:hAnsi="Times New Roman" w:eastAsia="宋体" w:cs="宋体"/>
          <w:color w:val="auto"/>
          <w:sz w:val="24"/>
          <w:lang w:eastAsia="zh-CN"/>
        </w:rPr>
        <w:t>（</w:t>
      </w:r>
      <w:r>
        <w:rPr>
          <w:rFonts w:hint="eastAsia" w:ascii="Times New Roman" w:hAnsi="Times New Roman" w:eastAsia="宋体" w:cs="宋体"/>
          <w:color w:val="auto"/>
          <w:sz w:val="24"/>
          <w:lang w:val="en-US" w:eastAsia="zh-CN"/>
        </w:rPr>
        <w:t>4</w:t>
      </w:r>
      <w:r>
        <w:rPr>
          <w:rFonts w:hint="eastAsia" w:ascii="Times New Roman" w:hAnsi="Times New Roman" w:eastAsia="宋体" w:cs="宋体"/>
          <w:color w:val="auto"/>
          <w:sz w:val="24"/>
          <w:lang w:eastAsia="zh-CN"/>
        </w:rPr>
        <w:t>）</w:t>
      </w:r>
      <w:r>
        <w:rPr>
          <w:rFonts w:hint="eastAsia" w:ascii="Times New Roman" w:hAnsi="Times New Roman" w:eastAsia="宋体" w:cs="宋体"/>
          <w:color w:val="auto"/>
          <w:sz w:val="24"/>
        </w:rPr>
        <w:t>土壤监测</w:t>
      </w:r>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color w:val="auto"/>
          <w:sz w:val="24"/>
        </w:rPr>
      </w:pPr>
      <w:r>
        <w:rPr>
          <w:rFonts w:hint="eastAsia" w:ascii="Times New Roman" w:hAnsi="Times New Roman" w:eastAsia="宋体" w:cs="宋体"/>
          <w:color w:val="auto"/>
          <w:sz w:val="24"/>
        </w:rPr>
        <w:t>填埋场中心设一个监测点，监测因子为总氮、总磷、水分、pH、重金属、大肠菌群，填埋后每年取土1次进行监测。</w:t>
      </w:r>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color w:val="auto"/>
          <w:sz w:val="24"/>
        </w:rPr>
      </w:pPr>
      <w:r>
        <w:rPr>
          <w:rFonts w:hint="eastAsia" w:ascii="Times New Roman" w:hAnsi="Times New Roman" w:eastAsia="宋体" w:cs="宋体"/>
          <w:color w:val="auto"/>
          <w:sz w:val="24"/>
          <w:lang w:eastAsia="zh-CN"/>
        </w:rPr>
        <w:t>（</w:t>
      </w:r>
      <w:r>
        <w:rPr>
          <w:rFonts w:hint="eastAsia" w:ascii="Times New Roman" w:hAnsi="Times New Roman" w:eastAsia="宋体" w:cs="宋体"/>
          <w:color w:val="auto"/>
          <w:sz w:val="24"/>
          <w:lang w:val="en-US" w:eastAsia="zh-CN"/>
        </w:rPr>
        <w:t>5</w:t>
      </w:r>
      <w:r>
        <w:rPr>
          <w:rFonts w:hint="eastAsia" w:ascii="Times New Roman" w:hAnsi="Times New Roman" w:eastAsia="宋体" w:cs="宋体"/>
          <w:color w:val="auto"/>
          <w:sz w:val="24"/>
          <w:lang w:eastAsia="zh-CN"/>
        </w:rPr>
        <w:t>）</w:t>
      </w:r>
      <w:r>
        <w:rPr>
          <w:rFonts w:hint="eastAsia" w:ascii="Times New Roman" w:hAnsi="Times New Roman" w:eastAsia="宋体" w:cs="宋体"/>
          <w:color w:val="auto"/>
          <w:sz w:val="24"/>
        </w:rPr>
        <w:t>渗滤液监测</w:t>
      </w:r>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color w:val="auto"/>
          <w:sz w:val="24"/>
        </w:rPr>
      </w:pPr>
      <w:r>
        <w:rPr>
          <w:rFonts w:hint="eastAsia" w:ascii="Times New Roman" w:hAnsi="Times New Roman" w:eastAsia="宋体" w:cs="宋体"/>
          <w:color w:val="auto"/>
          <w:sz w:val="24"/>
        </w:rPr>
        <w:t>监测因子为pH、DO、SS、COD、BOD</w:t>
      </w:r>
      <w:r>
        <w:rPr>
          <w:rFonts w:hint="eastAsia" w:ascii="Times New Roman" w:hAnsi="Times New Roman" w:eastAsia="宋体" w:cs="宋体"/>
          <w:color w:val="auto"/>
          <w:sz w:val="24"/>
          <w:vertAlign w:val="subscript"/>
          <w:lang w:val="en-US" w:eastAsia="zh-CN"/>
        </w:rPr>
        <w:t>5</w:t>
      </w:r>
      <w:r>
        <w:rPr>
          <w:rFonts w:hint="eastAsia" w:ascii="Times New Roman" w:hAnsi="Times New Roman" w:eastAsia="宋体" w:cs="宋体"/>
          <w:color w:val="auto"/>
          <w:sz w:val="24"/>
        </w:rPr>
        <w:t>、重金属，重金属指标每季度1次，其余指标每月一次，从填埋场封场开始至封场后30年。</w:t>
      </w:r>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color w:val="auto"/>
          <w:sz w:val="24"/>
        </w:rPr>
      </w:pPr>
      <w:r>
        <w:rPr>
          <w:rFonts w:hint="eastAsia" w:ascii="Times New Roman" w:hAnsi="Times New Roman" w:eastAsia="宋体" w:cs="宋体"/>
          <w:color w:val="auto"/>
          <w:sz w:val="24"/>
          <w:lang w:eastAsia="zh-CN"/>
        </w:rPr>
        <w:t>（</w:t>
      </w:r>
      <w:r>
        <w:rPr>
          <w:rFonts w:hint="eastAsia" w:ascii="Times New Roman" w:hAnsi="Times New Roman" w:eastAsia="宋体" w:cs="宋体"/>
          <w:color w:val="auto"/>
          <w:sz w:val="24"/>
          <w:lang w:val="en-US" w:eastAsia="zh-CN"/>
        </w:rPr>
        <w:t>6</w:t>
      </w:r>
      <w:r>
        <w:rPr>
          <w:rFonts w:hint="eastAsia" w:ascii="Times New Roman" w:hAnsi="Times New Roman" w:eastAsia="宋体" w:cs="宋体"/>
          <w:color w:val="auto"/>
          <w:sz w:val="24"/>
          <w:lang w:eastAsia="zh-CN"/>
        </w:rPr>
        <w:t>）</w:t>
      </w:r>
      <w:r>
        <w:rPr>
          <w:rFonts w:hint="eastAsia" w:ascii="Times New Roman" w:hAnsi="Times New Roman" w:eastAsia="宋体" w:cs="宋体"/>
          <w:color w:val="auto"/>
          <w:sz w:val="24"/>
        </w:rPr>
        <w:t>封场后监测</w:t>
      </w:r>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color w:val="auto"/>
          <w:sz w:val="24"/>
        </w:rPr>
      </w:pPr>
      <w:r>
        <w:rPr>
          <w:rFonts w:hint="eastAsia" w:ascii="Times New Roman" w:hAnsi="Times New Roman" w:eastAsia="宋体" w:cs="宋体"/>
          <w:color w:val="auto"/>
          <w:sz w:val="24"/>
        </w:rPr>
        <w:t>填埋场管理机构和地方环境保护行政主管部门均应对封场后的填埋场的地下水污染物浓度进行测定。</w:t>
      </w:r>
    </w:p>
    <w:p>
      <w:pPr>
        <w:pStyle w:val="7"/>
        <w:pageBreakBefore w:val="0"/>
        <w:widowControl w:val="0"/>
        <w:kinsoku/>
        <w:wordWrap/>
        <w:overflowPunct/>
        <w:topLinePunct w:val="0"/>
        <w:autoSpaceDE/>
        <w:autoSpaceDN/>
        <w:bidi w:val="0"/>
        <w:adjustRightInd/>
        <w:snapToGrid/>
        <w:spacing w:line="360" w:lineRule="auto"/>
        <w:textAlignment w:val="auto"/>
        <w:rPr>
          <w:rFonts w:ascii="Times New Roman" w:hAnsi="Times New Roman"/>
          <w:color w:val="auto"/>
        </w:rPr>
      </w:pPr>
      <w:bookmarkStart w:id="68" w:name="_Toc53502003"/>
      <w:bookmarkStart w:id="69" w:name="_Toc8191"/>
      <w:r>
        <w:rPr>
          <w:rFonts w:hint="eastAsia" w:ascii="Times New Roman" w:hAnsi="Times New Roman"/>
          <w:color w:val="auto"/>
        </w:rPr>
        <w:t>4.</w:t>
      </w:r>
      <w:r>
        <w:rPr>
          <w:rFonts w:hint="eastAsia" w:ascii="Times New Roman" w:hAnsi="Times New Roman"/>
          <w:color w:val="auto"/>
          <w:lang w:val="en-US" w:eastAsia="zh-CN"/>
        </w:rPr>
        <w:t>4</w:t>
      </w:r>
      <w:r>
        <w:rPr>
          <w:rFonts w:hint="eastAsia" w:ascii="Times New Roman" w:hAnsi="Times New Roman"/>
          <w:color w:val="auto"/>
        </w:rPr>
        <w:t>.3环境防护距离检查情况</w:t>
      </w:r>
      <w:bookmarkEnd w:id="68"/>
      <w:bookmarkEnd w:id="69"/>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color w:val="auto"/>
        </w:rPr>
        <w:sectPr>
          <w:pgSz w:w="11906" w:h="16838"/>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r>
        <w:rPr>
          <w:rFonts w:hint="eastAsia" w:ascii="Times New Roman" w:hAnsi="Times New Roman"/>
          <w:color w:val="auto"/>
        </w:rPr>
        <w:t>本项目环境防护距离确定为</w:t>
      </w:r>
      <w:r>
        <w:rPr>
          <w:rFonts w:hint="eastAsia" w:ascii="Times New Roman" w:hAnsi="Times New Roman"/>
          <w:color w:val="auto"/>
          <w:lang w:eastAsia="zh-CN"/>
        </w:rPr>
        <w:t>厂界</w:t>
      </w:r>
      <w:r>
        <w:rPr>
          <w:rFonts w:hint="eastAsia" w:ascii="Times New Roman" w:hAnsi="Times New Roman"/>
          <w:color w:val="auto"/>
        </w:rPr>
        <w:t>周边</w:t>
      </w:r>
      <w:r>
        <w:rPr>
          <w:rFonts w:hint="eastAsia" w:ascii="Times New Roman" w:hAnsi="Times New Roman"/>
          <w:color w:val="auto"/>
          <w:lang w:val="en-US" w:eastAsia="zh-CN"/>
        </w:rPr>
        <w:t>2</w:t>
      </w:r>
      <w:r>
        <w:rPr>
          <w:rFonts w:hint="eastAsia" w:ascii="Times New Roman" w:hAnsi="Times New Roman"/>
          <w:color w:val="auto"/>
        </w:rPr>
        <w:t>00m范围区域内，根据现场调查，</w:t>
      </w:r>
      <w:r>
        <w:rPr>
          <w:rFonts w:hint="eastAsia" w:ascii="Times New Roman" w:hAnsi="Times New Roman"/>
          <w:color w:val="auto"/>
          <w:lang w:eastAsia="zh-CN"/>
        </w:rPr>
        <w:t>厂界</w:t>
      </w:r>
      <w:r>
        <w:rPr>
          <w:rFonts w:hint="eastAsia" w:ascii="Times New Roman" w:hAnsi="Times New Roman"/>
          <w:color w:val="auto"/>
        </w:rPr>
        <w:t>周边</w:t>
      </w:r>
      <w:r>
        <w:rPr>
          <w:rFonts w:hint="eastAsia" w:ascii="Times New Roman" w:hAnsi="Times New Roman"/>
          <w:color w:val="auto"/>
          <w:lang w:val="en-US" w:eastAsia="zh-CN"/>
        </w:rPr>
        <w:t>2</w:t>
      </w:r>
      <w:r>
        <w:rPr>
          <w:rFonts w:hint="eastAsia" w:ascii="Times New Roman" w:hAnsi="Times New Roman"/>
          <w:color w:val="auto"/>
        </w:rPr>
        <w:t>00m范围内无居民区、学校等敏感点，环境防护距离满足要求。本项目环境防护距离包络线见图4.</w:t>
      </w:r>
      <w:r>
        <w:rPr>
          <w:rFonts w:hint="eastAsia" w:ascii="Times New Roman" w:hAnsi="Times New Roman"/>
          <w:color w:val="auto"/>
          <w:lang w:val="en-US" w:eastAsia="zh-CN"/>
        </w:rPr>
        <w:t>4</w:t>
      </w:r>
      <w:r>
        <w:rPr>
          <w:rFonts w:hint="eastAsia" w:ascii="Times New Roman" w:hAnsi="Times New Roman"/>
          <w:color w:val="auto"/>
        </w:rPr>
        <w:t>-1：</w:t>
      </w:r>
    </w:p>
    <w:p>
      <w:pPr>
        <w:pStyle w:val="146"/>
        <w:rPr>
          <w:rFonts w:ascii="Times New Roman" w:hAnsi="Times New Roman"/>
          <w:color w:val="auto"/>
        </w:rPr>
      </w:pPr>
      <w:r>
        <w:rPr>
          <w:rFonts w:ascii="Times New Roman" w:hAnsi="Times New Roman"/>
          <w:color w:val="auto"/>
          <w:sz w:val="24"/>
        </w:rPr>
        <mc:AlternateContent>
          <mc:Choice Requires="wps">
            <w:drawing>
              <wp:anchor distT="0" distB="0" distL="114300" distR="114300" simplePos="0" relativeHeight="251676672" behindDoc="0" locked="0" layoutInCell="1" allowOverlap="1">
                <wp:simplePos x="0" y="0"/>
                <wp:positionH relativeFrom="column">
                  <wp:posOffset>8291830</wp:posOffset>
                </wp:positionH>
                <wp:positionV relativeFrom="paragraph">
                  <wp:posOffset>-65405</wp:posOffset>
                </wp:positionV>
                <wp:extent cx="1019175" cy="875665"/>
                <wp:effectExtent l="0" t="0" r="0" b="0"/>
                <wp:wrapNone/>
                <wp:docPr id="44" name="文本框 1486"/>
                <wp:cNvGraphicFramePr/>
                <a:graphic xmlns:a="http://schemas.openxmlformats.org/drawingml/2006/main">
                  <a:graphicData uri="http://schemas.microsoft.com/office/word/2010/wordprocessingShape">
                    <wps:wsp>
                      <wps:cNvSpPr txBox="1"/>
                      <wps:spPr>
                        <a:xfrm>
                          <a:off x="0" y="0"/>
                          <a:ext cx="1019175" cy="875665"/>
                        </a:xfrm>
                        <a:prstGeom prst="rect">
                          <a:avLst/>
                        </a:prstGeom>
                        <a:noFill/>
                        <a:ln>
                          <a:noFill/>
                        </a:ln>
                      </wps:spPr>
                      <wps:txbx>
                        <w:txbxContent>
                          <w:p>
                            <w:r>
                              <w:drawing>
                                <wp:inline distT="0" distB="0" distL="114300" distR="114300">
                                  <wp:extent cx="539750" cy="652145"/>
                                  <wp:effectExtent l="0" t="0" r="12700" b="14605"/>
                                  <wp:docPr id="3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2"/>
                                          <pic:cNvPicPr>
                                            <a:picLocks noChangeAspect="1"/>
                                          </pic:cNvPicPr>
                                        </pic:nvPicPr>
                                        <pic:blipFill>
                                          <a:blip r:embed="rId11"/>
                                          <a:stretch>
                                            <a:fillRect/>
                                          </a:stretch>
                                        </pic:blipFill>
                                        <pic:spPr>
                                          <a:xfrm>
                                            <a:off x="0" y="0"/>
                                            <a:ext cx="539750" cy="652145"/>
                                          </a:xfrm>
                                          <a:prstGeom prst="rect">
                                            <a:avLst/>
                                          </a:prstGeom>
                                          <a:noFill/>
                                          <a:ln>
                                            <a:noFill/>
                                          </a:ln>
                                        </pic:spPr>
                                      </pic:pic>
                                    </a:graphicData>
                                  </a:graphic>
                                </wp:inline>
                              </w:drawing>
                            </w:r>
                          </w:p>
                        </w:txbxContent>
                      </wps:txbx>
                      <wps:bodyPr upright="1"/>
                    </wps:wsp>
                  </a:graphicData>
                </a:graphic>
              </wp:anchor>
            </w:drawing>
          </mc:Choice>
          <mc:Fallback>
            <w:pict>
              <v:shape id="文本框 1486" o:spid="_x0000_s1026" o:spt="202" type="#_x0000_t202" style="position:absolute;left:0pt;margin-left:652.9pt;margin-top:-5.15pt;height:68.95pt;width:80.25pt;z-index:251676672;mso-width-relative:page;mso-height-relative:page;" filled="f" stroked="f" coordsize="21600,21600" o:gfxdata="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D4&#10;4KqE2QAAAA0BAAAPAAAAAAAAAAEAIAAAACIAAABkcnMvZG93bnJldi54bWxQSwECFAAUAAAACACH&#10;TuJAIEq6XLEBAABSAwAADgAAAAAAAAABACAAAAAoAQAAZHJzL2Uyb0RvYy54bWxQSwUGAAAAAAYA&#10;BgBZAQAASwUAAAAA&#10;">
                <v:fill on="f" focussize="0,0"/>
                <v:stroke on="f"/>
                <v:imagedata o:title=""/>
                <o:lock v:ext="edit" aspectratio="f"/>
                <v:textbox>
                  <w:txbxContent>
                    <w:p>
                      <w:r>
                        <w:drawing>
                          <wp:inline distT="0" distB="0" distL="114300" distR="114300">
                            <wp:extent cx="539750" cy="652145"/>
                            <wp:effectExtent l="0" t="0" r="12700" b="14605"/>
                            <wp:docPr id="3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2"/>
                                    <pic:cNvPicPr>
                                      <a:picLocks noChangeAspect="1"/>
                                    </pic:cNvPicPr>
                                  </pic:nvPicPr>
                                  <pic:blipFill>
                                    <a:blip r:embed="rId11"/>
                                    <a:stretch>
                                      <a:fillRect/>
                                    </a:stretch>
                                  </pic:blipFill>
                                  <pic:spPr>
                                    <a:xfrm>
                                      <a:off x="0" y="0"/>
                                      <a:ext cx="539750" cy="652145"/>
                                    </a:xfrm>
                                    <a:prstGeom prst="rect">
                                      <a:avLst/>
                                    </a:prstGeom>
                                    <a:noFill/>
                                    <a:ln>
                                      <a:noFill/>
                                    </a:ln>
                                  </pic:spPr>
                                </pic:pic>
                              </a:graphicData>
                            </a:graphic>
                          </wp:inline>
                        </w:drawing>
                      </w:r>
                    </w:p>
                  </w:txbxContent>
                </v:textbox>
              </v:shape>
            </w:pict>
          </mc:Fallback>
        </mc:AlternateContent>
      </w:r>
      <w:r>
        <w:rPr>
          <w:rFonts w:ascii="Times New Roman" w:hAnsi="Times New Roman"/>
          <w:color w:val="auto"/>
          <w:sz w:val="24"/>
        </w:rPr>
        <mc:AlternateContent>
          <mc:Choice Requires="wps">
            <w:drawing>
              <wp:anchor distT="0" distB="0" distL="114300" distR="114300" simplePos="0" relativeHeight="251675648" behindDoc="0" locked="0" layoutInCell="1" allowOverlap="1">
                <wp:simplePos x="0" y="0"/>
                <wp:positionH relativeFrom="column">
                  <wp:posOffset>5043805</wp:posOffset>
                </wp:positionH>
                <wp:positionV relativeFrom="paragraph">
                  <wp:posOffset>2944495</wp:posOffset>
                </wp:positionV>
                <wp:extent cx="580390" cy="285750"/>
                <wp:effectExtent l="0" t="0" r="0" b="0"/>
                <wp:wrapNone/>
                <wp:docPr id="43" name="文本框 1487"/>
                <wp:cNvGraphicFramePr/>
                <a:graphic xmlns:a="http://schemas.openxmlformats.org/drawingml/2006/main">
                  <a:graphicData uri="http://schemas.microsoft.com/office/word/2010/wordprocessingShape">
                    <wps:wsp>
                      <wps:cNvSpPr txBox="1"/>
                      <wps:spPr>
                        <a:xfrm>
                          <a:off x="0" y="0"/>
                          <a:ext cx="580390" cy="285750"/>
                        </a:xfrm>
                        <a:prstGeom prst="rect">
                          <a:avLst/>
                        </a:prstGeom>
                        <a:noFill/>
                        <a:ln>
                          <a:noFill/>
                        </a:ln>
                      </wps:spPr>
                      <wps:txbx>
                        <w:txbxContent>
                          <w:p>
                            <w:pPr>
                              <w:rPr>
                                <w:rFonts w:hint="default" w:eastAsia="宋体"/>
                                <w:color w:val="00B050"/>
                                <w:highlight w:val="green"/>
                                <w:lang w:val="en-US" w:eastAsia="zh-CN"/>
                              </w:rPr>
                            </w:pPr>
                            <w:r>
                              <w:rPr>
                                <w:rFonts w:hint="eastAsia"/>
                                <w:color w:val="00B050"/>
                                <w:highlight w:val="green"/>
                                <w:lang w:val="en-US" w:eastAsia="zh-CN"/>
                              </w:rPr>
                              <w:t>200m</w:t>
                            </w:r>
                          </w:p>
                        </w:txbxContent>
                      </wps:txbx>
                      <wps:bodyPr upright="1"/>
                    </wps:wsp>
                  </a:graphicData>
                </a:graphic>
              </wp:anchor>
            </w:drawing>
          </mc:Choice>
          <mc:Fallback>
            <w:pict>
              <v:shape id="文本框 1487" o:spid="_x0000_s1026" o:spt="202" type="#_x0000_t202" style="position:absolute;left:0pt;margin-left:397.15pt;margin-top:231.85pt;height:22.5pt;width:45.7pt;z-index:251675648;mso-width-relative:page;mso-height-relative:page;" filled="f" stroked="f" coordsize="21600,21600" o:gfxdata="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BW&#10;uRTu2QAAAAsBAAAPAAAAAAAAAAEAIAAAACIAAABkcnMvZG93bnJldi54bWxQSwECFAAUAAAACACH&#10;TuJAW2fCzLEBAABRAwAADgAAAAAAAAABACAAAAAoAQAAZHJzL2Uyb0RvYy54bWxQSwUGAAAAAAYA&#10;BgBZAQAASwUAAAAA&#10;">
                <v:fill on="f" focussize="0,0"/>
                <v:stroke on="f"/>
                <v:imagedata o:title=""/>
                <o:lock v:ext="edit" aspectratio="f"/>
                <v:textbox>
                  <w:txbxContent>
                    <w:p>
                      <w:pPr>
                        <w:rPr>
                          <w:rFonts w:hint="default" w:eastAsia="宋体"/>
                          <w:color w:val="00B050"/>
                          <w:highlight w:val="green"/>
                          <w:lang w:val="en-US" w:eastAsia="zh-CN"/>
                        </w:rPr>
                      </w:pPr>
                      <w:r>
                        <w:rPr>
                          <w:rFonts w:hint="eastAsia"/>
                          <w:color w:val="00B050"/>
                          <w:highlight w:val="green"/>
                          <w:lang w:val="en-US" w:eastAsia="zh-CN"/>
                        </w:rPr>
                        <w:t>200m</w:t>
                      </w:r>
                    </w:p>
                  </w:txbxContent>
                </v:textbox>
              </v:shape>
            </w:pict>
          </mc:Fallback>
        </mc:AlternateContent>
      </w:r>
      <w:r>
        <w:rPr>
          <w:rFonts w:ascii="Times New Roman" w:hAnsi="Times New Roman"/>
          <w:color w:val="auto"/>
          <w:sz w:val="24"/>
        </w:rPr>
        <mc:AlternateContent>
          <mc:Choice Requires="wps">
            <w:drawing>
              <wp:anchor distT="0" distB="0" distL="114300" distR="114300" simplePos="0" relativeHeight="251674624" behindDoc="0" locked="0" layoutInCell="1" allowOverlap="1">
                <wp:simplePos x="0" y="0"/>
                <wp:positionH relativeFrom="column">
                  <wp:posOffset>5015230</wp:posOffset>
                </wp:positionH>
                <wp:positionV relativeFrom="paragraph">
                  <wp:posOffset>3201670</wp:posOffset>
                </wp:positionV>
                <wp:extent cx="695325" cy="635"/>
                <wp:effectExtent l="0" t="37465" r="9525" b="38100"/>
                <wp:wrapNone/>
                <wp:docPr id="40" name="直线 1488"/>
                <wp:cNvGraphicFramePr/>
                <a:graphic xmlns:a="http://schemas.openxmlformats.org/drawingml/2006/main">
                  <a:graphicData uri="http://schemas.microsoft.com/office/word/2010/wordprocessingShape">
                    <wps:wsp>
                      <wps:cNvCnPr/>
                      <wps:spPr>
                        <a:xfrm>
                          <a:off x="0" y="0"/>
                          <a:ext cx="695325" cy="635"/>
                        </a:xfrm>
                        <a:prstGeom prst="line">
                          <a:avLst/>
                        </a:prstGeom>
                        <a:ln w="15875" cap="flat" cmpd="sng">
                          <a:solidFill>
                            <a:srgbClr val="00B050"/>
                          </a:solidFill>
                          <a:prstDash val="solid"/>
                          <a:headEnd type="none" w="med" len="med"/>
                          <a:tailEnd type="triangle" w="med" len="med"/>
                        </a:ln>
                      </wps:spPr>
                      <wps:bodyPr upright="1"/>
                    </wps:wsp>
                  </a:graphicData>
                </a:graphic>
              </wp:anchor>
            </w:drawing>
          </mc:Choice>
          <mc:Fallback>
            <w:pict>
              <v:line id="直线 1488" o:spid="_x0000_s1026" o:spt="20" style="position:absolute;left:0pt;margin-left:394.9pt;margin-top:252.1pt;height:0.05pt;width:54.75pt;z-index:251674624;mso-width-relative:page;mso-height-relative:page;" filled="f" stroked="t" coordsize="21600,21600" o:gfxdata="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e6MDwtsAAAALAQAADwAAAAAAAAABACAAAAAiAAAAZHJzL2Rvd25yZXYu&#10;eG1sUEsBAhQAFAAAAAgAh07iQMuKdET4AQAA5QMAAA4AAAAAAAAAAQAgAAAAKgEAAGRycy9lMm9E&#10;b2MueG1sUEsFBgAAAAAGAAYAWQEAAJQFAAAAAA==&#10;">
                <v:fill on="f" focussize="0,0"/>
                <v:stroke weight="1.25pt" color="#00B050" joinstyle="round" endarrow="block"/>
                <v:imagedata o:title=""/>
                <o:lock v:ext="edit" aspectratio="f"/>
              </v:line>
            </w:pict>
          </mc:Fallback>
        </mc:AlternateContent>
      </w:r>
      <w:r>
        <w:rPr>
          <w:rFonts w:ascii="Times New Roman" w:hAnsi="Times New Roman"/>
          <w:color w:val="auto"/>
          <w:sz w:val="24"/>
        </w:rPr>
        <mc:AlternateContent>
          <mc:Choice Requires="wps">
            <w:drawing>
              <wp:anchor distT="0" distB="0" distL="114300" distR="114300" simplePos="0" relativeHeight="251673600" behindDoc="0" locked="0" layoutInCell="1" allowOverlap="1">
                <wp:simplePos x="0" y="0"/>
                <wp:positionH relativeFrom="column">
                  <wp:posOffset>5729605</wp:posOffset>
                </wp:positionH>
                <wp:positionV relativeFrom="paragraph">
                  <wp:posOffset>1990725</wp:posOffset>
                </wp:positionV>
                <wp:extent cx="1619250" cy="353060"/>
                <wp:effectExtent l="241935" t="4445" r="5715" b="442595"/>
                <wp:wrapNone/>
                <wp:docPr id="27" name="自选图形 1489"/>
                <wp:cNvGraphicFramePr/>
                <a:graphic xmlns:a="http://schemas.openxmlformats.org/drawingml/2006/main">
                  <a:graphicData uri="http://schemas.microsoft.com/office/word/2010/wordprocessingShape">
                    <wps:wsp>
                      <wps:cNvSpPr/>
                      <wps:spPr>
                        <a:xfrm>
                          <a:off x="0" y="0"/>
                          <a:ext cx="1619250" cy="353060"/>
                        </a:xfrm>
                        <a:prstGeom prst="wedgeRoundRectCallout">
                          <a:avLst>
                            <a:gd name="adj1" fmla="val -63134"/>
                            <a:gd name="adj2" fmla="val 169782"/>
                            <a:gd name="adj3" fmla="val 16667"/>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lang w:eastAsia="zh-CN"/>
                              </w:rPr>
                            </w:pPr>
                            <w:r>
                              <w:rPr>
                                <w:rFonts w:hint="eastAsia"/>
                                <w:lang w:eastAsia="zh-CN"/>
                              </w:rPr>
                              <w:t>项目防护距离包络线</w:t>
                            </w:r>
                          </w:p>
                        </w:txbxContent>
                      </wps:txbx>
                      <wps:bodyPr upright="1"/>
                    </wps:wsp>
                  </a:graphicData>
                </a:graphic>
              </wp:anchor>
            </w:drawing>
          </mc:Choice>
          <mc:Fallback>
            <w:pict>
              <v:shape id="自选图形 1489" o:spid="_x0000_s1026" o:spt="62" type="#_x0000_t62" style="position:absolute;left:0pt;margin-left:451.15pt;margin-top:156.75pt;height:27.8pt;width:127.5pt;z-index:251673600;mso-width-relative:page;mso-height-relative:page;" fillcolor="#FFFFFF" filled="t" stroked="t" coordsize="21600,21600" o:gfxdata="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A6Fx9TWAAAADAEAAA8AAAAAAAAA&#10;AQAgAAAAIgAAAGRycy9kb3ducmV2LnhtbFBLAQIUABQAAAAIAIdO4kDVmcOlTAIAALsEAAAOAAAA&#10;AAAAAAEAIAAAACUBAABkcnMvZTJvRG9jLnhtbFBLBQYAAAAABgAGAFkBAADjBQAAAAA=&#10;" adj="-2837,47473,14400">
                <v:fill on="t" focussize="0,0"/>
                <v:stroke color="#000000" joinstyle="miter"/>
                <v:imagedata o:title=""/>
                <o:lock v:ext="edit" aspectratio="f"/>
                <v:textbox>
                  <w:txbxContent>
                    <w:p>
                      <w:pPr>
                        <w:rPr>
                          <w:rFonts w:hint="eastAsia" w:eastAsia="宋体"/>
                          <w:lang w:eastAsia="zh-CN"/>
                        </w:rPr>
                      </w:pPr>
                      <w:r>
                        <w:rPr>
                          <w:rFonts w:hint="eastAsia"/>
                          <w:lang w:eastAsia="zh-CN"/>
                        </w:rPr>
                        <w:t>项目防护距离包络线</w:t>
                      </w:r>
                    </w:p>
                  </w:txbxContent>
                </v:textbox>
              </v:shape>
            </w:pict>
          </mc:Fallback>
        </mc:AlternateContent>
      </w:r>
      <w:r>
        <w:rPr>
          <w:rFonts w:ascii="Times New Roman" w:hAnsi="Times New Roman"/>
          <w:color w:val="auto"/>
          <w:sz w:val="24"/>
        </w:rPr>
        <mc:AlternateContent>
          <mc:Choice Requires="wps">
            <w:drawing>
              <wp:anchor distT="0" distB="0" distL="114300" distR="114300" simplePos="0" relativeHeight="251672576" behindDoc="0" locked="0" layoutInCell="1" allowOverlap="1">
                <wp:simplePos x="0" y="0"/>
                <wp:positionH relativeFrom="column">
                  <wp:posOffset>4558030</wp:posOffset>
                </wp:positionH>
                <wp:positionV relativeFrom="paragraph">
                  <wp:posOffset>1676400</wp:posOffset>
                </wp:positionV>
                <wp:extent cx="1029335" cy="353060"/>
                <wp:effectExtent l="670560" t="5080" r="14605" b="880110"/>
                <wp:wrapNone/>
                <wp:docPr id="26" name="自选图形 1490"/>
                <wp:cNvGraphicFramePr/>
                <a:graphic xmlns:a="http://schemas.openxmlformats.org/drawingml/2006/main">
                  <a:graphicData uri="http://schemas.microsoft.com/office/word/2010/wordprocessingShape">
                    <wps:wsp>
                      <wps:cNvSpPr/>
                      <wps:spPr>
                        <a:xfrm>
                          <a:off x="0" y="0"/>
                          <a:ext cx="1029335" cy="353060"/>
                        </a:xfrm>
                        <a:prstGeom prst="wedgeRoundRectCallout">
                          <a:avLst>
                            <a:gd name="adj1" fmla="val -112241"/>
                            <a:gd name="adj2" fmla="val 291185"/>
                            <a:gd name="adj3" fmla="val 16667"/>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lang w:eastAsia="zh-CN"/>
                              </w:rPr>
                            </w:pPr>
                            <w:r>
                              <w:rPr>
                                <w:rFonts w:hint="eastAsia"/>
                                <w:lang w:eastAsia="zh-CN"/>
                              </w:rPr>
                              <w:t>填埋区边界</w:t>
                            </w:r>
                          </w:p>
                        </w:txbxContent>
                      </wps:txbx>
                      <wps:bodyPr upright="1"/>
                    </wps:wsp>
                  </a:graphicData>
                </a:graphic>
              </wp:anchor>
            </w:drawing>
          </mc:Choice>
          <mc:Fallback>
            <w:pict>
              <v:shape id="自选图形 1490" o:spid="_x0000_s1026" o:spt="62" type="#_x0000_t62" style="position:absolute;left:0pt;margin-left:358.9pt;margin-top:132pt;height:27.8pt;width:81.05pt;z-index:251672576;mso-width-relative:page;mso-height-relative:page;" fillcolor="#FFFFFF" filled="t" stroked="t" coordsize="21600,21600" o:gfxdata="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Kb6FuLaAAAACwEAAA8AAAAA&#10;AAAAAQAgAAAAIgAAAGRycy9kb3ducmV2LnhtbFBLAQIUABQAAAAIAIdO4kCA3wE1SwIAALwEAAAO&#10;AAAAAAAAAAEAIAAAACkBAABkcnMvZTJvRG9jLnhtbFBLBQYAAAAABgAGAFkBAADmBQAAAAA=&#10;" adj="-13444,73696,14400">
                <v:fill on="t" focussize="0,0"/>
                <v:stroke color="#000000" joinstyle="miter"/>
                <v:imagedata o:title=""/>
                <o:lock v:ext="edit" aspectratio="f"/>
                <v:textbox>
                  <w:txbxContent>
                    <w:p>
                      <w:pPr>
                        <w:rPr>
                          <w:rFonts w:hint="eastAsia" w:eastAsia="宋体"/>
                          <w:lang w:eastAsia="zh-CN"/>
                        </w:rPr>
                      </w:pPr>
                      <w:r>
                        <w:rPr>
                          <w:rFonts w:hint="eastAsia"/>
                          <w:lang w:eastAsia="zh-CN"/>
                        </w:rPr>
                        <w:t>填埋区边界</w:t>
                      </w:r>
                    </w:p>
                  </w:txbxContent>
                </v:textbox>
              </v:shape>
            </w:pict>
          </mc:Fallback>
        </mc:AlternateContent>
      </w:r>
      <w:r>
        <w:rPr>
          <w:rFonts w:ascii="Times New Roman" w:hAnsi="Times New Roman"/>
          <w:color w:val="auto"/>
        </w:rPr>
        <w:drawing>
          <wp:inline distT="0" distB="0" distL="114300" distR="114300">
            <wp:extent cx="8962390" cy="5137785"/>
            <wp:effectExtent l="0" t="0" r="10160" b="5715"/>
            <wp:docPr id="3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3"/>
                    <pic:cNvPicPr>
                      <a:picLocks noChangeAspect="1"/>
                    </pic:cNvPicPr>
                  </pic:nvPicPr>
                  <pic:blipFill>
                    <a:blip r:embed="rId17"/>
                    <a:stretch>
                      <a:fillRect/>
                    </a:stretch>
                  </pic:blipFill>
                  <pic:spPr>
                    <a:xfrm>
                      <a:off x="0" y="0"/>
                      <a:ext cx="8962390" cy="513778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left="0" w:leftChars="0"/>
        <w:jc w:val="center"/>
        <w:textAlignment w:val="auto"/>
        <w:rPr>
          <w:rFonts w:ascii="Times New Roman" w:hAnsi="Times New Roman"/>
          <w:b/>
          <w:color w:val="auto"/>
          <w:szCs w:val="21"/>
        </w:rPr>
        <w:sectPr>
          <w:pgSz w:w="16838" w:h="11906" w:orient="landscape"/>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r>
        <w:rPr>
          <w:rFonts w:ascii="Times New Roman" w:hAnsi="Times New Roman" w:cs="Times New Roman"/>
          <w:b/>
          <w:color w:val="auto"/>
          <w:szCs w:val="21"/>
        </w:rPr>
        <w:t>图4.</w:t>
      </w:r>
      <w:r>
        <w:rPr>
          <w:rFonts w:hint="eastAsia" w:ascii="Times New Roman" w:hAnsi="Times New Roman" w:cs="Times New Roman"/>
          <w:b/>
          <w:color w:val="auto"/>
          <w:szCs w:val="21"/>
          <w:lang w:val="en-US" w:eastAsia="zh-CN"/>
        </w:rPr>
        <w:t>4</w:t>
      </w:r>
      <w:r>
        <w:rPr>
          <w:rFonts w:ascii="Times New Roman" w:hAnsi="Times New Roman" w:cs="Times New Roman"/>
          <w:b/>
          <w:color w:val="auto"/>
          <w:szCs w:val="21"/>
        </w:rPr>
        <w:t>-1 项目</w:t>
      </w:r>
      <w:r>
        <w:rPr>
          <w:rFonts w:ascii="Times New Roman" w:hAnsi="Times New Roman"/>
          <w:b/>
          <w:color w:val="auto"/>
          <w:szCs w:val="21"/>
        </w:rPr>
        <w:t>环境防护距离包络线图</w:t>
      </w:r>
    </w:p>
    <w:p>
      <w:pPr>
        <w:pStyle w:val="6"/>
        <w:pageBreakBefore w:val="0"/>
        <w:kinsoku/>
        <w:wordWrap/>
        <w:overflowPunct/>
        <w:topLinePunct w:val="0"/>
        <w:autoSpaceDE/>
        <w:autoSpaceDN/>
        <w:bidi w:val="0"/>
        <w:adjustRightInd/>
        <w:snapToGrid/>
        <w:spacing w:before="0" w:after="0" w:line="360" w:lineRule="auto"/>
        <w:textAlignment w:val="auto"/>
        <w:rPr>
          <w:rFonts w:ascii="Times New Roman" w:hAnsi="Times New Roman" w:cs="Times New Roman"/>
          <w:color w:val="auto"/>
          <w:highlight w:val="none"/>
        </w:rPr>
      </w:pPr>
      <w:bookmarkStart w:id="70" w:name="_Toc20515"/>
      <w:r>
        <w:rPr>
          <w:rFonts w:ascii="Times New Roman" w:hAnsi="Times New Roman" w:cs="Times New Roman"/>
          <w:color w:val="auto"/>
          <w:highlight w:val="none"/>
        </w:rPr>
        <w:t>4.</w:t>
      </w:r>
      <w:r>
        <w:rPr>
          <w:rFonts w:hint="eastAsia" w:ascii="Times New Roman" w:hAnsi="Times New Roman" w:cs="Times New Roman"/>
          <w:color w:val="auto"/>
          <w:highlight w:val="none"/>
          <w:lang w:val="en-US" w:eastAsia="zh-CN"/>
        </w:rPr>
        <w:t>5</w:t>
      </w:r>
      <w:r>
        <w:rPr>
          <w:rFonts w:ascii="Times New Roman" w:hAnsi="Times New Roman" w:cs="Times New Roman"/>
          <w:color w:val="auto"/>
          <w:highlight w:val="none"/>
        </w:rPr>
        <w:t>环保设施投资及环保措施落实情况</w:t>
      </w:r>
      <w:bookmarkEnd w:id="70"/>
    </w:p>
    <w:p>
      <w:pPr>
        <w:pStyle w:val="104"/>
        <w:pageBreakBefore w:val="0"/>
        <w:kinsoku/>
        <w:wordWrap/>
        <w:overflowPunct/>
        <w:topLinePunct w:val="0"/>
        <w:autoSpaceDE/>
        <w:autoSpaceDN/>
        <w:bidi w:val="0"/>
        <w:adjustRightInd/>
        <w:snapToGrid/>
        <w:spacing w:line="360" w:lineRule="auto"/>
        <w:ind w:firstLine="480"/>
        <w:textAlignment w:val="auto"/>
        <w:rPr>
          <w:rFonts w:ascii="Times New Roman" w:hAnsi="Times New Roman"/>
          <w:color w:val="auto"/>
        </w:rPr>
      </w:pPr>
      <w:r>
        <w:rPr>
          <w:rFonts w:hint="eastAsia" w:ascii="Times New Roman" w:hAnsi="Times New Roman"/>
          <w:color w:val="auto"/>
          <w:sz w:val="24"/>
          <w:highlight w:val="none"/>
        </w:rPr>
        <w:t xml:space="preserve"> 本次验收的总投资</w:t>
      </w:r>
      <w:r>
        <w:rPr>
          <w:rFonts w:hint="eastAsia"/>
          <w:color w:val="auto"/>
          <w:sz w:val="24"/>
          <w:highlight w:val="none"/>
          <w:lang w:val="en-US" w:eastAsia="zh-CN"/>
        </w:rPr>
        <w:t>2400</w:t>
      </w:r>
      <w:r>
        <w:rPr>
          <w:rFonts w:hint="eastAsia" w:ascii="Times New Roman" w:hAnsi="Times New Roman"/>
          <w:color w:val="auto"/>
          <w:sz w:val="24"/>
          <w:highlight w:val="none"/>
        </w:rPr>
        <w:t>万元，其中环保投资</w:t>
      </w:r>
      <w:r>
        <w:rPr>
          <w:rFonts w:hint="eastAsia"/>
          <w:color w:val="auto"/>
          <w:sz w:val="24"/>
          <w:highlight w:val="none"/>
          <w:lang w:val="en-US" w:eastAsia="zh-CN"/>
        </w:rPr>
        <w:t>172</w:t>
      </w:r>
      <w:r>
        <w:rPr>
          <w:rFonts w:hint="eastAsia" w:ascii="Times New Roman" w:hAnsi="Times New Roman"/>
          <w:color w:val="auto"/>
          <w:sz w:val="24"/>
          <w:highlight w:val="none"/>
        </w:rPr>
        <w:t>万元</w:t>
      </w:r>
      <w:r>
        <w:rPr>
          <w:rFonts w:ascii="Times New Roman" w:hAnsi="Times New Roman"/>
          <w:color w:val="auto"/>
          <w:highlight w:val="none"/>
        </w:rPr>
        <w:t>，占总投资的</w:t>
      </w:r>
      <w:r>
        <w:rPr>
          <w:rFonts w:hint="eastAsia"/>
          <w:color w:val="auto"/>
          <w:highlight w:val="none"/>
          <w:lang w:val="en-US" w:eastAsia="zh-CN"/>
        </w:rPr>
        <w:t>7.17</w:t>
      </w:r>
      <w:r>
        <w:rPr>
          <w:rFonts w:ascii="Times New Roman" w:hAnsi="Times New Roman"/>
          <w:color w:val="auto"/>
          <w:highlight w:val="none"/>
        </w:rPr>
        <w:t>%</w:t>
      </w:r>
      <w:r>
        <w:rPr>
          <w:rFonts w:hint="eastAsia" w:ascii="Times New Roman" w:hAnsi="Times New Roman"/>
          <w:color w:val="auto"/>
          <w:highlight w:val="none"/>
        </w:rPr>
        <w:t>，</w:t>
      </w:r>
      <w:r>
        <w:rPr>
          <w:rFonts w:hint="eastAsia" w:ascii="Times New Roman" w:hAnsi="Times New Roman"/>
          <w:color w:val="auto"/>
        </w:rPr>
        <w:t>环保措施投资及“三同时”落实情况详见表4</w:t>
      </w:r>
      <w:r>
        <w:rPr>
          <w:rFonts w:ascii="Times New Roman" w:hAnsi="Times New Roman"/>
          <w:color w:val="auto"/>
        </w:rPr>
        <w:t>.</w:t>
      </w:r>
      <w:r>
        <w:rPr>
          <w:rFonts w:hint="eastAsia" w:ascii="Times New Roman" w:hAnsi="Times New Roman"/>
          <w:color w:val="auto"/>
          <w:lang w:val="en-US" w:eastAsia="zh-CN"/>
        </w:rPr>
        <w:t>5</w:t>
      </w:r>
      <w:r>
        <w:rPr>
          <w:rFonts w:hint="eastAsia" w:ascii="Times New Roman" w:hAnsi="Times New Roman"/>
          <w:color w:val="auto"/>
        </w:rPr>
        <w:t>-1：</w:t>
      </w:r>
    </w:p>
    <w:p>
      <w:pPr>
        <w:pageBreakBefore w:val="0"/>
        <w:widowControl/>
        <w:kinsoku/>
        <w:wordWrap/>
        <w:overflowPunct/>
        <w:topLinePunct w:val="0"/>
        <w:autoSpaceDE/>
        <w:autoSpaceDN/>
        <w:bidi w:val="0"/>
        <w:adjustRightInd/>
        <w:snapToGrid/>
        <w:spacing w:line="360" w:lineRule="auto"/>
        <w:jc w:val="center"/>
        <w:textAlignment w:val="auto"/>
        <w:rPr>
          <w:rFonts w:ascii="Times New Roman" w:hAnsi="Times New Roman" w:cs="Times New Roman"/>
          <w:b/>
          <w:bCs/>
          <w:color w:val="auto"/>
          <w:szCs w:val="21"/>
        </w:rPr>
      </w:pPr>
      <w:r>
        <w:rPr>
          <w:rFonts w:ascii="Times New Roman" w:hAnsi="Times New Roman" w:cs="Times New Roman"/>
          <w:b/>
          <w:bCs/>
          <w:color w:val="auto"/>
          <w:kern w:val="0"/>
          <w:szCs w:val="21"/>
        </w:rPr>
        <w:t>表4.</w:t>
      </w:r>
      <w:r>
        <w:rPr>
          <w:rFonts w:hint="eastAsia" w:ascii="Times New Roman" w:hAnsi="Times New Roman" w:cs="Times New Roman"/>
          <w:b/>
          <w:bCs/>
          <w:color w:val="auto"/>
          <w:kern w:val="0"/>
          <w:szCs w:val="21"/>
          <w:lang w:val="en-US" w:eastAsia="zh-CN"/>
        </w:rPr>
        <w:t>5</w:t>
      </w:r>
      <w:r>
        <w:rPr>
          <w:rFonts w:ascii="Times New Roman" w:hAnsi="Times New Roman" w:cs="Times New Roman"/>
          <w:b/>
          <w:bCs/>
          <w:color w:val="auto"/>
          <w:kern w:val="0"/>
          <w:szCs w:val="21"/>
        </w:rPr>
        <w:t>-</w:t>
      </w:r>
      <w:r>
        <w:rPr>
          <w:rFonts w:hint="eastAsia" w:ascii="Times New Roman" w:hAnsi="Times New Roman" w:cs="Times New Roman"/>
          <w:b/>
          <w:bCs/>
          <w:color w:val="auto"/>
          <w:kern w:val="0"/>
          <w:szCs w:val="21"/>
        </w:rPr>
        <w:t>1</w:t>
      </w:r>
      <w:r>
        <w:rPr>
          <w:rFonts w:hint="eastAsia" w:ascii="Times New Roman" w:hAnsi="Times New Roman" w:cs="Times New Roman"/>
          <w:b/>
          <w:bCs/>
          <w:color w:val="auto"/>
          <w:kern w:val="0"/>
          <w:szCs w:val="21"/>
          <w:lang w:val="en-US" w:eastAsia="zh-CN"/>
        </w:rPr>
        <w:t xml:space="preserve">  </w:t>
      </w:r>
      <w:r>
        <w:rPr>
          <w:rFonts w:hint="eastAsia" w:ascii="Times New Roman" w:hAnsi="Times New Roman" w:cs="Times New Roman"/>
          <w:b/>
          <w:bCs/>
          <w:color w:val="auto"/>
          <w:szCs w:val="21"/>
        </w:rPr>
        <w:t>环境保护措施投资及“三同时”落实情况</w:t>
      </w:r>
      <w:r>
        <w:rPr>
          <w:rFonts w:ascii="Times New Roman" w:hAnsi="Times New Roman" w:cs="Times New Roman"/>
          <w:b/>
          <w:bCs/>
          <w:color w:val="auto"/>
          <w:szCs w:val="21"/>
        </w:rPr>
        <w:t>表</w:t>
      </w:r>
    </w:p>
    <w:tbl>
      <w:tblPr>
        <w:tblStyle w:val="29"/>
        <w:tblW w:w="4995"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108" w:type="dxa"/>
          <w:bottom w:w="0" w:type="dxa"/>
          <w:right w:w="108" w:type="dxa"/>
        </w:tblCellMar>
      </w:tblPr>
      <w:tblGrid>
        <w:gridCol w:w="526"/>
        <w:gridCol w:w="6"/>
        <w:gridCol w:w="534"/>
        <w:gridCol w:w="2471"/>
        <w:gridCol w:w="1079"/>
        <w:gridCol w:w="2272"/>
        <w:gridCol w:w="1171"/>
        <w:gridCol w:w="1332"/>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510" w:hRule="atLeast"/>
          <w:jc w:val="center"/>
        </w:trPr>
        <w:tc>
          <w:tcPr>
            <w:tcW w:w="567" w:type="pct"/>
            <w:gridSpan w:val="3"/>
            <w:vAlign w:val="center"/>
          </w:tcPr>
          <w:p>
            <w:pPr>
              <w:pStyle w:val="106"/>
              <w:spacing w:line="280" w:lineRule="exact"/>
              <w:jc w:val="center"/>
              <w:rPr>
                <w:rFonts w:ascii="Times New Roman" w:hAnsi="Times New Roman"/>
                <w:b/>
                <w:color w:val="auto"/>
              </w:rPr>
            </w:pPr>
            <w:r>
              <w:rPr>
                <w:rFonts w:hint="eastAsia" w:ascii="Times New Roman" w:hAnsi="Times New Roman"/>
                <w:b/>
                <w:color w:val="auto"/>
              </w:rPr>
              <w:t>类别</w:t>
            </w:r>
          </w:p>
        </w:tc>
        <w:tc>
          <w:tcPr>
            <w:tcW w:w="1315" w:type="pct"/>
            <w:shd w:val="clear" w:color="auto" w:fill="auto"/>
            <w:vAlign w:val="center"/>
          </w:tcPr>
          <w:p>
            <w:pPr>
              <w:pStyle w:val="106"/>
              <w:spacing w:line="280" w:lineRule="exact"/>
              <w:jc w:val="center"/>
              <w:rPr>
                <w:rFonts w:ascii="Times New Roman" w:hAnsi="Times New Roman"/>
                <w:b/>
                <w:color w:val="auto"/>
              </w:rPr>
            </w:pPr>
            <w:r>
              <w:rPr>
                <w:rFonts w:hint="eastAsia" w:ascii="Times New Roman" w:hAnsi="Times New Roman"/>
                <w:b/>
                <w:color w:val="auto"/>
              </w:rPr>
              <w:t>环评建设情况</w:t>
            </w:r>
          </w:p>
        </w:tc>
        <w:tc>
          <w:tcPr>
            <w:tcW w:w="574" w:type="pct"/>
            <w:shd w:val="clear" w:color="auto" w:fill="auto"/>
            <w:vAlign w:val="center"/>
          </w:tcPr>
          <w:p>
            <w:pPr>
              <w:pStyle w:val="106"/>
              <w:spacing w:line="280" w:lineRule="exact"/>
              <w:ind w:left="-107" w:leftChars="-51" w:right="-107" w:rightChars="-51"/>
              <w:jc w:val="center"/>
              <w:rPr>
                <w:rFonts w:ascii="Times New Roman" w:hAnsi="Times New Roman"/>
                <w:b/>
                <w:color w:val="auto"/>
              </w:rPr>
            </w:pPr>
            <w:r>
              <w:rPr>
                <w:rFonts w:hint="eastAsia" w:ascii="Times New Roman" w:hAnsi="Times New Roman"/>
                <w:b/>
                <w:color w:val="auto"/>
              </w:rPr>
              <w:t>计划投资（万元）</w:t>
            </w:r>
          </w:p>
        </w:tc>
        <w:tc>
          <w:tcPr>
            <w:tcW w:w="1209" w:type="pct"/>
            <w:shd w:val="clear" w:color="auto" w:fill="auto"/>
            <w:vAlign w:val="center"/>
          </w:tcPr>
          <w:p>
            <w:pPr>
              <w:pStyle w:val="106"/>
              <w:spacing w:line="280" w:lineRule="exact"/>
              <w:jc w:val="center"/>
              <w:rPr>
                <w:rFonts w:ascii="Times New Roman" w:hAnsi="Times New Roman"/>
                <w:b/>
                <w:color w:val="auto"/>
              </w:rPr>
            </w:pPr>
            <w:r>
              <w:rPr>
                <w:rFonts w:hint="eastAsia" w:ascii="Times New Roman" w:hAnsi="Times New Roman"/>
                <w:b/>
                <w:color w:val="auto"/>
              </w:rPr>
              <w:t>实际建设情况</w:t>
            </w:r>
          </w:p>
        </w:tc>
        <w:tc>
          <w:tcPr>
            <w:tcW w:w="623" w:type="pct"/>
            <w:shd w:val="clear" w:color="auto" w:fill="auto"/>
            <w:vAlign w:val="center"/>
          </w:tcPr>
          <w:p>
            <w:pPr>
              <w:pStyle w:val="106"/>
              <w:spacing w:line="280" w:lineRule="exact"/>
              <w:ind w:left="-107" w:leftChars="-51" w:right="-107" w:rightChars="-51"/>
              <w:jc w:val="center"/>
              <w:rPr>
                <w:rFonts w:ascii="Times New Roman" w:hAnsi="Times New Roman"/>
                <w:b/>
                <w:color w:val="auto"/>
              </w:rPr>
            </w:pPr>
            <w:r>
              <w:rPr>
                <w:rFonts w:hint="eastAsia" w:ascii="Times New Roman" w:hAnsi="Times New Roman"/>
                <w:b/>
                <w:color w:val="auto"/>
              </w:rPr>
              <w:t>实际投资（万元）</w:t>
            </w:r>
          </w:p>
        </w:tc>
        <w:tc>
          <w:tcPr>
            <w:tcW w:w="709" w:type="pct"/>
            <w:vAlign w:val="center"/>
          </w:tcPr>
          <w:p>
            <w:pPr>
              <w:pStyle w:val="106"/>
              <w:spacing w:line="280" w:lineRule="exact"/>
              <w:jc w:val="center"/>
              <w:rPr>
                <w:rFonts w:ascii="Times New Roman" w:hAnsi="Times New Roman"/>
                <w:b/>
                <w:color w:val="auto"/>
              </w:rPr>
            </w:pPr>
            <w:r>
              <w:rPr>
                <w:rFonts w:hint="eastAsia" w:ascii="Times New Roman" w:hAnsi="Times New Roman"/>
                <w:b/>
                <w:color w:val="auto"/>
              </w:rPr>
              <w:t>备注</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517" w:hRule="atLeast"/>
          <w:jc w:val="center"/>
        </w:trPr>
        <w:tc>
          <w:tcPr>
            <w:tcW w:w="280" w:type="pct"/>
            <w:vMerge w:val="restart"/>
            <w:vAlign w:val="center"/>
          </w:tcPr>
          <w:p>
            <w:pPr>
              <w:adjustRightInd w:val="0"/>
              <w:spacing w:line="280" w:lineRule="exact"/>
              <w:jc w:val="center"/>
              <w:textAlignment w:val="baseline"/>
              <w:rPr>
                <w:rFonts w:hint="eastAsia" w:ascii="Times New Roman" w:hAnsi="Times New Roman" w:cs="Times New Roman" w:eastAsiaTheme="minorEastAsia"/>
                <w:color w:val="auto"/>
                <w:szCs w:val="21"/>
                <w:lang w:eastAsia="zh-CN"/>
              </w:rPr>
            </w:pPr>
            <w:r>
              <w:rPr>
                <w:rFonts w:hint="eastAsia" w:ascii="Times New Roman" w:hAnsi="Times New Roman" w:cs="Times New Roman"/>
                <w:color w:val="auto"/>
                <w:szCs w:val="21"/>
                <w:lang w:eastAsia="zh-CN"/>
              </w:rPr>
              <w:t>废气治理</w:t>
            </w:r>
          </w:p>
        </w:tc>
        <w:tc>
          <w:tcPr>
            <w:tcW w:w="287" w:type="pct"/>
            <w:gridSpan w:val="2"/>
            <w:vAlign w:val="center"/>
          </w:tcPr>
          <w:p>
            <w:pPr>
              <w:adjustRightInd w:val="0"/>
              <w:spacing w:line="280" w:lineRule="exact"/>
              <w:jc w:val="center"/>
              <w:textAlignment w:val="baseline"/>
              <w:rPr>
                <w:rFonts w:hint="eastAsia" w:ascii="Times New Roman" w:hAnsi="Times New Roman" w:cs="Times New Roman"/>
                <w:color w:val="auto"/>
                <w:szCs w:val="21"/>
                <w:lang w:eastAsia="zh-CN"/>
              </w:rPr>
            </w:pPr>
            <w:r>
              <w:rPr>
                <w:rFonts w:hint="eastAsia" w:ascii="Times New Roman" w:hAnsi="Times New Roman" w:cs="Times New Roman"/>
                <w:color w:val="auto"/>
                <w:szCs w:val="21"/>
                <w:lang w:eastAsia="zh-CN"/>
              </w:rPr>
              <w:t>填埋作业扬尘</w:t>
            </w:r>
          </w:p>
        </w:tc>
        <w:tc>
          <w:tcPr>
            <w:tcW w:w="1315" w:type="pct"/>
            <w:shd w:val="clear" w:color="auto" w:fill="auto"/>
            <w:vAlign w:val="center"/>
          </w:tcPr>
          <w:p>
            <w:pPr>
              <w:widowControl/>
              <w:spacing w:line="360" w:lineRule="exact"/>
              <w:jc w:val="center"/>
              <w:rPr>
                <w:rFonts w:hint="eastAsia" w:ascii="Times New Roman" w:hAnsi="Times New Roman" w:eastAsia="宋体"/>
                <w:color w:val="auto"/>
                <w:kern w:val="0"/>
                <w:szCs w:val="21"/>
                <w:lang w:val="en-US" w:eastAsia="zh-CN"/>
              </w:rPr>
            </w:pPr>
            <w:r>
              <w:rPr>
                <w:rFonts w:hint="eastAsia" w:ascii="Times New Roman" w:hAnsi="Times New Roman" w:eastAsia="宋体" w:cs="宋体"/>
                <w:color w:val="auto"/>
                <w:sz w:val="21"/>
                <w:szCs w:val="21"/>
                <w:lang w:eastAsia="zh-CN"/>
              </w:rPr>
              <w:t>填埋作业采取单元作业，填埋场设置自动喷淋系统，填埋作业时洒水抑尘；填埋作业面覆盖防尘网，填埋至设计高度时及时覆土；</w:t>
            </w:r>
            <w:r>
              <w:rPr>
                <w:rFonts w:hint="eastAsia" w:ascii="Times New Roman" w:hAnsi="Times New Roman" w:eastAsia="宋体" w:cs="宋体"/>
                <w:color w:val="auto"/>
                <w:sz w:val="21"/>
                <w:szCs w:val="21"/>
              </w:rPr>
              <w:t>填埋固体废物要轻卸，严禁凌空抛洒；车辆上应覆盖蓬布，防止渣土跑、冒、撒、漏等污染环境；所有临时堆放的多尘物料均用帆布覆盖；场地要定期洒水；运输车量进入填埋场地应低速行驶</w:t>
            </w:r>
            <w:r>
              <w:rPr>
                <w:rFonts w:hint="eastAsia" w:ascii="Times New Roman" w:hAnsi="Times New Roman" w:eastAsia="宋体" w:cs="宋体"/>
                <w:color w:val="auto"/>
                <w:sz w:val="21"/>
                <w:szCs w:val="21"/>
                <w:lang w:val="en-US" w:eastAsia="zh-CN"/>
              </w:rPr>
              <w:t>。</w:t>
            </w:r>
          </w:p>
        </w:tc>
        <w:tc>
          <w:tcPr>
            <w:tcW w:w="574" w:type="pct"/>
            <w:shd w:val="clear" w:color="auto" w:fill="auto"/>
            <w:vAlign w:val="center"/>
          </w:tcPr>
          <w:p>
            <w:pPr>
              <w:pStyle w:val="106"/>
              <w:spacing w:line="280" w:lineRule="exact"/>
              <w:jc w:val="center"/>
              <w:rPr>
                <w:rFonts w:ascii="Times New Roman" w:hAnsi="Times New Roman"/>
                <w:color w:val="auto"/>
              </w:rPr>
            </w:pPr>
            <w:r>
              <w:rPr>
                <w:rFonts w:hint="eastAsia" w:ascii="Times New Roman" w:hAnsi="Times New Roman"/>
                <w:color w:val="auto"/>
                <w:lang w:val="en-US" w:eastAsia="zh-CN"/>
              </w:rPr>
              <w:t>3</w:t>
            </w:r>
            <w:r>
              <w:rPr>
                <w:rFonts w:hint="eastAsia" w:ascii="Times New Roman" w:hAnsi="Times New Roman"/>
                <w:color w:val="auto"/>
              </w:rPr>
              <w:t>0</w:t>
            </w:r>
          </w:p>
        </w:tc>
        <w:tc>
          <w:tcPr>
            <w:tcW w:w="1209" w:type="pct"/>
            <w:shd w:val="clear" w:color="auto" w:fill="auto"/>
            <w:vAlign w:val="center"/>
          </w:tcPr>
          <w:p>
            <w:pPr>
              <w:pStyle w:val="106"/>
              <w:spacing w:line="280" w:lineRule="exact"/>
              <w:jc w:val="center"/>
              <w:rPr>
                <w:rFonts w:ascii="Times New Roman" w:hAnsi="Times New Roman"/>
                <w:color w:val="auto"/>
              </w:rPr>
            </w:pPr>
            <w:r>
              <w:rPr>
                <w:rFonts w:hint="eastAsia" w:ascii="Times New Roman" w:hAnsi="Times New Roman" w:eastAsia="宋体" w:cs="宋体"/>
                <w:color w:val="auto"/>
                <w:sz w:val="21"/>
                <w:szCs w:val="21"/>
                <w:lang w:eastAsia="zh-CN"/>
              </w:rPr>
              <w:t>填埋作业采取单元作业，填埋作业时洒水抑尘；填埋作业面覆盖防尘网，填埋至设计高度时及时覆土；</w:t>
            </w:r>
            <w:r>
              <w:rPr>
                <w:rFonts w:hint="eastAsia" w:ascii="Times New Roman" w:hAnsi="Times New Roman" w:eastAsia="宋体" w:cs="宋体"/>
                <w:color w:val="auto"/>
                <w:sz w:val="21"/>
                <w:szCs w:val="21"/>
              </w:rPr>
              <w:t>填埋固体废物要轻卸，严禁凌空抛洒；车辆上覆盖蓬布，防止渣土跑、冒、撒、漏等污染环境；所有临时堆放的多尘物料均用帆布覆盖；场地要定期洒水；运输车量进入填埋场地应低速行驶</w:t>
            </w:r>
            <w:r>
              <w:rPr>
                <w:rFonts w:hint="eastAsia" w:ascii="Times New Roman" w:hAnsi="Times New Roman" w:eastAsia="宋体" w:cs="宋体"/>
                <w:color w:val="auto"/>
                <w:sz w:val="21"/>
                <w:szCs w:val="21"/>
                <w:lang w:val="en-US" w:eastAsia="zh-CN"/>
              </w:rPr>
              <w:t>。</w:t>
            </w:r>
          </w:p>
        </w:tc>
        <w:tc>
          <w:tcPr>
            <w:tcW w:w="623" w:type="pct"/>
            <w:shd w:val="clear" w:color="auto" w:fill="auto"/>
            <w:vAlign w:val="center"/>
          </w:tcPr>
          <w:p>
            <w:pPr>
              <w:pStyle w:val="106"/>
              <w:spacing w:line="280" w:lineRule="exact"/>
              <w:jc w:val="center"/>
              <w:rPr>
                <w:rFonts w:hint="default" w:ascii="Times New Roman" w:hAnsi="Times New Roman" w:eastAsia="宋体"/>
                <w:color w:val="auto"/>
                <w:lang w:val="en-US" w:eastAsia="zh-CN"/>
              </w:rPr>
            </w:pPr>
            <w:r>
              <w:rPr>
                <w:rFonts w:hint="eastAsia"/>
                <w:color w:val="auto"/>
                <w:lang w:val="en-US" w:eastAsia="zh-CN"/>
              </w:rPr>
              <w:t>20</w:t>
            </w:r>
          </w:p>
        </w:tc>
        <w:tc>
          <w:tcPr>
            <w:tcW w:w="709" w:type="pct"/>
            <w:vMerge w:val="restart"/>
            <w:shd w:val="clear" w:color="auto" w:fill="auto"/>
            <w:vAlign w:val="center"/>
          </w:tcPr>
          <w:p>
            <w:pPr>
              <w:pStyle w:val="106"/>
              <w:spacing w:line="280" w:lineRule="exact"/>
              <w:jc w:val="center"/>
              <w:rPr>
                <w:rFonts w:ascii="Times New Roman" w:hAnsi="Times New Roman"/>
                <w:color w:val="auto"/>
              </w:rPr>
            </w:pPr>
            <w:r>
              <w:rPr>
                <w:rFonts w:hint="eastAsia" w:ascii="Times New Roman" w:hAnsi="Times New Roman"/>
                <w:color w:val="auto"/>
              </w:rPr>
              <w:t>与主体工程同时设计、同时施工、同时投产使用</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517" w:hRule="atLeast"/>
          <w:jc w:val="center"/>
        </w:trPr>
        <w:tc>
          <w:tcPr>
            <w:tcW w:w="280" w:type="pct"/>
            <w:vMerge w:val="continue"/>
            <w:vAlign w:val="center"/>
          </w:tcPr>
          <w:p>
            <w:pPr>
              <w:adjustRightInd w:val="0"/>
              <w:spacing w:line="280" w:lineRule="exact"/>
              <w:jc w:val="center"/>
              <w:textAlignment w:val="baseline"/>
              <w:rPr>
                <w:rFonts w:ascii="Times New Roman" w:hAnsi="Times New Roman"/>
                <w:color w:val="auto"/>
              </w:rPr>
            </w:pPr>
          </w:p>
        </w:tc>
        <w:tc>
          <w:tcPr>
            <w:tcW w:w="287" w:type="pct"/>
            <w:gridSpan w:val="2"/>
            <w:vAlign w:val="center"/>
          </w:tcPr>
          <w:p>
            <w:pPr>
              <w:adjustRightInd w:val="0"/>
              <w:spacing w:line="280" w:lineRule="exact"/>
              <w:jc w:val="center"/>
              <w:textAlignment w:val="baseline"/>
              <w:rPr>
                <w:rFonts w:hint="eastAsia" w:ascii="Times New Roman" w:hAnsi="Times New Roman" w:cs="Times New Roman"/>
                <w:color w:val="auto"/>
                <w:szCs w:val="21"/>
                <w:lang w:eastAsia="zh-CN"/>
              </w:rPr>
            </w:pPr>
            <w:r>
              <w:rPr>
                <w:rFonts w:hint="eastAsia" w:ascii="Times New Roman" w:hAnsi="Times New Roman" w:cs="Times New Roman"/>
                <w:color w:val="auto"/>
                <w:szCs w:val="21"/>
                <w:lang w:eastAsia="zh-CN"/>
              </w:rPr>
              <w:t>道路扬尘</w:t>
            </w:r>
          </w:p>
        </w:tc>
        <w:tc>
          <w:tcPr>
            <w:tcW w:w="1315" w:type="pct"/>
            <w:shd w:val="clear" w:color="auto" w:fill="auto"/>
            <w:vAlign w:val="center"/>
          </w:tcPr>
          <w:p>
            <w:pPr>
              <w:adjustRightInd w:val="0"/>
              <w:spacing w:line="280" w:lineRule="exact"/>
              <w:jc w:val="center"/>
              <w:textAlignment w:val="baseline"/>
              <w:rPr>
                <w:rFonts w:hint="eastAsia" w:ascii="Times New Roman" w:hAnsi="Times New Roman" w:cs="Times New Roman"/>
                <w:color w:val="auto"/>
                <w:szCs w:val="21"/>
                <w:lang w:eastAsia="zh-CN"/>
              </w:rPr>
            </w:pPr>
            <w:r>
              <w:rPr>
                <w:rFonts w:hint="eastAsia" w:ascii="Times New Roman" w:hAnsi="Times New Roman" w:eastAsia="宋体" w:cs="宋体"/>
                <w:color w:val="auto"/>
                <w:szCs w:val="21"/>
              </w:rPr>
              <w:t>硬化路面、</w:t>
            </w:r>
            <w:r>
              <w:rPr>
                <w:rFonts w:hint="eastAsia" w:ascii="Times New Roman" w:hAnsi="Times New Roman" w:eastAsia="宋体" w:cs="宋体"/>
                <w:color w:val="auto"/>
                <w:szCs w:val="21"/>
                <w:lang w:eastAsia="zh-CN"/>
              </w:rPr>
              <w:t>道路清扫、</w:t>
            </w:r>
            <w:r>
              <w:rPr>
                <w:rFonts w:hint="eastAsia" w:ascii="Times New Roman" w:hAnsi="Times New Roman" w:eastAsia="宋体" w:cs="宋体"/>
                <w:color w:val="auto"/>
                <w:szCs w:val="21"/>
              </w:rPr>
              <w:t>控制车速、洒水降尘</w:t>
            </w:r>
          </w:p>
        </w:tc>
        <w:tc>
          <w:tcPr>
            <w:tcW w:w="574" w:type="pct"/>
            <w:shd w:val="clear" w:color="auto" w:fill="auto"/>
            <w:vAlign w:val="center"/>
          </w:tcPr>
          <w:p>
            <w:pPr>
              <w:adjustRightInd w:val="0"/>
              <w:spacing w:line="280" w:lineRule="exact"/>
              <w:jc w:val="center"/>
              <w:textAlignment w:val="baseline"/>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10</w:t>
            </w:r>
          </w:p>
        </w:tc>
        <w:tc>
          <w:tcPr>
            <w:tcW w:w="1209" w:type="pct"/>
            <w:shd w:val="clear" w:color="auto" w:fill="auto"/>
            <w:vAlign w:val="center"/>
          </w:tcPr>
          <w:p>
            <w:pPr>
              <w:adjustRightInd w:val="0"/>
              <w:spacing w:line="280" w:lineRule="exact"/>
              <w:jc w:val="center"/>
              <w:textAlignment w:val="baseline"/>
              <w:rPr>
                <w:rFonts w:hint="eastAsia" w:ascii="Times New Roman" w:hAnsi="Times New Roman" w:cs="Times New Roman"/>
                <w:color w:val="auto"/>
                <w:szCs w:val="21"/>
                <w:lang w:eastAsia="zh-CN"/>
              </w:rPr>
            </w:pPr>
            <w:r>
              <w:rPr>
                <w:rFonts w:hint="eastAsia" w:ascii="Times New Roman" w:hAnsi="Times New Roman" w:eastAsia="宋体" w:cs="宋体"/>
                <w:color w:val="auto"/>
                <w:szCs w:val="21"/>
              </w:rPr>
              <w:t>硬化路面、</w:t>
            </w:r>
            <w:r>
              <w:rPr>
                <w:rFonts w:hint="eastAsia" w:ascii="Times New Roman" w:hAnsi="Times New Roman" w:eastAsia="宋体" w:cs="宋体"/>
                <w:color w:val="auto"/>
                <w:szCs w:val="21"/>
                <w:lang w:eastAsia="zh-CN"/>
              </w:rPr>
              <w:t>道路清扫、</w:t>
            </w:r>
            <w:r>
              <w:rPr>
                <w:rFonts w:hint="eastAsia" w:ascii="Times New Roman" w:hAnsi="Times New Roman" w:eastAsia="宋体" w:cs="宋体"/>
                <w:color w:val="auto"/>
                <w:szCs w:val="21"/>
              </w:rPr>
              <w:t>控制车速、洒水降尘</w:t>
            </w:r>
          </w:p>
        </w:tc>
        <w:tc>
          <w:tcPr>
            <w:tcW w:w="623" w:type="pct"/>
            <w:shd w:val="clear" w:color="auto" w:fill="auto"/>
            <w:vAlign w:val="center"/>
          </w:tcPr>
          <w:p>
            <w:pPr>
              <w:adjustRightInd w:val="0"/>
              <w:spacing w:line="280" w:lineRule="exact"/>
              <w:jc w:val="center"/>
              <w:textAlignment w:val="baseline"/>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10</w:t>
            </w:r>
          </w:p>
        </w:tc>
        <w:tc>
          <w:tcPr>
            <w:tcW w:w="709" w:type="pct"/>
            <w:vMerge w:val="continue"/>
            <w:shd w:val="clear" w:color="auto" w:fill="auto"/>
            <w:vAlign w:val="center"/>
          </w:tcPr>
          <w:p>
            <w:pPr>
              <w:adjustRightInd w:val="0"/>
              <w:spacing w:line="280" w:lineRule="exact"/>
              <w:jc w:val="center"/>
              <w:textAlignment w:val="baseline"/>
              <w:rPr>
                <w:rFonts w:hint="eastAsia" w:ascii="Times New Roman" w:hAnsi="Times New Roman" w:cs="Times New Roman"/>
                <w:color w:val="auto"/>
                <w:szCs w:val="21"/>
                <w:lang w:eastAsia="zh-CN"/>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794" w:hRule="atLeast"/>
          <w:jc w:val="center"/>
        </w:trPr>
        <w:tc>
          <w:tcPr>
            <w:tcW w:w="567" w:type="pct"/>
            <w:gridSpan w:val="3"/>
            <w:vAlign w:val="center"/>
          </w:tcPr>
          <w:p>
            <w:pPr>
              <w:adjustRightInd w:val="0"/>
              <w:spacing w:line="280" w:lineRule="exact"/>
              <w:jc w:val="center"/>
              <w:textAlignment w:val="baseline"/>
              <w:rPr>
                <w:rFonts w:ascii="Times New Roman" w:hAnsi="Times New Roman" w:cs="Times New Roman"/>
                <w:color w:val="auto"/>
                <w:szCs w:val="21"/>
              </w:rPr>
            </w:pPr>
            <w:r>
              <w:rPr>
                <w:rFonts w:hint="eastAsia" w:ascii="Times New Roman" w:hAnsi="Times New Roman" w:cs="Times New Roman"/>
                <w:color w:val="auto"/>
                <w:szCs w:val="21"/>
              </w:rPr>
              <w:t>噪声</w:t>
            </w:r>
          </w:p>
          <w:p>
            <w:pPr>
              <w:adjustRightInd w:val="0"/>
              <w:spacing w:line="280" w:lineRule="exact"/>
              <w:jc w:val="center"/>
              <w:textAlignment w:val="baseline"/>
              <w:rPr>
                <w:rFonts w:ascii="Times New Roman" w:hAnsi="Times New Roman" w:cs="Times New Roman"/>
                <w:color w:val="auto"/>
                <w:szCs w:val="21"/>
              </w:rPr>
            </w:pPr>
            <w:r>
              <w:rPr>
                <w:rFonts w:ascii="Times New Roman" w:hAnsi="Times New Roman" w:cs="Times New Roman"/>
                <w:color w:val="auto"/>
                <w:szCs w:val="21"/>
              </w:rPr>
              <w:t>治理</w:t>
            </w:r>
          </w:p>
        </w:tc>
        <w:tc>
          <w:tcPr>
            <w:tcW w:w="1315" w:type="pct"/>
            <w:shd w:val="clear" w:color="auto" w:fill="auto"/>
            <w:vAlign w:val="center"/>
          </w:tcPr>
          <w:p>
            <w:pPr>
              <w:widowControl/>
              <w:spacing w:line="360" w:lineRule="exact"/>
              <w:jc w:val="center"/>
              <w:rPr>
                <w:rFonts w:hint="eastAsia" w:ascii="Times New Roman" w:hAnsi="Times New Roman"/>
                <w:color w:val="auto"/>
                <w:szCs w:val="21"/>
              </w:rPr>
            </w:pPr>
            <w:r>
              <w:rPr>
                <w:rFonts w:hint="eastAsia" w:ascii="Times New Roman" w:hAnsi="Times New Roman" w:eastAsia="宋体" w:cs="宋体"/>
                <w:color w:val="auto"/>
                <w:szCs w:val="21"/>
              </w:rPr>
              <w:t>地形隔声、距离衰减、低噪声设备、加强管理、带状绿化、加强作业工人劳动防护</w:t>
            </w:r>
          </w:p>
        </w:tc>
        <w:tc>
          <w:tcPr>
            <w:tcW w:w="574" w:type="pct"/>
            <w:shd w:val="clear" w:color="auto" w:fill="auto"/>
            <w:vAlign w:val="center"/>
          </w:tcPr>
          <w:p>
            <w:pPr>
              <w:pStyle w:val="106"/>
              <w:spacing w:line="280" w:lineRule="exact"/>
              <w:jc w:val="center"/>
              <w:rPr>
                <w:rFonts w:hint="default" w:ascii="Times New Roman" w:hAnsi="Times New Roman" w:eastAsia="宋体"/>
                <w:color w:val="auto"/>
                <w:lang w:val="en-US" w:eastAsia="zh-CN"/>
              </w:rPr>
            </w:pPr>
            <w:r>
              <w:rPr>
                <w:rFonts w:hint="eastAsia" w:ascii="Times New Roman" w:hAnsi="Times New Roman"/>
                <w:color w:val="auto"/>
                <w:lang w:val="en-US" w:eastAsia="zh-CN"/>
              </w:rPr>
              <w:t>12</w:t>
            </w:r>
          </w:p>
        </w:tc>
        <w:tc>
          <w:tcPr>
            <w:tcW w:w="1209" w:type="pct"/>
            <w:shd w:val="clear" w:color="auto" w:fill="auto"/>
            <w:vAlign w:val="center"/>
          </w:tcPr>
          <w:p>
            <w:pPr>
              <w:pStyle w:val="106"/>
              <w:spacing w:line="280" w:lineRule="exact"/>
              <w:jc w:val="center"/>
              <w:rPr>
                <w:rFonts w:ascii="Times New Roman" w:hAnsi="Times New Roman"/>
                <w:color w:val="auto"/>
              </w:rPr>
            </w:pPr>
            <w:r>
              <w:rPr>
                <w:rFonts w:hint="eastAsia" w:ascii="Times New Roman" w:hAnsi="Times New Roman" w:eastAsia="宋体" w:cs="宋体"/>
                <w:color w:val="auto"/>
                <w:szCs w:val="21"/>
              </w:rPr>
              <w:t>地形隔声、距离衰减、低噪声设备、加强管理、加强作业工人劳动防护</w:t>
            </w:r>
          </w:p>
        </w:tc>
        <w:tc>
          <w:tcPr>
            <w:tcW w:w="623" w:type="pct"/>
            <w:shd w:val="clear" w:color="auto" w:fill="auto"/>
            <w:vAlign w:val="center"/>
          </w:tcPr>
          <w:p>
            <w:pPr>
              <w:pStyle w:val="106"/>
              <w:spacing w:line="280" w:lineRule="exact"/>
              <w:jc w:val="center"/>
              <w:rPr>
                <w:rFonts w:hint="default" w:ascii="Times New Roman" w:hAnsi="Times New Roman" w:eastAsia="宋体"/>
                <w:color w:val="auto"/>
                <w:lang w:val="en-US" w:eastAsia="zh-CN"/>
              </w:rPr>
            </w:pPr>
            <w:r>
              <w:rPr>
                <w:rFonts w:hint="eastAsia" w:ascii="Times New Roman" w:hAnsi="Times New Roman"/>
                <w:color w:val="auto"/>
                <w:lang w:val="en-US" w:eastAsia="zh-CN"/>
              </w:rPr>
              <w:t>1</w:t>
            </w:r>
            <w:r>
              <w:rPr>
                <w:rFonts w:hint="eastAsia"/>
                <w:color w:val="auto"/>
                <w:lang w:val="en-US" w:eastAsia="zh-CN"/>
              </w:rPr>
              <w:t>2</w:t>
            </w:r>
          </w:p>
        </w:tc>
        <w:tc>
          <w:tcPr>
            <w:tcW w:w="709" w:type="pct"/>
            <w:vMerge w:val="continue"/>
            <w:shd w:val="clear" w:color="auto" w:fill="auto"/>
            <w:vAlign w:val="center"/>
          </w:tcPr>
          <w:p>
            <w:pPr>
              <w:pStyle w:val="106"/>
              <w:spacing w:line="280" w:lineRule="exact"/>
              <w:jc w:val="center"/>
              <w:rPr>
                <w:rFonts w:hint="eastAsia" w:ascii="Times New Roman" w:hAnsi="Times New Roman"/>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185" w:hRule="atLeast"/>
          <w:jc w:val="center"/>
        </w:trPr>
        <w:tc>
          <w:tcPr>
            <w:tcW w:w="283" w:type="pct"/>
            <w:gridSpan w:val="2"/>
            <w:vMerge w:val="restart"/>
            <w:vAlign w:val="center"/>
          </w:tcPr>
          <w:p>
            <w:pPr>
              <w:adjustRightInd w:val="0"/>
              <w:spacing w:line="280" w:lineRule="exact"/>
              <w:jc w:val="center"/>
              <w:textAlignment w:val="baseline"/>
              <w:rPr>
                <w:rFonts w:hint="eastAsia" w:ascii="Times New Roman" w:hAnsi="Times New Roman" w:cs="Times New Roman" w:eastAsiaTheme="minorEastAsia"/>
                <w:color w:val="auto"/>
                <w:szCs w:val="21"/>
                <w:lang w:eastAsia="zh-CN"/>
              </w:rPr>
            </w:pPr>
            <w:r>
              <w:rPr>
                <w:rFonts w:hint="eastAsia" w:ascii="Times New Roman" w:hAnsi="Times New Roman" w:cs="Times New Roman"/>
                <w:color w:val="auto"/>
                <w:szCs w:val="21"/>
                <w:lang w:eastAsia="zh-CN"/>
              </w:rPr>
              <w:t>废水治理</w:t>
            </w:r>
          </w:p>
        </w:tc>
        <w:tc>
          <w:tcPr>
            <w:tcW w:w="284" w:type="pct"/>
            <w:vMerge w:val="restart"/>
            <w:vAlign w:val="center"/>
          </w:tcPr>
          <w:p>
            <w:pPr>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rPr>
              <w:t>渗滤液收</w:t>
            </w:r>
          </w:p>
          <w:p>
            <w:pPr>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Cs w:val="21"/>
              </w:rPr>
              <w:t>集系统</w:t>
            </w:r>
          </w:p>
        </w:tc>
        <w:tc>
          <w:tcPr>
            <w:tcW w:w="1315" w:type="pct"/>
            <w:shd w:val="clear" w:color="auto" w:fill="auto"/>
            <w:vAlign w:val="center"/>
          </w:tcPr>
          <w:p>
            <w:pPr>
              <w:jc w:val="center"/>
              <w:rPr>
                <w:rFonts w:hint="eastAsia" w:ascii="Times New Roman" w:hAnsi="Times New Roman" w:eastAsia="宋体" w:cs="宋体"/>
                <w:color w:val="auto"/>
                <w:szCs w:val="21"/>
                <w:lang w:eastAsia="zh-CN"/>
              </w:rPr>
            </w:pPr>
            <w:r>
              <w:rPr>
                <w:rFonts w:hint="eastAsia" w:ascii="Times New Roman" w:hAnsi="Times New Roman" w:eastAsia="宋体" w:cs="宋体"/>
                <w:color w:val="auto"/>
                <w:szCs w:val="21"/>
              </w:rPr>
              <w:t>修建</w:t>
            </w:r>
            <w:r>
              <w:rPr>
                <w:rFonts w:hint="eastAsia" w:ascii="Times New Roman" w:hAnsi="Times New Roman" w:eastAsia="宋体" w:cs="宋体"/>
                <w:color w:val="auto"/>
                <w:szCs w:val="21"/>
                <w:lang w:eastAsia="zh-CN"/>
              </w:rPr>
              <w:t>渗滤液收集井</w:t>
            </w:r>
            <w:r>
              <w:rPr>
                <w:rFonts w:hint="eastAsia" w:ascii="Times New Roman" w:hAnsi="Times New Roman" w:eastAsia="宋体" w:cs="宋体"/>
                <w:color w:val="auto"/>
                <w:szCs w:val="21"/>
              </w:rPr>
              <w:t>，</w:t>
            </w:r>
            <w:r>
              <w:rPr>
                <w:rFonts w:hint="eastAsia" w:ascii="Times New Roman" w:hAnsi="Times New Roman" w:eastAsia="宋体" w:cs="宋体"/>
                <w:color w:val="auto"/>
                <w:szCs w:val="21"/>
                <w:lang w:eastAsia="zh-CN"/>
              </w:rPr>
              <w:t>并做防渗处理</w:t>
            </w:r>
          </w:p>
        </w:tc>
        <w:tc>
          <w:tcPr>
            <w:tcW w:w="574" w:type="pct"/>
            <w:shd w:val="clear" w:color="auto" w:fill="auto"/>
            <w:vAlign w:val="center"/>
          </w:tcPr>
          <w:p>
            <w:pPr>
              <w:jc w:val="center"/>
              <w:rPr>
                <w:rFonts w:hint="default" w:ascii="Times New Roman" w:hAnsi="Times New Roman"/>
                <w:color w:val="auto"/>
                <w:lang w:val="en-US" w:eastAsia="zh-CN"/>
              </w:rPr>
            </w:pPr>
            <w:r>
              <w:rPr>
                <w:rFonts w:hint="eastAsia" w:ascii="Times New Roman" w:hAnsi="Times New Roman" w:eastAsia="宋体" w:cs="宋体"/>
                <w:color w:val="auto"/>
                <w:szCs w:val="21"/>
                <w:lang w:val="en-US" w:eastAsia="zh-CN"/>
              </w:rPr>
              <w:t>10</w:t>
            </w:r>
          </w:p>
        </w:tc>
        <w:tc>
          <w:tcPr>
            <w:tcW w:w="1209" w:type="pct"/>
            <w:shd w:val="clear" w:color="auto" w:fill="auto"/>
            <w:vAlign w:val="center"/>
          </w:tcPr>
          <w:p>
            <w:pPr>
              <w:pStyle w:val="106"/>
              <w:spacing w:line="280" w:lineRule="exact"/>
              <w:jc w:val="center"/>
              <w:rPr>
                <w:rFonts w:hint="eastAsia" w:ascii="Times New Roman" w:hAnsi="Times New Roman" w:eastAsia="宋体" w:cs="宋体"/>
                <w:color w:val="FF0000"/>
                <w:szCs w:val="21"/>
                <w:lang w:eastAsia="zh-CN"/>
              </w:rPr>
            </w:pPr>
            <w:r>
              <w:rPr>
                <w:rFonts w:hint="eastAsia" w:cs="宋体"/>
                <w:color w:val="auto"/>
                <w:szCs w:val="21"/>
                <w:lang w:eastAsia="zh-CN"/>
              </w:rPr>
              <w:t>修建渗滤液收集井一座</w:t>
            </w:r>
            <w:r>
              <w:rPr>
                <w:rFonts w:hint="eastAsia" w:ascii="Times New Roman" w:hAnsi="Times New Roman" w:eastAsia="宋体" w:cs="宋体"/>
                <w:color w:val="auto"/>
                <w:szCs w:val="21"/>
              </w:rPr>
              <w:t>，</w:t>
            </w:r>
            <w:r>
              <w:rPr>
                <w:rFonts w:hint="eastAsia" w:ascii="Times New Roman" w:hAnsi="Times New Roman" w:eastAsia="宋体" w:cs="宋体"/>
                <w:color w:val="auto"/>
                <w:szCs w:val="21"/>
                <w:lang w:eastAsia="zh-CN"/>
              </w:rPr>
              <w:t>并做防渗处理</w:t>
            </w:r>
          </w:p>
        </w:tc>
        <w:tc>
          <w:tcPr>
            <w:tcW w:w="1171" w:type="dxa"/>
            <w:shd w:val="clear" w:color="auto" w:fill="auto"/>
            <w:vAlign w:val="center"/>
          </w:tcPr>
          <w:p>
            <w:pPr>
              <w:jc w:val="center"/>
              <w:rPr>
                <w:rFonts w:hint="default" w:ascii="Times New Roman" w:hAnsi="Times New Roman"/>
                <w:color w:val="FF0000"/>
                <w:lang w:val="en-US" w:eastAsia="zh-CN"/>
              </w:rPr>
            </w:pPr>
            <w:r>
              <w:rPr>
                <w:rFonts w:hint="eastAsia" w:ascii="Times New Roman" w:hAnsi="Times New Roman" w:eastAsia="宋体" w:cs="宋体"/>
                <w:color w:val="auto"/>
                <w:szCs w:val="21"/>
                <w:lang w:val="en-US" w:eastAsia="zh-CN"/>
              </w:rPr>
              <w:t>10</w:t>
            </w:r>
          </w:p>
        </w:tc>
        <w:tc>
          <w:tcPr>
            <w:tcW w:w="709" w:type="pct"/>
            <w:vMerge w:val="continue"/>
            <w:shd w:val="clear" w:color="auto" w:fill="auto"/>
            <w:vAlign w:val="center"/>
          </w:tcPr>
          <w:p>
            <w:pPr>
              <w:pStyle w:val="106"/>
              <w:spacing w:line="280" w:lineRule="exact"/>
              <w:jc w:val="center"/>
              <w:rPr>
                <w:rFonts w:hint="eastAsia" w:ascii="Times New Roman" w:hAnsi="Times New Roman"/>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185" w:hRule="atLeast"/>
          <w:jc w:val="center"/>
        </w:trPr>
        <w:tc>
          <w:tcPr>
            <w:tcW w:w="283" w:type="pct"/>
            <w:gridSpan w:val="2"/>
            <w:vMerge w:val="continue"/>
            <w:vAlign w:val="center"/>
          </w:tcPr>
          <w:p>
            <w:pPr>
              <w:widowControl/>
              <w:spacing w:line="360" w:lineRule="exact"/>
              <w:jc w:val="center"/>
            </w:pPr>
          </w:p>
        </w:tc>
        <w:tc>
          <w:tcPr>
            <w:tcW w:w="284" w:type="pct"/>
            <w:vMerge w:val="continue"/>
            <w:vAlign w:val="center"/>
          </w:tcPr>
          <w:p>
            <w:pPr>
              <w:widowControl/>
              <w:spacing w:line="360" w:lineRule="exact"/>
              <w:jc w:val="center"/>
            </w:pPr>
          </w:p>
        </w:tc>
        <w:tc>
          <w:tcPr>
            <w:tcW w:w="1315" w:type="pct"/>
            <w:shd w:val="clear" w:color="auto" w:fill="auto"/>
            <w:vAlign w:val="center"/>
          </w:tcPr>
          <w:p>
            <w:pPr>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rPr>
              <w:t>渗滤液收集管网</w:t>
            </w:r>
          </w:p>
        </w:tc>
        <w:tc>
          <w:tcPr>
            <w:tcW w:w="574" w:type="pct"/>
            <w:shd w:val="clear" w:color="auto" w:fill="auto"/>
            <w:vAlign w:val="center"/>
          </w:tcPr>
          <w:p>
            <w:pPr>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lang w:val="en-US" w:eastAsia="zh-CN"/>
              </w:rPr>
              <w:t>50</w:t>
            </w:r>
          </w:p>
        </w:tc>
        <w:tc>
          <w:tcPr>
            <w:tcW w:w="1209" w:type="pct"/>
            <w:shd w:val="clear" w:color="auto" w:fill="auto"/>
            <w:vAlign w:val="center"/>
          </w:tcPr>
          <w:p>
            <w:pPr>
              <w:jc w:val="center"/>
              <w:rPr>
                <w:rFonts w:hint="eastAsia" w:ascii="Times New Roman" w:hAnsi="Times New Roman" w:eastAsia="宋体" w:cs="宋体"/>
                <w:color w:val="FF0000"/>
                <w:szCs w:val="21"/>
              </w:rPr>
            </w:pPr>
            <w:r>
              <w:rPr>
                <w:rFonts w:hint="eastAsia" w:ascii="Times New Roman" w:hAnsi="Times New Roman" w:eastAsia="宋体" w:cs="宋体"/>
                <w:color w:val="auto"/>
                <w:szCs w:val="21"/>
              </w:rPr>
              <w:t>渗滤液收集管网</w:t>
            </w:r>
          </w:p>
        </w:tc>
        <w:tc>
          <w:tcPr>
            <w:tcW w:w="1171" w:type="dxa"/>
            <w:shd w:val="clear" w:color="auto" w:fill="auto"/>
            <w:vAlign w:val="center"/>
          </w:tcPr>
          <w:p>
            <w:pPr>
              <w:jc w:val="center"/>
              <w:rPr>
                <w:rFonts w:hint="eastAsia" w:ascii="Times New Roman" w:hAnsi="Times New Roman" w:eastAsia="宋体" w:cs="宋体"/>
                <w:color w:val="FF0000"/>
                <w:szCs w:val="21"/>
              </w:rPr>
            </w:pPr>
            <w:r>
              <w:rPr>
                <w:rFonts w:hint="eastAsia" w:ascii="Times New Roman" w:hAnsi="Times New Roman" w:eastAsia="宋体" w:cs="宋体"/>
                <w:color w:val="auto"/>
                <w:szCs w:val="21"/>
                <w:lang w:val="en-US" w:eastAsia="zh-CN"/>
              </w:rPr>
              <w:t>50</w:t>
            </w:r>
          </w:p>
        </w:tc>
        <w:tc>
          <w:tcPr>
            <w:tcW w:w="709" w:type="pct"/>
            <w:vMerge w:val="continue"/>
            <w:shd w:val="clear" w:color="auto" w:fill="auto"/>
            <w:vAlign w:val="center"/>
          </w:tcPr>
          <w:p>
            <w:pPr>
              <w:widowControl/>
              <w:spacing w:line="360" w:lineRule="exact"/>
              <w:jc w:val="center"/>
              <w:rPr>
                <w:rFonts w:hint="eastAsia" w:ascii="Times New Roman" w:hAnsi="Times New Roman" w:eastAsia="宋体" w:cs="宋体"/>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185" w:hRule="atLeast"/>
          <w:jc w:val="center"/>
        </w:trPr>
        <w:tc>
          <w:tcPr>
            <w:tcW w:w="283" w:type="pct"/>
            <w:gridSpan w:val="2"/>
            <w:vMerge w:val="continue"/>
            <w:vAlign w:val="center"/>
          </w:tcPr>
          <w:p>
            <w:pPr>
              <w:widowControl/>
              <w:spacing w:line="360" w:lineRule="exact"/>
              <w:jc w:val="center"/>
              <w:rPr>
                <w:rFonts w:hint="eastAsia" w:ascii="Times New Roman" w:hAnsi="Times New Roman" w:eastAsia="宋体" w:cs="宋体"/>
                <w:color w:val="auto"/>
                <w:szCs w:val="21"/>
              </w:rPr>
            </w:pPr>
          </w:p>
        </w:tc>
        <w:tc>
          <w:tcPr>
            <w:tcW w:w="284" w:type="pct"/>
            <w:vMerge w:val="continue"/>
            <w:vAlign w:val="center"/>
          </w:tcPr>
          <w:p>
            <w:pPr>
              <w:widowControl/>
              <w:spacing w:line="360" w:lineRule="exact"/>
              <w:jc w:val="center"/>
              <w:rPr>
                <w:rFonts w:hint="eastAsia" w:ascii="Times New Roman" w:hAnsi="Times New Roman" w:eastAsia="宋体" w:cs="宋体"/>
                <w:color w:val="auto"/>
                <w:szCs w:val="21"/>
              </w:rPr>
            </w:pPr>
          </w:p>
        </w:tc>
        <w:tc>
          <w:tcPr>
            <w:tcW w:w="1315" w:type="pct"/>
            <w:shd w:val="clear" w:color="auto" w:fill="auto"/>
            <w:vAlign w:val="center"/>
          </w:tcPr>
          <w:p>
            <w:pPr>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rPr>
              <w:t>渗滤液处理</w:t>
            </w:r>
            <w:r>
              <w:rPr>
                <w:rFonts w:hint="eastAsia" w:ascii="Times New Roman" w:hAnsi="Times New Roman" w:eastAsia="宋体" w:cs="宋体"/>
                <w:color w:val="auto"/>
                <w:szCs w:val="21"/>
                <w:lang w:eastAsia="zh-CN"/>
              </w:rPr>
              <w:t>药剂</w:t>
            </w:r>
          </w:p>
        </w:tc>
        <w:tc>
          <w:tcPr>
            <w:tcW w:w="574" w:type="pct"/>
            <w:shd w:val="clear" w:color="auto" w:fill="auto"/>
            <w:vAlign w:val="center"/>
          </w:tcPr>
          <w:p>
            <w:pPr>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lang w:val="en-US" w:eastAsia="zh-CN"/>
              </w:rPr>
              <w:t>4</w:t>
            </w:r>
          </w:p>
        </w:tc>
        <w:tc>
          <w:tcPr>
            <w:tcW w:w="1209" w:type="pct"/>
            <w:shd w:val="clear" w:color="auto" w:fill="auto"/>
            <w:vAlign w:val="center"/>
          </w:tcPr>
          <w:p>
            <w:pPr>
              <w:jc w:val="center"/>
              <w:rPr>
                <w:rFonts w:hint="eastAsia" w:ascii="Times New Roman" w:hAnsi="Times New Roman" w:eastAsia="宋体" w:cs="宋体"/>
                <w:color w:val="FF0000"/>
                <w:szCs w:val="21"/>
                <w:lang w:eastAsia="zh-CN"/>
              </w:rPr>
            </w:pPr>
            <w:r>
              <w:rPr>
                <w:rFonts w:hint="eastAsia" w:ascii="Times New Roman" w:hAnsi="Times New Roman" w:eastAsia="宋体" w:cs="宋体"/>
                <w:color w:val="auto"/>
                <w:szCs w:val="21"/>
                <w:lang w:val="en-US" w:eastAsia="zh-CN"/>
              </w:rPr>
              <w:t>渗滤液经渗滤液收集井收集后泵送至灵璧县垃圾填埋场处理</w:t>
            </w:r>
          </w:p>
        </w:tc>
        <w:tc>
          <w:tcPr>
            <w:tcW w:w="1171" w:type="dxa"/>
            <w:shd w:val="clear" w:color="auto" w:fill="auto"/>
            <w:vAlign w:val="center"/>
          </w:tcPr>
          <w:p>
            <w:pPr>
              <w:jc w:val="center"/>
              <w:rPr>
                <w:rFonts w:hint="eastAsia" w:ascii="Times New Roman" w:hAnsi="Times New Roman" w:eastAsia="宋体" w:cs="宋体"/>
                <w:color w:val="FF0000"/>
                <w:szCs w:val="21"/>
                <w:lang w:val="en-US" w:eastAsia="zh-CN"/>
              </w:rPr>
            </w:pPr>
            <w:r>
              <w:rPr>
                <w:rFonts w:hint="eastAsia" w:ascii="Times New Roman" w:hAnsi="Times New Roman" w:eastAsia="宋体" w:cs="宋体"/>
                <w:color w:val="auto"/>
                <w:szCs w:val="21"/>
                <w:lang w:val="en-US" w:eastAsia="zh-CN"/>
              </w:rPr>
              <w:t>/</w:t>
            </w:r>
          </w:p>
        </w:tc>
        <w:tc>
          <w:tcPr>
            <w:tcW w:w="709" w:type="pct"/>
            <w:vMerge w:val="continue"/>
            <w:shd w:val="clear" w:color="auto" w:fill="auto"/>
            <w:vAlign w:val="center"/>
          </w:tcPr>
          <w:p>
            <w:pPr>
              <w:widowControl/>
              <w:spacing w:line="360" w:lineRule="exact"/>
              <w:jc w:val="center"/>
              <w:rPr>
                <w:rFonts w:hint="eastAsia" w:ascii="Times New Roman" w:hAnsi="Times New Roman" w:eastAsia="宋体" w:cs="宋体"/>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794" w:hRule="atLeast"/>
          <w:jc w:val="center"/>
        </w:trPr>
        <w:tc>
          <w:tcPr>
            <w:tcW w:w="283" w:type="pct"/>
            <w:gridSpan w:val="2"/>
            <w:vMerge w:val="continue"/>
            <w:vAlign w:val="center"/>
          </w:tcPr>
          <w:p>
            <w:pPr>
              <w:adjustRightInd w:val="0"/>
              <w:spacing w:line="280" w:lineRule="exact"/>
              <w:jc w:val="center"/>
              <w:textAlignment w:val="baseline"/>
              <w:rPr>
                <w:rFonts w:hint="eastAsia" w:ascii="Times New Roman" w:hAnsi="Times New Roman" w:cs="Times New Roman"/>
                <w:color w:val="auto"/>
                <w:szCs w:val="21"/>
                <w:lang w:eastAsia="zh-CN"/>
              </w:rPr>
            </w:pPr>
          </w:p>
        </w:tc>
        <w:tc>
          <w:tcPr>
            <w:tcW w:w="284" w:type="pct"/>
            <w:vAlign w:val="center"/>
          </w:tcPr>
          <w:p>
            <w:pPr>
              <w:adjustRightInd w:val="0"/>
              <w:spacing w:line="280" w:lineRule="exact"/>
              <w:jc w:val="center"/>
              <w:textAlignment w:val="baseline"/>
              <w:rPr>
                <w:rFonts w:hint="eastAsia" w:ascii="Times New Roman" w:hAnsi="Times New Roman" w:cs="Times New Roman"/>
                <w:color w:val="auto"/>
                <w:szCs w:val="21"/>
                <w:lang w:eastAsia="zh-CN"/>
              </w:rPr>
            </w:pPr>
            <w:r>
              <w:rPr>
                <w:rFonts w:hint="eastAsia" w:ascii="Times New Roman" w:hAnsi="Times New Roman" w:eastAsia="宋体" w:cs="宋体"/>
                <w:color w:val="auto"/>
                <w:szCs w:val="21"/>
              </w:rPr>
              <w:t>防洪排水</w:t>
            </w:r>
          </w:p>
        </w:tc>
        <w:tc>
          <w:tcPr>
            <w:tcW w:w="1315" w:type="pct"/>
            <w:shd w:val="clear" w:color="auto" w:fill="auto"/>
            <w:vAlign w:val="center"/>
          </w:tcPr>
          <w:p>
            <w:pPr>
              <w:widowControl/>
              <w:spacing w:line="360" w:lineRule="exact"/>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rPr>
              <w:t>填埋场周边设截洪沟</w:t>
            </w:r>
          </w:p>
        </w:tc>
        <w:tc>
          <w:tcPr>
            <w:tcW w:w="574" w:type="pct"/>
            <w:shd w:val="clear" w:color="auto" w:fill="auto"/>
            <w:vAlign w:val="center"/>
          </w:tcPr>
          <w:p>
            <w:pPr>
              <w:pStyle w:val="106"/>
              <w:spacing w:line="280" w:lineRule="exact"/>
              <w:jc w:val="center"/>
              <w:rPr>
                <w:rFonts w:hint="default" w:ascii="Times New Roman" w:hAnsi="Times New Roman"/>
                <w:color w:val="auto"/>
                <w:lang w:val="en-US" w:eastAsia="zh-CN"/>
              </w:rPr>
            </w:pPr>
            <w:r>
              <w:rPr>
                <w:rFonts w:hint="eastAsia" w:ascii="Times New Roman" w:hAnsi="Times New Roman"/>
                <w:color w:val="auto"/>
                <w:lang w:val="en-US" w:eastAsia="zh-CN"/>
              </w:rPr>
              <w:t>30</w:t>
            </w:r>
          </w:p>
        </w:tc>
        <w:tc>
          <w:tcPr>
            <w:tcW w:w="1209" w:type="pct"/>
            <w:shd w:val="clear" w:color="auto" w:fill="auto"/>
            <w:vAlign w:val="center"/>
          </w:tcPr>
          <w:p>
            <w:pPr>
              <w:pStyle w:val="106"/>
              <w:spacing w:line="280" w:lineRule="exact"/>
              <w:jc w:val="center"/>
              <w:rPr>
                <w:rFonts w:hint="eastAsia" w:ascii="Times New Roman" w:hAnsi="Times New Roman" w:eastAsia="宋体" w:cs="宋体"/>
                <w:color w:val="FF0000"/>
                <w:szCs w:val="21"/>
              </w:rPr>
            </w:pPr>
            <w:r>
              <w:rPr>
                <w:rFonts w:hint="eastAsia" w:ascii="Times New Roman" w:hAnsi="Times New Roman" w:eastAsia="宋体" w:cs="宋体"/>
                <w:color w:val="auto"/>
                <w:szCs w:val="21"/>
              </w:rPr>
              <w:t>填埋场周边设截洪沟</w:t>
            </w:r>
          </w:p>
        </w:tc>
        <w:tc>
          <w:tcPr>
            <w:tcW w:w="623" w:type="pct"/>
            <w:shd w:val="clear" w:color="auto" w:fill="auto"/>
            <w:vAlign w:val="center"/>
          </w:tcPr>
          <w:p>
            <w:pPr>
              <w:pStyle w:val="106"/>
              <w:spacing w:line="280" w:lineRule="exact"/>
              <w:jc w:val="center"/>
              <w:rPr>
                <w:rFonts w:hint="default" w:ascii="Times New Roman" w:hAnsi="Times New Roman"/>
                <w:color w:val="FF0000"/>
                <w:lang w:val="en-US" w:eastAsia="zh-CN"/>
              </w:rPr>
            </w:pPr>
            <w:r>
              <w:rPr>
                <w:rFonts w:hint="eastAsia"/>
                <w:color w:val="auto"/>
                <w:lang w:val="en-US" w:eastAsia="zh-CN"/>
              </w:rPr>
              <w:t>30</w:t>
            </w:r>
          </w:p>
        </w:tc>
        <w:tc>
          <w:tcPr>
            <w:tcW w:w="709" w:type="pct"/>
            <w:vMerge w:val="continue"/>
            <w:shd w:val="clear" w:color="auto" w:fill="auto"/>
            <w:vAlign w:val="center"/>
          </w:tcPr>
          <w:p>
            <w:pPr>
              <w:pStyle w:val="106"/>
              <w:spacing w:line="280" w:lineRule="exact"/>
              <w:jc w:val="center"/>
              <w:rPr>
                <w:rFonts w:hint="eastAsia" w:ascii="Times New Roman" w:hAnsi="Times New Roman"/>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794" w:hRule="atLeast"/>
          <w:jc w:val="center"/>
        </w:trPr>
        <w:tc>
          <w:tcPr>
            <w:tcW w:w="283" w:type="pct"/>
            <w:gridSpan w:val="2"/>
            <w:vMerge w:val="continue"/>
            <w:vAlign w:val="center"/>
          </w:tcPr>
          <w:p>
            <w:pPr>
              <w:adjustRightInd w:val="0"/>
              <w:spacing w:line="280" w:lineRule="exact"/>
              <w:jc w:val="center"/>
              <w:textAlignment w:val="baseline"/>
              <w:rPr>
                <w:rFonts w:hint="eastAsia" w:ascii="Times New Roman" w:hAnsi="Times New Roman" w:cs="Times New Roman"/>
                <w:color w:val="auto"/>
                <w:szCs w:val="21"/>
                <w:lang w:eastAsia="zh-CN"/>
              </w:rPr>
            </w:pPr>
          </w:p>
        </w:tc>
        <w:tc>
          <w:tcPr>
            <w:tcW w:w="284" w:type="pct"/>
            <w:vAlign w:val="center"/>
          </w:tcPr>
          <w:p>
            <w:pPr>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Cs w:val="21"/>
              </w:rPr>
              <w:t>防渗处理</w:t>
            </w:r>
          </w:p>
        </w:tc>
        <w:tc>
          <w:tcPr>
            <w:tcW w:w="1315" w:type="pct"/>
            <w:shd w:val="clear" w:color="auto" w:fill="auto"/>
            <w:vAlign w:val="center"/>
          </w:tcPr>
          <w:p>
            <w:pPr>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Cs w:val="21"/>
              </w:rPr>
              <w:t>土工膜防渗等</w:t>
            </w:r>
          </w:p>
        </w:tc>
        <w:tc>
          <w:tcPr>
            <w:tcW w:w="574" w:type="pct"/>
            <w:shd w:val="clear" w:color="auto" w:fill="auto"/>
            <w:vAlign w:val="center"/>
          </w:tcPr>
          <w:p>
            <w:pPr>
              <w:pStyle w:val="106"/>
              <w:spacing w:line="280" w:lineRule="exact"/>
              <w:jc w:val="center"/>
              <w:rPr>
                <w:rFonts w:hint="default" w:ascii="Times New Roman" w:hAnsi="Times New Roman"/>
                <w:color w:val="auto"/>
                <w:lang w:val="en-US" w:eastAsia="zh-CN"/>
              </w:rPr>
            </w:pPr>
            <w:r>
              <w:rPr>
                <w:rFonts w:hint="eastAsia" w:ascii="Times New Roman" w:hAnsi="Times New Roman"/>
                <w:color w:val="auto"/>
                <w:lang w:val="en-US" w:eastAsia="zh-CN"/>
              </w:rPr>
              <w:t>/</w:t>
            </w:r>
          </w:p>
        </w:tc>
        <w:tc>
          <w:tcPr>
            <w:tcW w:w="1209" w:type="pct"/>
            <w:shd w:val="clear" w:color="auto" w:fill="auto"/>
            <w:vAlign w:val="center"/>
          </w:tcPr>
          <w:p>
            <w:pPr>
              <w:jc w:val="center"/>
              <w:rPr>
                <w:rFonts w:hint="eastAsia" w:ascii="Times New Roman" w:hAnsi="Times New Roman" w:eastAsia="宋体" w:cs="宋体"/>
                <w:color w:val="FF0000"/>
                <w:kern w:val="2"/>
                <w:sz w:val="21"/>
                <w:szCs w:val="21"/>
                <w:lang w:val="en-US" w:eastAsia="zh-CN" w:bidi="ar-SA"/>
              </w:rPr>
            </w:pPr>
            <w:r>
              <w:rPr>
                <w:rFonts w:hint="eastAsia" w:ascii="Times New Roman" w:hAnsi="Times New Roman" w:eastAsia="宋体" w:cs="宋体"/>
                <w:color w:val="auto"/>
                <w:szCs w:val="21"/>
              </w:rPr>
              <w:t>土工膜防渗等</w:t>
            </w:r>
          </w:p>
        </w:tc>
        <w:tc>
          <w:tcPr>
            <w:tcW w:w="623" w:type="pct"/>
            <w:shd w:val="clear" w:color="auto" w:fill="auto"/>
            <w:vAlign w:val="center"/>
          </w:tcPr>
          <w:p>
            <w:pPr>
              <w:pStyle w:val="106"/>
              <w:spacing w:line="280" w:lineRule="exact"/>
              <w:jc w:val="center"/>
              <w:rPr>
                <w:rFonts w:hint="default" w:ascii="Times New Roman" w:hAnsi="Times New Roman"/>
                <w:color w:val="FF0000"/>
                <w:lang w:val="en-US" w:eastAsia="zh-CN"/>
              </w:rPr>
            </w:pPr>
            <w:r>
              <w:rPr>
                <w:rFonts w:hint="eastAsia" w:ascii="Times New Roman" w:hAnsi="Times New Roman"/>
                <w:color w:val="auto"/>
                <w:lang w:val="en-US" w:eastAsia="zh-CN"/>
              </w:rPr>
              <w:t>/</w:t>
            </w:r>
          </w:p>
        </w:tc>
        <w:tc>
          <w:tcPr>
            <w:tcW w:w="709" w:type="pct"/>
            <w:vMerge w:val="continue"/>
            <w:shd w:val="clear" w:color="auto" w:fill="auto"/>
            <w:vAlign w:val="center"/>
          </w:tcPr>
          <w:p>
            <w:pPr>
              <w:pStyle w:val="106"/>
              <w:spacing w:line="280" w:lineRule="exact"/>
              <w:jc w:val="center"/>
              <w:rPr>
                <w:rFonts w:hint="eastAsia" w:ascii="Times New Roman" w:hAnsi="Times New Roman"/>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794" w:hRule="atLeast"/>
          <w:jc w:val="center"/>
        </w:trPr>
        <w:tc>
          <w:tcPr>
            <w:tcW w:w="283" w:type="pct"/>
            <w:gridSpan w:val="2"/>
            <w:vMerge w:val="continue"/>
            <w:vAlign w:val="center"/>
          </w:tcPr>
          <w:p>
            <w:pPr>
              <w:adjustRightInd w:val="0"/>
              <w:spacing w:line="280" w:lineRule="exact"/>
              <w:jc w:val="center"/>
              <w:textAlignment w:val="baseline"/>
              <w:rPr>
                <w:rFonts w:hint="eastAsia" w:ascii="Times New Roman" w:hAnsi="Times New Roman" w:cs="Times New Roman"/>
                <w:color w:val="auto"/>
                <w:szCs w:val="21"/>
                <w:lang w:eastAsia="zh-CN"/>
              </w:rPr>
            </w:pPr>
          </w:p>
        </w:tc>
        <w:tc>
          <w:tcPr>
            <w:tcW w:w="284" w:type="pct"/>
            <w:vAlign w:val="center"/>
          </w:tcPr>
          <w:p>
            <w:pPr>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Cs w:val="21"/>
              </w:rPr>
              <w:t>生活污水</w:t>
            </w:r>
          </w:p>
        </w:tc>
        <w:tc>
          <w:tcPr>
            <w:tcW w:w="1315" w:type="pct"/>
            <w:shd w:val="clear" w:color="auto" w:fill="auto"/>
            <w:vAlign w:val="center"/>
          </w:tcPr>
          <w:p>
            <w:pPr>
              <w:jc w:val="center"/>
              <w:rPr>
                <w:rFonts w:hint="default"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Cs w:val="21"/>
                <w:lang w:eastAsia="zh-CN"/>
              </w:rPr>
              <w:t>化粪池、污水管网</w:t>
            </w:r>
          </w:p>
        </w:tc>
        <w:tc>
          <w:tcPr>
            <w:tcW w:w="574" w:type="pct"/>
            <w:shd w:val="clear" w:color="auto" w:fill="auto"/>
            <w:vAlign w:val="center"/>
          </w:tcPr>
          <w:p>
            <w:pPr>
              <w:pStyle w:val="106"/>
              <w:spacing w:line="280" w:lineRule="exact"/>
              <w:jc w:val="center"/>
              <w:rPr>
                <w:rFonts w:hint="default" w:ascii="Times New Roman" w:hAnsi="Times New Roman"/>
                <w:color w:val="auto"/>
                <w:lang w:val="en-US" w:eastAsia="zh-CN"/>
              </w:rPr>
            </w:pPr>
            <w:r>
              <w:rPr>
                <w:rFonts w:hint="eastAsia" w:ascii="Times New Roman" w:hAnsi="Times New Roman"/>
                <w:color w:val="auto"/>
                <w:lang w:val="en-US" w:eastAsia="zh-CN"/>
              </w:rPr>
              <w:t>10</w:t>
            </w:r>
          </w:p>
        </w:tc>
        <w:tc>
          <w:tcPr>
            <w:tcW w:w="1209" w:type="pct"/>
            <w:shd w:val="clear" w:color="auto" w:fill="auto"/>
            <w:vAlign w:val="center"/>
          </w:tcPr>
          <w:p>
            <w:pPr>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依托生活垃圾填埋场</w:t>
            </w:r>
          </w:p>
        </w:tc>
        <w:tc>
          <w:tcPr>
            <w:tcW w:w="623" w:type="pct"/>
            <w:shd w:val="clear" w:color="auto" w:fill="auto"/>
            <w:vAlign w:val="center"/>
          </w:tcPr>
          <w:p>
            <w:pPr>
              <w:pStyle w:val="106"/>
              <w:spacing w:line="280" w:lineRule="exact"/>
              <w:jc w:val="center"/>
              <w:rPr>
                <w:rFonts w:hint="default" w:ascii="Times New Roman" w:hAnsi="Times New Roman"/>
                <w:color w:val="auto"/>
                <w:lang w:val="en-US" w:eastAsia="zh-CN"/>
              </w:rPr>
            </w:pPr>
            <w:r>
              <w:rPr>
                <w:rFonts w:hint="eastAsia" w:ascii="Times New Roman" w:hAnsi="Times New Roman"/>
                <w:color w:val="auto"/>
                <w:lang w:val="en-US" w:eastAsia="zh-CN"/>
              </w:rPr>
              <w:t>/</w:t>
            </w:r>
          </w:p>
        </w:tc>
        <w:tc>
          <w:tcPr>
            <w:tcW w:w="709" w:type="pct"/>
            <w:vMerge w:val="continue"/>
            <w:shd w:val="clear" w:color="auto" w:fill="auto"/>
            <w:vAlign w:val="center"/>
          </w:tcPr>
          <w:p>
            <w:pPr>
              <w:pStyle w:val="106"/>
              <w:spacing w:line="280" w:lineRule="exact"/>
              <w:jc w:val="center"/>
              <w:rPr>
                <w:rFonts w:hint="eastAsia" w:ascii="Times New Roman" w:hAnsi="Times New Roman"/>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794" w:hRule="atLeast"/>
          <w:jc w:val="center"/>
        </w:trPr>
        <w:tc>
          <w:tcPr>
            <w:tcW w:w="567" w:type="pct"/>
            <w:gridSpan w:val="3"/>
            <w:vAlign w:val="center"/>
          </w:tcPr>
          <w:p>
            <w:pPr>
              <w:jc w:val="center"/>
              <w:rPr>
                <w:rFonts w:hint="default" w:ascii="Times New Roman" w:hAnsi="Times New Roman" w:eastAsia="宋体" w:cs="宋体"/>
                <w:color w:val="auto"/>
                <w:szCs w:val="21"/>
                <w:lang w:val="en-US" w:eastAsia="zh-CN"/>
              </w:rPr>
            </w:pPr>
            <w:r>
              <w:rPr>
                <w:rFonts w:hint="eastAsia" w:ascii="Times New Roman" w:hAnsi="Times New Roman" w:eastAsia="宋体" w:cs="宋体"/>
                <w:color w:val="auto"/>
                <w:szCs w:val="21"/>
                <w:lang w:val="en-US" w:eastAsia="zh-CN"/>
              </w:rPr>
              <w:t>固废治理</w:t>
            </w:r>
          </w:p>
        </w:tc>
        <w:tc>
          <w:tcPr>
            <w:tcW w:w="1315" w:type="pct"/>
            <w:shd w:val="clear" w:color="auto" w:fill="auto"/>
            <w:vAlign w:val="center"/>
          </w:tcPr>
          <w:p>
            <w:pPr>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Cs w:val="21"/>
                <w:lang w:eastAsia="zh-CN"/>
              </w:rPr>
              <w:t>生活垃圾</w:t>
            </w:r>
            <w:r>
              <w:rPr>
                <w:rFonts w:hint="eastAsia" w:ascii="Times New Roman" w:hAnsi="Times New Roman" w:eastAsia="宋体" w:cs="宋体"/>
                <w:color w:val="auto"/>
                <w:szCs w:val="21"/>
              </w:rPr>
              <w:t>收集后送环卫部门处理</w:t>
            </w:r>
          </w:p>
        </w:tc>
        <w:tc>
          <w:tcPr>
            <w:tcW w:w="574" w:type="pct"/>
            <w:shd w:val="clear" w:color="auto" w:fill="auto"/>
            <w:vAlign w:val="center"/>
          </w:tcPr>
          <w:p>
            <w:pPr>
              <w:pStyle w:val="106"/>
              <w:spacing w:line="280" w:lineRule="exact"/>
              <w:jc w:val="center"/>
              <w:rPr>
                <w:rFonts w:hint="default" w:ascii="Times New Roman" w:hAnsi="Times New Roman"/>
                <w:color w:val="auto"/>
                <w:lang w:val="en-US" w:eastAsia="zh-CN"/>
              </w:rPr>
            </w:pPr>
            <w:r>
              <w:rPr>
                <w:rFonts w:hint="eastAsia" w:ascii="Times New Roman" w:hAnsi="Times New Roman"/>
                <w:color w:val="auto"/>
                <w:lang w:val="en-US" w:eastAsia="zh-CN"/>
              </w:rPr>
              <w:t>1</w:t>
            </w:r>
          </w:p>
        </w:tc>
        <w:tc>
          <w:tcPr>
            <w:tcW w:w="1209" w:type="pct"/>
            <w:shd w:val="clear" w:color="auto" w:fill="auto"/>
            <w:vAlign w:val="center"/>
          </w:tcPr>
          <w:p>
            <w:pPr>
              <w:jc w:val="center"/>
              <w:rPr>
                <w:rFonts w:hint="eastAsia" w:ascii="Times New Roman" w:hAnsi="Times New Roman" w:eastAsia="宋体" w:cs="宋体"/>
                <w:color w:val="FF0000"/>
                <w:kern w:val="2"/>
                <w:sz w:val="21"/>
                <w:szCs w:val="21"/>
                <w:lang w:val="en-US" w:eastAsia="zh-CN" w:bidi="ar-SA"/>
              </w:rPr>
            </w:pPr>
            <w:r>
              <w:rPr>
                <w:rFonts w:hint="eastAsia" w:ascii="Times New Roman" w:hAnsi="Times New Roman" w:eastAsia="宋体" w:cs="宋体"/>
                <w:color w:val="auto"/>
                <w:szCs w:val="21"/>
                <w:lang w:eastAsia="zh-CN"/>
              </w:rPr>
              <w:t>不设管理区，无生活垃圾</w:t>
            </w:r>
          </w:p>
        </w:tc>
        <w:tc>
          <w:tcPr>
            <w:tcW w:w="623" w:type="pct"/>
            <w:shd w:val="clear" w:color="auto" w:fill="auto"/>
            <w:vAlign w:val="center"/>
          </w:tcPr>
          <w:p>
            <w:pPr>
              <w:spacing w:line="280" w:lineRule="exact"/>
              <w:jc w:val="center"/>
              <w:rPr>
                <w:rFonts w:hint="default" w:ascii="Times New Roman" w:hAnsi="Times New Roman"/>
                <w:color w:val="auto"/>
                <w:lang w:val="en-US" w:eastAsia="zh-CN"/>
              </w:rPr>
            </w:pPr>
            <w:r>
              <w:rPr>
                <w:rFonts w:hint="eastAsia" w:ascii="Times New Roman" w:hAnsi="Times New Roman"/>
                <w:color w:val="auto"/>
                <w:lang w:val="en-US" w:eastAsia="zh-CN"/>
              </w:rPr>
              <w:t>/</w:t>
            </w:r>
          </w:p>
        </w:tc>
        <w:tc>
          <w:tcPr>
            <w:tcW w:w="709" w:type="pct"/>
            <w:vMerge w:val="continue"/>
            <w:shd w:val="clear" w:color="auto" w:fill="auto"/>
            <w:vAlign w:val="center"/>
          </w:tcPr>
          <w:p>
            <w:pPr>
              <w:pStyle w:val="106"/>
              <w:spacing w:line="280" w:lineRule="exact"/>
              <w:jc w:val="center"/>
              <w:rPr>
                <w:rFonts w:hint="eastAsia" w:ascii="Times New Roman" w:hAnsi="Times New Roman"/>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794" w:hRule="atLeast"/>
          <w:jc w:val="center"/>
        </w:trPr>
        <w:tc>
          <w:tcPr>
            <w:tcW w:w="567" w:type="pct"/>
            <w:gridSpan w:val="3"/>
            <w:vAlign w:val="center"/>
          </w:tcPr>
          <w:p>
            <w:pPr>
              <w:jc w:val="center"/>
              <w:rPr>
                <w:rFonts w:hint="eastAsia" w:ascii="Times New Roman" w:hAnsi="Times New Roman" w:eastAsia="宋体" w:cs="宋体"/>
                <w:color w:val="auto"/>
                <w:szCs w:val="21"/>
                <w:lang w:val="en-US" w:eastAsia="zh-CN"/>
              </w:rPr>
            </w:pPr>
            <w:r>
              <w:rPr>
                <w:rFonts w:hint="eastAsia" w:ascii="Times New Roman" w:hAnsi="Times New Roman" w:eastAsia="宋体" w:cs="宋体"/>
                <w:color w:val="auto"/>
                <w:szCs w:val="21"/>
              </w:rPr>
              <w:t>绿化及生态恢复</w:t>
            </w:r>
          </w:p>
        </w:tc>
        <w:tc>
          <w:tcPr>
            <w:tcW w:w="1315" w:type="pct"/>
            <w:shd w:val="clear" w:color="auto" w:fill="auto"/>
            <w:vAlign w:val="center"/>
          </w:tcPr>
          <w:p>
            <w:pPr>
              <w:jc w:val="center"/>
              <w:rPr>
                <w:rFonts w:hint="eastAsia" w:ascii="Times New Roman" w:hAnsi="Times New Roman" w:eastAsia="宋体" w:cs="宋体"/>
                <w:color w:val="auto"/>
                <w:szCs w:val="21"/>
                <w:lang w:eastAsia="zh-CN"/>
              </w:rPr>
            </w:pPr>
            <w:r>
              <w:rPr>
                <w:rFonts w:hint="eastAsia" w:ascii="Times New Roman" w:hAnsi="Times New Roman" w:eastAsia="宋体" w:cs="宋体"/>
                <w:color w:val="auto"/>
                <w:sz w:val="21"/>
                <w:szCs w:val="21"/>
                <w:lang w:val="en-US" w:eastAsia="zh-CN"/>
              </w:rPr>
              <w:t>在填埋场周围营造10m宽的绿化带</w:t>
            </w:r>
            <w:r>
              <w:rPr>
                <w:rFonts w:hint="eastAsia" w:ascii="Times New Roman" w:hAnsi="Times New Roman" w:eastAsia="宋体" w:cs="宋体"/>
                <w:color w:val="auto"/>
                <w:szCs w:val="21"/>
              </w:rPr>
              <w:t>、填埋场封场覆土绿化等</w:t>
            </w:r>
          </w:p>
        </w:tc>
        <w:tc>
          <w:tcPr>
            <w:tcW w:w="574" w:type="pct"/>
            <w:shd w:val="clear" w:color="auto" w:fill="auto"/>
            <w:vAlign w:val="center"/>
          </w:tcPr>
          <w:p>
            <w:pPr>
              <w:jc w:val="center"/>
              <w:rPr>
                <w:rFonts w:hint="eastAsia" w:ascii="Times New Roman" w:hAnsi="Times New Roman"/>
                <w:color w:val="auto"/>
                <w:lang w:val="en-US" w:eastAsia="zh-CN"/>
              </w:rPr>
            </w:pPr>
            <w:r>
              <w:rPr>
                <w:rFonts w:hint="eastAsia" w:ascii="Times New Roman" w:hAnsi="Times New Roman" w:eastAsia="宋体" w:cs="宋体"/>
                <w:color w:val="auto"/>
                <w:szCs w:val="21"/>
              </w:rPr>
              <w:t>15</w:t>
            </w:r>
          </w:p>
        </w:tc>
        <w:tc>
          <w:tcPr>
            <w:tcW w:w="1209" w:type="pct"/>
            <w:shd w:val="clear" w:color="auto" w:fill="auto"/>
            <w:vAlign w:val="center"/>
          </w:tcPr>
          <w:p>
            <w:pPr>
              <w:jc w:val="center"/>
              <w:rPr>
                <w:rFonts w:hint="eastAsia" w:ascii="Times New Roman" w:hAnsi="Times New Roman" w:eastAsia="宋体" w:cs="宋体"/>
                <w:color w:val="FF0000"/>
                <w:szCs w:val="21"/>
                <w:lang w:eastAsia="zh-CN"/>
              </w:rPr>
            </w:pPr>
            <w:r>
              <w:rPr>
                <w:rFonts w:hint="eastAsia" w:ascii="Times New Roman" w:hAnsi="Times New Roman" w:eastAsia="宋体" w:cs="宋体"/>
                <w:color w:val="auto"/>
                <w:szCs w:val="21"/>
                <w:lang w:eastAsia="zh-CN"/>
              </w:rPr>
              <w:t>封场时处理</w:t>
            </w:r>
          </w:p>
        </w:tc>
        <w:tc>
          <w:tcPr>
            <w:tcW w:w="623" w:type="pct"/>
            <w:shd w:val="clear" w:color="auto" w:fill="auto"/>
            <w:vAlign w:val="center"/>
          </w:tcPr>
          <w:p>
            <w:pPr>
              <w:spacing w:line="280" w:lineRule="exact"/>
              <w:jc w:val="center"/>
              <w:rPr>
                <w:rFonts w:hint="default" w:ascii="Times New Roman" w:hAnsi="Times New Roman"/>
                <w:color w:val="auto"/>
                <w:lang w:val="en-US" w:eastAsia="zh-CN"/>
              </w:rPr>
            </w:pPr>
            <w:r>
              <w:rPr>
                <w:rFonts w:hint="eastAsia" w:ascii="Times New Roman" w:hAnsi="Times New Roman"/>
                <w:color w:val="auto"/>
                <w:lang w:val="en-US" w:eastAsia="zh-CN"/>
              </w:rPr>
              <w:t>/</w:t>
            </w:r>
          </w:p>
        </w:tc>
        <w:tc>
          <w:tcPr>
            <w:tcW w:w="709" w:type="pct"/>
            <w:vMerge w:val="continue"/>
            <w:shd w:val="clear" w:color="auto" w:fill="auto"/>
            <w:vAlign w:val="center"/>
          </w:tcPr>
          <w:p>
            <w:pPr>
              <w:pStyle w:val="106"/>
              <w:spacing w:line="280" w:lineRule="exact"/>
              <w:jc w:val="center"/>
              <w:rPr>
                <w:rFonts w:hint="eastAsia" w:ascii="Times New Roman" w:hAnsi="Times New Roman"/>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794" w:hRule="atLeast"/>
          <w:jc w:val="center"/>
        </w:trPr>
        <w:tc>
          <w:tcPr>
            <w:tcW w:w="567" w:type="pct"/>
            <w:gridSpan w:val="3"/>
            <w:vAlign w:val="center"/>
          </w:tcPr>
          <w:p>
            <w:pPr>
              <w:spacing w:line="360" w:lineRule="atLeast"/>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rPr>
              <w:t>覆土临时堆场取</w:t>
            </w:r>
          </w:p>
          <w:p>
            <w:pPr>
              <w:spacing w:line="360" w:lineRule="atLeast"/>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Cs w:val="21"/>
              </w:rPr>
              <w:t>土场封场后恢复</w:t>
            </w:r>
          </w:p>
        </w:tc>
        <w:tc>
          <w:tcPr>
            <w:tcW w:w="1315" w:type="pct"/>
            <w:shd w:val="clear" w:color="auto" w:fill="auto"/>
            <w:vAlign w:val="center"/>
          </w:tcPr>
          <w:p>
            <w:pPr>
              <w:spacing w:line="360" w:lineRule="atLeast"/>
              <w:ind w:firstLine="105" w:firstLineChars="50"/>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Cs w:val="21"/>
              </w:rPr>
              <w:t>边坡水保措施及绿化</w:t>
            </w:r>
          </w:p>
        </w:tc>
        <w:tc>
          <w:tcPr>
            <w:tcW w:w="574" w:type="pct"/>
            <w:shd w:val="clear" w:color="auto" w:fill="auto"/>
            <w:vAlign w:val="center"/>
          </w:tcPr>
          <w:p>
            <w:pPr>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Cs w:val="21"/>
              </w:rPr>
              <w:t>8</w:t>
            </w:r>
          </w:p>
        </w:tc>
        <w:tc>
          <w:tcPr>
            <w:tcW w:w="1209" w:type="pct"/>
            <w:shd w:val="clear" w:color="auto" w:fill="auto"/>
            <w:vAlign w:val="center"/>
          </w:tcPr>
          <w:p>
            <w:pPr>
              <w:spacing w:line="360" w:lineRule="atLeast"/>
              <w:ind w:firstLine="105" w:firstLineChars="50"/>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Cs w:val="21"/>
                <w:lang w:eastAsia="zh-CN"/>
              </w:rPr>
              <w:t>封场时处理</w:t>
            </w:r>
          </w:p>
        </w:tc>
        <w:tc>
          <w:tcPr>
            <w:tcW w:w="623" w:type="pct"/>
            <w:shd w:val="clear" w:color="auto" w:fill="auto"/>
            <w:vAlign w:val="center"/>
          </w:tcPr>
          <w:p>
            <w:pPr>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color w:val="auto"/>
                <w:lang w:val="en-US" w:eastAsia="zh-CN"/>
              </w:rPr>
              <w:t>/</w:t>
            </w:r>
          </w:p>
        </w:tc>
        <w:tc>
          <w:tcPr>
            <w:tcW w:w="709" w:type="pct"/>
            <w:vMerge w:val="continue"/>
            <w:shd w:val="clear" w:color="auto" w:fill="auto"/>
            <w:vAlign w:val="center"/>
          </w:tcPr>
          <w:p>
            <w:pPr>
              <w:pStyle w:val="106"/>
              <w:spacing w:line="280" w:lineRule="exact"/>
              <w:jc w:val="center"/>
              <w:rPr>
                <w:rFonts w:ascii="Times New Roman" w:hAnsi="Times New Roman"/>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794" w:hRule="atLeast"/>
          <w:jc w:val="center"/>
        </w:trPr>
        <w:tc>
          <w:tcPr>
            <w:tcW w:w="567" w:type="pct"/>
            <w:gridSpan w:val="3"/>
            <w:vAlign w:val="center"/>
          </w:tcPr>
          <w:p>
            <w:pPr>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Cs w:val="21"/>
              </w:rPr>
              <w:t>风险防范措施</w:t>
            </w:r>
          </w:p>
        </w:tc>
        <w:tc>
          <w:tcPr>
            <w:tcW w:w="1315" w:type="pct"/>
            <w:shd w:val="clear" w:color="auto" w:fill="auto"/>
            <w:vAlign w:val="center"/>
          </w:tcPr>
          <w:p>
            <w:pPr>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Cs w:val="21"/>
              </w:rPr>
              <w:t>加强管理与监测</w:t>
            </w:r>
          </w:p>
        </w:tc>
        <w:tc>
          <w:tcPr>
            <w:tcW w:w="574" w:type="pct"/>
            <w:shd w:val="clear" w:color="auto" w:fill="auto"/>
            <w:vAlign w:val="center"/>
          </w:tcPr>
          <w:p>
            <w:pPr>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Cs w:val="21"/>
              </w:rPr>
              <w:t>7</w:t>
            </w:r>
          </w:p>
        </w:tc>
        <w:tc>
          <w:tcPr>
            <w:tcW w:w="1209" w:type="pct"/>
            <w:shd w:val="clear" w:color="auto" w:fill="auto"/>
            <w:vAlign w:val="center"/>
          </w:tcPr>
          <w:p>
            <w:pPr>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Cs w:val="21"/>
              </w:rPr>
              <w:t>管理与监测</w:t>
            </w:r>
          </w:p>
        </w:tc>
        <w:tc>
          <w:tcPr>
            <w:tcW w:w="623" w:type="pct"/>
            <w:shd w:val="clear" w:color="auto" w:fill="auto"/>
            <w:vAlign w:val="center"/>
          </w:tcPr>
          <w:p>
            <w:pPr>
              <w:jc w:val="center"/>
              <w:rPr>
                <w:rFonts w:hint="default"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Cs w:val="21"/>
                <w:lang w:val="en-US" w:eastAsia="zh-CN"/>
              </w:rPr>
              <w:t>30</w:t>
            </w:r>
          </w:p>
        </w:tc>
        <w:tc>
          <w:tcPr>
            <w:tcW w:w="709" w:type="pct"/>
            <w:vMerge w:val="continue"/>
            <w:shd w:val="clear" w:color="auto" w:fill="auto"/>
            <w:vAlign w:val="center"/>
          </w:tcPr>
          <w:p>
            <w:pPr>
              <w:pStyle w:val="106"/>
              <w:spacing w:line="280" w:lineRule="exact"/>
              <w:jc w:val="center"/>
              <w:rPr>
                <w:rFonts w:ascii="Times New Roman" w:hAnsi="Times New Roman"/>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794" w:hRule="atLeast"/>
          <w:jc w:val="center"/>
        </w:trPr>
        <w:tc>
          <w:tcPr>
            <w:tcW w:w="567" w:type="pct"/>
            <w:gridSpan w:val="3"/>
            <w:vAlign w:val="center"/>
          </w:tcPr>
          <w:p>
            <w:pPr>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Cs w:val="21"/>
              </w:rPr>
              <w:t>施工期环保措施</w:t>
            </w:r>
          </w:p>
        </w:tc>
        <w:tc>
          <w:tcPr>
            <w:tcW w:w="1315" w:type="pct"/>
            <w:shd w:val="clear" w:color="auto" w:fill="auto"/>
            <w:vAlign w:val="center"/>
          </w:tcPr>
          <w:p>
            <w:pPr>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Cs w:val="21"/>
              </w:rPr>
              <w:t>抑尘、废水沉淀池、隔油池、旱厕等</w:t>
            </w:r>
          </w:p>
        </w:tc>
        <w:tc>
          <w:tcPr>
            <w:tcW w:w="574" w:type="pct"/>
            <w:shd w:val="clear" w:color="auto" w:fill="auto"/>
            <w:vAlign w:val="center"/>
          </w:tcPr>
          <w:p>
            <w:pPr>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Cs w:val="21"/>
                <w:lang w:val="en-US" w:eastAsia="zh-CN"/>
              </w:rPr>
              <w:t>1</w:t>
            </w:r>
            <w:r>
              <w:rPr>
                <w:rFonts w:hint="eastAsia" w:ascii="Times New Roman" w:hAnsi="Times New Roman" w:eastAsia="宋体" w:cs="宋体"/>
                <w:color w:val="auto"/>
                <w:szCs w:val="21"/>
              </w:rPr>
              <w:t>3</w:t>
            </w:r>
          </w:p>
        </w:tc>
        <w:tc>
          <w:tcPr>
            <w:tcW w:w="1209" w:type="pct"/>
            <w:shd w:val="clear" w:color="auto" w:fill="auto"/>
            <w:vAlign w:val="center"/>
          </w:tcPr>
          <w:p>
            <w:pPr>
              <w:jc w:val="center"/>
              <w:rPr>
                <w:rFonts w:hint="eastAsia" w:ascii="Times New Roman" w:hAnsi="Times New Roman" w:eastAsia="宋体" w:cs="宋体"/>
                <w:color w:val="FF0000"/>
                <w:kern w:val="2"/>
                <w:sz w:val="21"/>
                <w:szCs w:val="21"/>
                <w:lang w:val="en-US" w:eastAsia="zh-CN" w:bidi="ar-SA"/>
              </w:rPr>
            </w:pPr>
            <w:r>
              <w:rPr>
                <w:rFonts w:hint="eastAsia" w:ascii="Times New Roman" w:hAnsi="Times New Roman" w:eastAsia="宋体" w:cs="宋体"/>
                <w:color w:val="auto"/>
                <w:szCs w:val="21"/>
              </w:rPr>
              <w:t>废水沉淀池、隔油池、旱厕等</w:t>
            </w:r>
            <w:r>
              <w:rPr>
                <w:rFonts w:hint="eastAsia" w:ascii="Times New Roman" w:hAnsi="Times New Roman" w:eastAsia="宋体" w:cs="宋体"/>
                <w:color w:val="auto"/>
                <w:szCs w:val="21"/>
                <w:lang w:eastAsia="zh-CN"/>
              </w:rPr>
              <w:t>依托</w:t>
            </w:r>
            <w:r>
              <w:rPr>
                <w:rFonts w:hint="eastAsia" w:ascii="Times New Roman" w:hAnsi="Times New Roman" w:eastAsia="宋体" w:cs="宋体"/>
                <w:color w:val="auto"/>
                <w:kern w:val="2"/>
                <w:sz w:val="21"/>
                <w:szCs w:val="21"/>
                <w:lang w:val="en-US" w:eastAsia="zh-CN" w:bidi="ar-SA"/>
              </w:rPr>
              <w:t>生活垃圾填埋场，</w:t>
            </w:r>
            <w:r>
              <w:rPr>
                <w:rFonts w:hint="eastAsia" w:ascii="Times New Roman" w:hAnsi="Times New Roman" w:eastAsia="宋体" w:cs="宋体"/>
                <w:color w:val="auto"/>
                <w:szCs w:val="21"/>
              </w:rPr>
              <w:t>抑尘</w:t>
            </w:r>
          </w:p>
        </w:tc>
        <w:tc>
          <w:tcPr>
            <w:tcW w:w="623" w:type="pct"/>
            <w:shd w:val="clear" w:color="auto" w:fill="auto"/>
            <w:vAlign w:val="center"/>
          </w:tcPr>
          <w:p>
            <w:pPr>
              <w:jc w:val="center"/>
              <w:rPr>
                <w:rFonts w:hint="default" w:ascii="Times New Roman" w:hAnsi="Times New Roman" w:eastAsia="宋体" w:cs="宋体"/>
                <w:color w:val="FF0000"/>
                <w:kern w:val="2"/>
                <w:sz w:val="21"/>
                <w:szCs w:val="21"/>
                <w:lang w:val="en-US" w:eastAsia="zh-CN" w:bidi="ar-SA"/>
              </w:rPr>
            </w:pPr>
            <w:r>
              <w:rPr>
                <w:rFonts w:hint="eastAsia" w:ascii="Times New Roman" w:hAnsi="Times New Roman" w:eastAsia="宋体" w:cs="宋体"/>
                <w:color w:val="auto"/>
                <w:szCs w:val="21"/>
                <w:lang w:val="en-US" w:eastAsia="zh-CN"/>
              </w:rPr>
              <w:t>10</w:t>
            </w:r>
          </w:p>
        </w:tc>
        <w:tc>
          <w:tcPr>
            <w:tcW w:w="709" w:type="pct"/>
            <w:vMerge w:val="continue"/>
            <w:shd w:val="clear" w:color="auto" w:fill="auto"/>
            <w:vAlign w:val="center"/>
          </w:tcPr>
          <w:p>
            <w:pPr>
              <w:pStyle w:val="106"/>
              <w:spacing w:line="280" w:lineRule="exact"/>
              <w:jc w:val="center"/>
              <w:rPr>
                <w:rFonts w:ascii="Times New Roman" w:hAnsi="Times New Roman"/>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794" w:hRule="atLeast"/>
          <w:jc w:val="center"/>
        </w:trPr>
        <w:tc>
          <w:tcPr>
            <w:tcW w:w="567" w:type="pct"/>
            <w:gridSpan w:val="3"/>
            <w:vAlign w:val="center"/>
          </w:tcPr>
          <w:p>
            <w:pPr>
              <w:pStyle w:val="106"/>
              <w:spacing w:line="280" w:lineRule="exact"/>
              <w:jc w:val="center"/>
              <w:rPr>
                <w:rFonts w:ascii="Times New Roman" w:hAnsi="Times New Roman"/>
                <w:color w:val="auto"/>
              </w:rPr>
            </w:pPr>
            <w:r>
              <w:rPr>
                <w:rFonts w:hint="eastAsia" w:ascii="Times New Roman" w:hAnsi="Times New Roman"/>
                <w:color w:val="auto"/>
              </w:rPr>
              <w:t>合计</w:t>
            </w:r>
          </w:p>
        </w:tc>
        <w:tc>
          <w:tcPr>
            <w:tcW w:w="1315" w:type="pct"/>
            <w:shd w:val="clear" w:color="auto" w:fill="auto"/>
            <w:vAlign w:val="center"/>
          </w:tcPr>
          <w:p>
            <w:pPr>
              <w:jc w:val="center"/>
              <w:rPr>
                <w:rFonts w:hint="default"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w:t>
            </w:r>
          </w:p>
        </w:tc>
        <w:tc>
          <w:tcPr>
            <w:tcW w:w="574" w:type="pct"/>
            <w:shd w:val="clear" w:color="auto" w:fill="auto"/>
            <w:vAlign w:val="center"/>
          </w:tcPr>
          <w:p>
            <w:pPr>
              <w:pStyle w:val="106"/>
              <w:spacing w:line="280" w:lineRule="exact"/>
              <w:jc w:val="center"/>
              <w:rPr>
                <w:rFonts w:hint="default" w:ascii="Times New Roman" w:hAnsi="Times New Roman" w:eastAsia="宋体"/>
                <w:color w:val="auto"/>
                <w:lang w:val="en-US" w:eastAsia="zh-CN"/>
              </w:rPr>
            </w:pPr>
            <w:r>
              <w:rPr>
                <w:rFonts w:hint="eastAsia"/>
                <w:color w:val="auto"/>
                <w:lang w:val="en-US" w:eastAsia="zh-CN"/>
              </w:rPr>
              <w:t>200</w:t>
            </w:r>
          </w:p>
        </w:tc>
        <w:tc>
          <w:tcPr>
            <w:tcW w:w="1209" w:type="pct"/>
            <w:shd w:val="clear" w:color="auto" w:fill="auto"/>
            <w:vAlign w:val="center"/>
          </w:tcPr>
          <w:p>
            <w:pPr>
              <w:pStyle w:val="106"/>
              <w:spacing w:line="280" w:lineRule="exact"/>
              <w:jc w:val="center"/>
              <w:rPr>
                <w:rFonts w:ascii="Times New Roman" w:hAnsi="Times New Roman"/>
                <w:color w:val="auto"/>
              </w:rPr>
            </w:pPr>
            <w:r>
              <w:rPr>
                <w:rFonts w:hint="eastAsia" w:ascii="Times New Roman" w:hAnsi="Times New Roman"/>
                <w:color w:val="auto"/>
              </w:rPr>
              <w:t>/</w:t>
            </w:r>
          </w:p>
        </w:tc>
        <w:tc>
          <w:tcPr>
            <w:tcW w:w="623" w:type="pct"/>
            <w:shd w:val="clear" w:color="auto" w:fill="auto"/>
            <w:vAlign w:val="center"/>
          </w:tcPr>
          <w:p>
            <w:pPr>
              <w:pStyle w:val="106"/>
              <w:spacing w:line="280" w:lineRule="exact"/>
              <w:jc w:val="center"/>
              <w:rPr>
                <w:rFonts w:hint="default" w:ascii="Times New Roman" w:hAnsi="Times New Roman" w:eastAsia="宋体"/>
                <w:color w:val="auto"/>
                <w:lang w:val="en-US" w:eastAsia="zh-CN"/>
              </w:rPr>
            </w:pPr>
            <w:r>
              <w:rPr>
                <w:rFonts w:hint="eastAsia"/>
                <w:color w:val="auto"/>
                <w:lang w:val="en-US" w:eastAsia="zh-CN"/>
              </w:rPr>
              <w:t>172</w:t>
            </w:r>
          </w:p>
        </w:tc>
        <w:tc>
          <w:tcPr>
            <w:tcW w:w="709" w:type="pct"/>
            <w:vMerge w:val="continue"/>
            <w:shd w:val="clear" w:color="auto" w:fill="auto"/>
            <w:vAlign w:val="center"/>
          </w:tcPr>
          <w:p>
            <w:pPr>
              <w:pStyle w:val="106"/>
              <w:spacing w:line="280" w:lineRule="exact"/>
              <w:jc w:val="center"/>
              <w:rPr>
                <w:rFonts w:ascii="Times New Roman" w:hAnsi="Times New Roman"/>
                <w:color w:val="auto"/>
              </w:rPr>
            </w:pPr>
          </w:p>
        </w:tc>
      </w:tr>
    </w:tbl>
    <w:p>
      <w:pPr>
        <w:pStyle w:val="104"/>
        <w:ind w:firstLine="480"/>
        <w:rPr>
          <w:rFonts w:ascii="Times New Roman" w:hAnsi="Times New Roman"/>
          <w:color w:val="auto"/>
        </w:rPr>
      </w:pPr>
    </w:p>
    <w:p>
      <w:pPr>
        <w:autoSpaceDE w:val="0"/>
        <w:autoSpaceDN w:val="0"/>
        <w:ind w:firstLine="422" w:firstLineChars="200"/>
        <w:jc w:val="center"/>
        <w:rPr>
          <w:rFonts w:ascii="Times New Roman" w:hAnsi="Times New Roman"/>
          <w:b/>
          <w:bCs/>
          <w:color w:val="auto"/>
          <w:szCs w:val="21"/>
        </w:rPr>
        <w:sectPr>
          <w:pgSz w:w="11906" w:h="16838"/>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p>
    <w:p>
      <w:pPr>
        <w:pStyle w:val="5"/>
        <w:pageBreakBefore w:val="0"/>
        <w:kinsoku/>
        <w:wordWrap/>
        <w:overflowPunct/>
        <w:topLinePunct w:val="0"/>
        <w:autoSpaceDE/>
        <w:autoSpaceDN/>
        <w:bidi w:val="0"/>
        <w:adjustRightInd/>
        <w:snapToGrid/>
        <w:spacing w:beforeLines="0" w:afterLines="0" w:line="360" w:lineRule="auto"/>
        <w:ind w:left="0"/>
        <w:jc w:val="center"/>
        <w:rPr>
          <w:rFonts w:ascii="Times New Roman" w:hAnsi="Times New Roman"/>
          <w:color w:val="auto"/>
        </w:rPr>
      </w:pPr>
      <w:bookmarkStart w:id="71" w:name="_Toc7658"/>
      <w:bookmarkStart w:id="72" w:name="_Toc507454873"/>
      <w:r>
        <w:rPr>
          <w:rFonts w:hint="eastAsia" w:ascii="Times New Roman" w:hAnsi="Times New Roman"/>
          <w:color w:val="auto"/>
        </w:rPr>
        <w:t>五、环评主要结论与建议及审批意见要求</w:t>
      </w:r>
      <w:bookmarkEnd w:id="71"/>
      <w:bookmarkEnd w:id="72"/>
    </w:p>
    <w:p>
      <w:pPr>
        <w:pStyle w:val="6"/>
        <w:pageBreakBefore w:val="0"/>
        <w:kinsoku/>
        <w:wordWrap/>
        <w:overflowPunct/>
        <w:topLinePunct w:val="0"/>
        <w:autoSpaceDE/>
        <w:autoSpaceDN/>
        <w:bidi w:val="0"/>
        <w:adjustRightInd/>
        <w:snapToGrid/>
        <w:spacing w:before="0" w:after="0" w:line="360" w:lineRule="auto"/>
        <w:ind w:left="0"/>
        <w:rPr>
          <w:rFonts w:ascii="Times New Roman" w:hAnsi="Times New Roman" w:cs="Times New Roman"/>
          <w:color w:val="auto"/>
        </w:rPr>
      </w:pPr>
      <w:bookmarkStart w:id="73" w:name="_Toc17769"/>
      <w:bookmarkStart w:id="74" w:name="_Toc507454874"/>
      <w:bookmarkStart w:id="75" w:name="_Toc495304771"/>
      <w:bookmarkStart w:id="76" w:name="_Toc507454876"/>
      <w:r>
        <w:rPr>
          <w:rFonts w:ascii="Times New Roman" w:hAnsi="Times New Roman" w:cs="Times New Roman"/>
          <w:color w:val="auto"/>
        </w:rPr>
        <w:t>5.1环评结论</w:t>
      </w:r>
      <w:bookmarkEnd w:id="73"/>
      <w:bookmarkEnd w:id="74"/>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outlineLvl w:val="9"/>
        <w:rPr>
          <w:rFonts w:hint="eastAsia" w:ascii="Times New Roman" w:hAnsi="Times New Roman" w:eastAsia="宋体" w:cs="宋体"/>
          <w:b w:val="0"/>
          <w:bCs w:val="0"/>
          <w:color w:val="auto"/>
          <w:sz w:val="24"/>
          <w:szCs w:val="24"/>
        </w:rPr>
      </w:pPr>
      <w:bookmarkStart w:id="77" w:name="_Toc223921564"/>
      <w:bookmarkStart w:id="78" w:name="_Toc405803999"/>
      <w:bookmarkStart w:id="79" w:name="_Toc27760"/>
      <w:bookmarkStart w:id="80" w:name="_Toc3212"/>
      <w:bookmarkStart w:id="81" w:name="_Toc518642976"/>
      <w:bookmarkStart w:id="82" w:name="_Toc507454875"/>
      <w:r>
        <w:rPr>
          <w:rFonts w:hint="eastAsia" w:ascii="Times New Roman" w:hAnsi="Times New Roman" w:eastAsia="宋体" w:cs="宋体"/>
          <w:b w:val="0"/>
          <w:bCs w:val="0"/>
          <w:color w:val="auto"/>
          <w:sz w:val="24"/>
          <w:szCs w:val="24"/>
          <w:lang w:eastAsia="zh-CN"/>
        </w:rPr>
        <w:t>一、</w:t>
      </w:r>
      <w:r>
        <w:rPr>
          <w:rFonts w:hint="eastAsia" w:ascii="Times New Roman" w:hAnsi="Times New Roman" w:eastAsia="宋体" w:cs="宋体"/>
          <w:b w:val="0"/>
          <w:bCs w:val="0"/>
          <w:color w:val="auto"/>
          <w:sz w:val="24"/>
          <w:szCs w:val="24"/>
        </w:rPr>
        <w:t>项目概况</w:t>
      </w:r>
      <w:bookmarkEnd w:id="77"/>
      <w:bookmarkEnd w:id="78"/>
      <w:bookmarkEnd w:id="79"/>
      <w:bookmarkEnd w:id="80"/>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outlineLvl w:val="9"/>
        <w:rPr>
          <w:rFonts w:hint="eastAsia" w:ascii="Times New Roman" w:hAnsi="Times New Roman" w:eastAsia="宋体" w:cs="宋体"/>
          <w:color w:val="auto"/>
          <w:sz w:val="24"/>
          <w:lang w:eastAsia="zh-CN"/>
        </w:rPr>
      </w:pPr>
      <w:bookmarkStart w:id="83" w:name="_Toc26761"/>
      <w:bookmarkStart w:id="84" w:name="_Toc223921565"/>
      <w:bookmarkStart w:id="85" w:name="_Toc405804001"/>
      <w:bookmarkStart w:id="86" w:name="_Toc2405"/>
      <w:r>
        <w:rPr>
          <w:rFonts w:hint="eastAsia" w:ascii="Times New Roman" w:hAnsi="Times New Roman" w:eastAsia="宋体" w:cs="宋体"/>
          <w:color w:val="auto"/>
          <w:sz w:val="24"/>
        </w:rPr>
        <w:t>本项目拟建库区占地面积</w:t>
      </w:r>
      <w:r>
        <w:rPr>
          <w:rFonts w:hint="eastAsia" w:ascii="Times New Roman" w:hAnsi="Times New Roman" w:eastAsia="宋体" w:cs="宋体"/>
          <w:color w:val="auto"/>
          <w:sz w:val="24"/>
          <w:lang w:val="en-US" w:eastAsia="zh-CN"/>
        </w:rPr>
        <w:t>12000</w:t>
      </w:r>
      <w:r>
        <w:rPr>
          <w:rFonts w:hint="eastAsia" w:ascii="Times New Roman" w:hAnsi="Times New Roman" w:eastAsia="宋体" w:cs="宋体"/>
          <w:color w:val="auto"/>
          <w:sz w:val="24"/>
        </w:rPr>
        <w:t>平</w:t>
      </w:r>
      <w:r>
        <w:rPr>
          <w:rFonts w:hint="eastAsia" w:ascii="Times New Roman" w:hAnsi="Times New Roman" w:eastAsia="宋体" w:cs="宋体"/>
          <w:color w:val="auto"/>
          <w:sz w:val="24"/>
          <w:lang w:eastAsia="zh-CN"/>
        </w:rPr>
        <w:t>方</w:t>
      </w:r>
      <w:r>
        <w:rPr>
          <w:rFonts w:hint="eastAsia" w:ascii="Times New Roman" w:hAnsi="Times New Roman" w:eastAsia="宋体" w:cs="宋体"/>
          <w:color w:val="auto"/>
          <w:sz w:val="24"/>
        </w:rPr>
        <w:t>米，库区</w:t>
      </w:r>
      <w:r>
        <w:rPr>
          <w:rFonts w:hint="eastAsia" w:ascii="Times New Roman" w:hAnsi="Times New Roman" w:eastAsia="宋体" w:cs="宋体"/>
          <w:color w:val="auto"/>
          <w:sz w:val="24"/>
          <w:lang w:eastAsia="zh-CN"/>
        </w:rPr>
        <w:t>垃圾主坝坝顶标高为</w:t>
      </w:r>
      <w:r>
        <w:rPr>
          <w:rFonts w:hint="eastAsia" w:ascii="Times New Roman" w:hAnsi="Times New Roman" w:eastAsia="宋体" w:cs="宋体"/>
          <w:color w:val="auto"/>
          <w:sz w:val="24"/>
          <w:lang w:val="en-US" w:eastAsia="zh-CN"/>
        </w:rPr>
        <w:t>37m，坝顶宽3m，坝轴线长100m、坝体上游坡度为1:0.2，下游坡度为1:0.25。</w:t>
      </w:r>
      <w:r>
        <w:rPr>
          <w:rFonts w:hint="eastAsia" w:ascii="Times New Roman" w:hAnsi="Times New Roman" w:eastAsia="宋体" w:cs="宋体"/>
          <w:color w:val="auto"/>
          <w:sz w:val="24"/>
          <w:lang w:eastAsia="zh-CN"/>
        </w:rPr>
        <w:t>填埋库区设计总库容约</w:t>
      </w:r>
      <w:r>
        <w:rPr>
          <w:rFonts w:hint="eastAsia" w:ascii="Times New Roman" w:hAnsi="Times New Roman" w:eastAsia="宋体" w:cs="宋体"/>
          <w:color w:val="auto"/>
          <w:sz w:val="24"/>
          <w:lang w:val="en-US" w:eastAsia="zh-CN"/>
        </w:rPr>
        <w:t>15</w:t>
      </w:r>
      <w:r>
        <w:rPr>
          <w:rFonts w:hint="eastAsia" w:ascii="Times New Roman" w:hAnsi="Times New Roman" w:eastAsia="宋体" w:cs="宋体"/>
          <w:color w:val="auto"/>
          <w:sz w:val="24"/>
          <w:lang w:eastAsia="zh-CN"/>
        </w:rPr>
        <w:t>万m</w:t>
      </w:r>
      <w:r>
        <w:rPr>
          <w:rFonts w:hint="eastAsia" w:ascii="Times New Roman" w:hAnsi="Times New Roman" w:eastAsia="宋体" w:cs="宋体"/>
          <w:color w:val="auto"/>
          <w:sz w:val="24"/>
          <w:vertAlign w:val="superscript"/>
          <w:lang w:eastAsia="zh-CN"/>
        </w:rPr>
        <w:t>3</w:t>
      </w:r>
      <w:r>
        <w:rPr>
          <w:rFonts w:hint="eastAsia" w:ascii="Times New Roman" w:hAnsi="Times New Roman" w:eastAsia="宋体" w:cs="宋体"/>
          <w:color w:val="auto"/>
          <w:sz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outlineLvl w:val="9"/>
        <w:rPr>
          <w:rFonts w:hint="eastAsia" w:ascii="Times New Roman" w:hAnsi="Times New Roman" w:eastAsia="宋体" w:cs="宋体"/>
          <w:b w:val="0"/>
          <w:bCs w:val="0"/>
          <w:color w:val="auto"/>
          <w:sz w:val="24"/>
          <w:szCs w:val="24"/>
        </w:rPr>
      </w:pPr>
      <w:r>
        <w:rPr>
          <w:rFonts w:hint="eastAsia" w:ascii="Times New Roman" w:hAnsi="Times New Roman" w:eastAsia="宋体" w:cs="宋体"/>
          <w:b w:val="0"/>
          <w:bCs w:val="0"/>
          <w:color w:val="auto"/>
          <w:sz w:val="24"/>
          <w:szCs w:val="24"/>
          <w:lang w:eastAsia="zh-CN"/>
        </w:rPr>
        <w:t>二、</w:t>
      </w:r>
      <w:r>
        <w:rPr>
          <w:rFonts w:hint="eastAsia" w:ascii="Times New Roman" w:hAnsi="Times New Roman" w:eastAsia="宋体" w:cs="宋体"/>
          <w:b w:val="0"/>
          <w:bCs w:val="0"/>
          <w:color w:val="auto"/>
          <w:sz w:val="24"/>
          <w:szCs w:val="24"/>
        </w:rPr>
        <w:t>项目与产业政策及规划符合性</w:t>
      </w:r>
      <w:bookmarkEnd w:id="83"/>
      <w:bookmarkEnd w:id="84"/>
      <w:bookmarkEnd w:id="85"/>
      <w:bookmarkEnd w:id="86"/>
    </w:p>
    <w:p>
      <w:pPr>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Times New Roman" w:hAnsi="Times New Roman" w:eastAsia="宋体" w:cs="宋体"/>
          <w:color w:val="auto"/>
          <w:sz w:val="24"/>
          <w:szCs w:val="24"/>
        </w:rPr>
      </w:pPr>
      <w:bookmarkStart w:id="87" w:name="_Toc223921566"/>
      <w:r>
        <w:rPr>
          <w:rFonts w:hint="eastAsia" w:ascii="Times New Roman" w:hAnsi="Times New Roman" w:eastAsia="宋体" w:cs="宋体"/>
          <w:color w:val="auto"/>
          <w:sz w:val="24"/>
          <w:szCs w:val="24"/>
        </w:rPr>
        <w:t>（1）本项目属于一般工业固废垃圾无害化工程，属于环境治理工程，根据《产业结构调整指导目录（201</w:t>
      </w:r>
      <w:r>
        <w:rPr>
          <w:rFonts w:hint="eastAsia" w:ascii="Times New Roman" w:hAnsi="Times New Roman" w:eastAsia="宋体" w:cs="宋体"/>
          <w:color w:val="auto"/>
          <w:sz w:val="24"/>
          <w:szCs w:val="24"/>
          <w:lang w:val="en-US" w:eastAsia="zh-CN"/>
        </w:rPr>
        <w:t>9</w:t>
      </w:r>
      <w:r>
        <w:rPr>
          <w:rFonts w:hint="eastAsia" w:ascii="Times New Roman" w:hAnsi="Times New Roman" w:eastAsia="宋体" w:cs="宋体"/>
          <w:color w:val="auto"/>
          <w:sz w:val="24"/>
          <w:szCs w:val="24"/>
        </w:rPr>
        <w:t>年本）》中鼓励类第三十八条“环境保护与资源节约综合利用”第二十款“城镇垃圾及其他固体废弃物减量化、资源化、无害化处理和综合利用工程”之规定，项目属于鼓励类。因此，建项目符合国家产业政策要求。</w:t>
      </w:r>
    </w:p>
    <w:p>
      <w:pPr>
        <w:keepNext w:val="0"/>
        <w:keepLines w:val="0"/>
        <w:pageBreakBefore w:val="0"/>
        <w:widowControl w:val="0"/>
        <w:tabs>
          <w:tab w:val="center" w:pos="4156"/>
          <w:tab w:val="left" w:pos="6120"/>
        </w:tabs>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b w:val="0"/>
          <w:bCs/>
          <w:color w:val="auto"/>
          <w:sz w:val="24"/>
          <w:szCs w:val="24"/>
        </w:rPr>
      </w:pPr>
      <w:r>
        <w:rPr>
          <w:rFonts w:hint="eastAsia" w:ascii="Times New Roman" w:hAnsi="Times New Roman" w:eastAsia="宋体" w:cs="宋体"/>
          <w:color w:val="auto"/>
          <w:sz w:val="24"/>
          <w:szCs w:val="24"/>
        </w:rPr>
        <w:t>（</w:t>
      </w:r>
      <w:r>
        <w:rPr>
          <w:rFonts w:hint="eastAsia" w:ascii="Times New Roman" w:hAnsi="Times New Roman" w:eastAsia="宋体" w:cs="宋体"/>
          <w:color w:val="auto"/>
          <w:sz w:val="24"/>
          <w:szCs w:val="24"/>
          <w:lang w:val="en-US" w:eastAsia="zh-CN"/>
        </w:rPr>
        <w:t>2</w:t>
      </w:r>
      <w:r>
        <w:rPr>
          <w:rFonts w:hint="eastAsia" w:ascii="Times New Roman" w:hAnsi="Times New Roman" w:eastAsia="宋体" w:cs="宋体"/>
          <w:color w:val="auto"/>
          <w:sz w:val="24"/>
          <w:szCs w:val="24"/>
        </w:rPr>
        <w:t>）</w:t>
      </w:r>
      <w:r>
        <w:rPr>
          <w:rFonts w:hint="eastAsia" w:ascii="Times New Roman" w:hAnsi="Times New Roman" w:eastAsia="宋体" w:cs="宋体"/>
          <w:b w:val="0"/>
          <w:bCs/>
          <w:color w:val="auto"/>
          <w:sz w:val="24"/>
          <w:szCs w:val="24"/>
          <w:lang w:eastAsia="zh-CN"/>
        </w:rPr>
        <w:t>根据灵璧县土地利用规划图（</w:t>
      </w:r>
      <w:r>
        <w:rPr>
          <w:rFonts w:hint="eastAsia" w:ascii="Times New Roman" w:hAnsi="Times New Roman" w:eastAsia="宋体" w:cs="宋体"/>
          <w:b w:val="0"/>
          <w:bCs/>
          <w:color w:val="auto"/>
          <w:sz w:val="24"/>
          <w:szCs w:val="24"/>
          <w:lang w:val="en-US" w:eastAsia="zh-CN"/>
        </w:rPr>
        <w:t>2006-2020年</w:t>
      </w:r>
      <w:r>
        <w:rPr>
          <w:rFonts w:hint="eastAsia" w:ascii="Times New Roman" w:hAnsi="Times New Roman" w:eastAsia="宋体" w:cs="宋体"/>
          <w:b w:val="0"/>
          <w:bCs/>
          <w:color w:val="auto"/>
          <w:sz w:val="24"/>
          <w:szCs w:val="24"/>
          <w:lang w:eastAsia="zh-CN"/>
        </w:rPr>
        <w:t>）可知，项目用地为采矿用地</w:t>
      </w:r>
      <w:r>
        <w:rPr>
          <w:rFonts w:hint="eastAsia" w:ascii="Times New Roman" w:hAnsi="Times New Roman" w:eastAsia="宋体" w:cs="宋体"/>
          <w:b w:val="0"/>
          <w:bCs/>
          <w:color w:val="auto"/>
          <w:sz w:val="24"/>
          <w:szCs w:val="24"/>
        </w:rPr>
        <w:t>，项目用地符合城市总体规划。</w:t>
      </w:r>
    </w:p>
    <w:p>
      <w:pPr>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Times New Roman" w:hAnsi="Times New Roman" w:eastAsia="宋体" w:cs="宋体"/>
          <w:b w:val="0"/>
          <w:bCs/>
          <w:color w:val="auto"/>
          <w:sz w:val="24"/>
          <w:szCs w:val="24"/>
          <w:lang w:val="en-US" w:eastAsia="zh-CN"/>
        </w:rPr>
      </w:pPr>
      <w:r>
        <w:rPr>
          <w:rFonts w:hint="eastAsia" w:ascii="Times New Roman" w:hAnsi="Times New Roman" w:eastAsia="宋体" w:cs="宋体"/>
          <w:b w:val="0"/>
          <w:bCs/>
          <w:color w:val="auto"/>
          <w:sz w:val="24"/>
          <w:szCs w:val="24"/>
          <w:lang w:eastAsia="zh-CN"/>
        </w:rPr>
        <w:t>（</w:t>
      </w:r>
      <w:r>
        <w:rPr>
          <w:rFonts w:hint="eastAsia" w:ascii="Times New Roman" w:hAnsi="Times New Roman" w:eastAsia="宋体" w:cs="宋体"/>
          <w:b w:val="0"/>
          <w:bCs/>
          <w:color w:val="auto"/>
          <w:sz w:val="24"/>
          <w:szCs w:val="24"/>
          <w:lang w:val="en-US" w:eastAsia="zh-CN"/>
        </w:rPr>
        <w:t>3</w:t>
      </w:r>
      <w:r>
        <w:rPr>
          <w:rFonts w:hint="eastAsia" w:ascii="Times New Roman" w:hAnsi="Times New Roman" w:eastAsia="宋体" w:cs="宋体"/>
          <w:b w:val="0"/>
          <w:bCs/>
          <w:color w:val="auto"/>
          <w:sz w:val="24"/>
          <w:szCs w:val="24"/>
          <w:lang w:eastAsia="zh-CN"/>
        </w:rPr>
        <w:t>）建设项目选址位于</w:t>
      </w:r>
      <w:r>
        <w:rPr>
          <w:rFonts w:hint="eastAsia" w:ascii="Times New Roman" w:hAnsi="Times New Roman" w:eastAsia="宋体" w:cs="宋体"/>
          <w:color w:val="auto"/>
          <w:sz w:val="24"/>
          <w:lang w:eastAsia="zh-CN"/>
        </w:rPr>
        <w:t>安徽省宿州市灵璧县三山矿坑，</w:t>
      </w:r>
      <w:r>
        <w:rPr>
          <w:rFonts w:hint="eastAsia" w:ascii="Times New Roman" w:hAnsi="Times New Roman" w:eastAsia="宋体" w:cs="宋体"/>
          <w:b w:val="0"/>
          <w:bCs/>
          <w:color w:val="auto"/>
          <w:sz w:val="24"/>
          <w:szCs w:val="24"/>
          <w:lang w:eastAsia="zh-CN"/>
        </w:rPr>
        <w:t>对比土地利用规划和安徽省生态红线规划及宿州市生态保护红线图，本项目所在区域范围不涉及宿州市生态红线范围，不违背安徽省生态红线保护相关要求。</w:t>
      </w:r>
      <w:r>
        <w:rPr>
          <w:rFonts w:hint="eastAsia" w:ascii="Times New Roman" w:hAnsi="Times New Roman" w:eastAsia="宋体"/>
          <w:color w:val="auto"/>
          <w:sz w:val="24"/>
          <w:szCs w:val="24"/>
          <w:lang w:val="en-US" w:eastAsia="zh-CN"/>
        </w:rPr>
        <w:t>本项目为一般工业固体废物处置项目，</w:t>
      </w:r>
      <w:r>
        <w:rPr>
          <w:rFonts w:hint="eastAsia" w:ascii="Times New Roman" w:hAnsi="Times New Roman" w:eastAsia="宋体" w:cs="宋体"/>
          <w:color w:val="auto"/>
          <w:sz w:val="24"/>
          <w:szCs w:val="24"/>
        </w:rPr>
        <w:t>属于环境治理工程，根据《产业结构调整指导目录（201</w:t>
      </w:r>
      <w:r>
        <w:rPr>
          <w:rFonts w:hint="eastAsia" w:ascii="Times New Roman" w:hAnsi="Times New Roman" w:eastAsia="宋体" w:cs="宋体"/>
          <w:color w:val="auto"/>
          <w:sz w:val="24"/>
          <w:szCs w:val="24"/>
          <w:lang w:val="en-US" w:eastAsia="zh-CN"/>
        </w:rPr>
        <w:t>9年本</w:t>
      </w:r>
      <w:r>
        <w:rPr>
          <w:rFonts w:hint="eastAsia" w:ascii="Times New Roman" w:hAnsi="Times New Roman" w:eastAsia="宋体" w:cs="宋体"/>
          <w:color w:val="auto"/>
          <w:sz w:val="24"/>
          <w:szCs w:val="24"/>
        </w:rPr>
        <w:t>）中鼓励类第三十八条“环境保护与资源节约综合利用”第二十款“城镇垃圾及其他固体废弃物减量化、资源化、无害化处理和综合利用工程”之规定，项目属于鼓励类。</w:t>
      </w:r>
      <w:r>
        <w:rPr>
          <w:rFonts w:hint="eastAsia" w:ascii="Times New Roman" w:hAnsi="Times New Roman" w:eastAsia="宋体"/>
          <w:color w:val="auto"/>
          <w:sz w:val="24"/>
          <w:szCs w:val="24"/>
          <w:lang w:val="en-US" w:eastAsia="zh-CN"/>
        </w:rPr>
        <w:t>建设项目符合国家和地方产业政策，选址符合区域总体规划、环保规划，满足生态保护、环境质量等要求。</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outlineLvl w:val="9"/>
        <w:rPr>
          <w:rFonts w:hint="eastAsia" w:ascii="Times New Roman" w:hAnsi="Times New Roman" w:eastAsia="宋体" w:cs="宋体"/>
          <w:b w:val="0"/>
          <w:bCs w:val="0"/>
          <w:color w:val="auto"/>
          <w:sz w:val="24"/>
          <w:szCs w:val="24"/>
        </w:rPr>
      </w:pPr>
      <w:bookmarkStart w:id="88" w:name="_Toc405804002"/>
      <w:bookmarkStart w:id="89" w:name="_Toc2139"/>
      <w:bookmarkStart w:id="90" w:name="_Toc26998"/>
      <w:r>
        <w:rPr>
          <w:rFonts w:hint="eastAsia" w:ascii="Times New Roman" w:hAnsi="Times New Roman" w:eastAsia="宋体" w:cs="宋体"/>
          <w:b w:val="0"/>
          <w:bCs w:val="0"/>
          <w:color w:val="auto"/>
          <w:sz w:val="24"/>
          <w:szCs w:val="24"/>
          <w:lang w:eastAsia="zh-CN"/>
        </w:rPr>
        <w:t>三、</w:t>
      </w:r>
      <w:r>
        <w:rPr>
          <w:rFonts w:hint="eastAsia" w:ascii="Times New Roman" w:hAnsi="Times New Roman" w:eastAsia="宋体" w:cs="宋体"/>
          <w:b w:val="0"/>
          <w:bCs w:val="0"/>
          <w:color w:val="auto"/>
          <w:sz w:val="24"/>
          <w:szCs w:val="24"/>
        </w:rPr>
        <w:t>环境质量现状结论</w:t>
      </w:r>
      <w:bookmarkEnd w:id="87"/>
      <w:bookmarkEnd w:id="88"/>
      <w:bookmarkEnd w:id="89"/>
      <w:bookmarkEnd w:id="90"/>
    </w:p>
    <w:p>
      <w:pPr>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Times New Roman" w:hAnsi="Times New Roman" w:eastAsia="宋体" w:cs="宋体"/>
          <w:snapToGrid w:val="0"/>
          <w:color w:val="auto"/>
          <w:sz w:val="24"/>
        </w:rPr>
      </w:pPr>
      <w:r>
        <w:rPr>
          <w:rFonts w:hint="eastAsia" w:ascii="Times New Roman" w:hAnsi="Times New Roman" w:eastAsia="宋体" w:cs="宋体"/>
          <w:snapToGrid w:val="0"/>
          <w:color w:val="auto"/>
          <w:sz w:val="24"/>
        </w:rPr>
        <w:t>（1）环境空气质量现状</w:t>
      </w:r>
    </w:p>
    <w:p>
      <w:pPr>
        <w:keepNext w:val="0"/>
        <w:keepLines w:val="0"/>
        <w:pageBreakBefore w:val="0"/>
        <w:widowControl/>
        <w:suppressLineNumbers w:val="0"/>
        <w:kinsoku/>
        <w:wordWrap/>
        <w:overflowPunct/>
        <w:topLinePunct w:val="0"/>
        <w:autoSpaceDE/>
        <w:autoSpaceDN/>
        <w:bidi w:val="0"/>
        <w:adjustRightInd/>
        <w:snapToGrid/>
        <w:spacing w:line="360" w:lineRule="auto"/>
        <w:ind w:left="0" w:firstLine="480" w:firstLineChars="200"/>
        <w:jc w:val="left"/>
        <w:textAlignment w:val="auto"/>
        <w:rPr>
          <w:rFonts w:ascii="Times New Roman" w:hAnsi="Times New Roman"/>
          <w:color w:val="auto"/>
          <w:sz w:val="24"/>
          <w:szCs w:val="24"/>
          <w:shd w:val="clear" w:color="auto" w:fill="auto"/>
        </w:rPr>
      </w:pPr>
      <w:r>
        <w:rPr>
          <w:rFonts w:hint="default" w:ascii="Times New Roman" w:hAnsi="Times New Roman" w:eastAsia="宋体" w:cs="Times New Roman"/>
          <w:color w:val="auto"/>
          <w:sz w:val="24"/>
        </w:rPr>
        <w:t>由</w:t>
      </w:r>
      <w:r>
        <w:rPr>
          <w:rFonts w:hint="eastAsia" w:ascii="Times New Roman" w:hAnsi="Times New Roman" w:eastAsia="宋体" w:cs="Times New Roman"/>
          <w:color w:val="auto"/>
          <w:sz w:val="24"/>
          <w:lang w:eastAsia="zh-CN"/>
        </w:rPr>
        <w:t>宿州市</w:t>
      </w:r>
      <w:r>
        <w:rPr>
          <w:rFonts w:hint="default" w:ascii="Times New Roman" w:hAnsi="Times New Roman" w:eastAsia="宋体" w:cs="Times New Roman"/>
          <w:color w:val="auto"/>
          <w:sz w:val="24"/>
        </w:rPr>
        <w:t>人民政府网站公开的</w:t>
      </w:r>
      <w:r>
        <w:rPr>
          <w:rFonts w:hint="eastAsia" w:ascii="Times New Roman" w:hAnsi="Times New Roman" w:eastAsia="宋体" w:cs="Times New Roman"/>
          <w:color w:val="auto"/>
          <w:sz w:val="24"/>
          <w:lang w:val="en-US" w:eastAsia="zh-CN"/>
        </w:rPr>
        <w:t>2018年</w:t>
      </w:r>
      <w:r>
        <w:rPr>
          <w:rFonts w:hint="default" w:ascii="Times New Roman" w:hAnsi="Times New Roman" w:eastAsia="宋体" w:cs="Times New Roman"/>
          <w:color w:val="auto"/>
          <w:sz w:val="24"/>
        </w:rPr>
        <w:t>环境质量公报可知，</w:t>
      </w:r>
      <w:r>
        <w:rPr>
          <w:rFonts w:hint="eastAsia" w:ascii="Times New Roman" w:hAnsi="Times New Roman" w:eastAsia="宋体" w:cs="宋体"/>
          <w:color w:val="auto"/>
          <w:kern w:val="0"/>
          <w:sz w:val="24"/>
          <w:szCs w:val="24"/>
          <w:shd w:val="clear" w:color="auto" w:fill="auto"/>
          <w:lang w:val="en-US" w:eastAsia="zh-CN" w:bidi="ar"/>
        </w:rPr>
        <w:t>宿州市城区空气质量较</w:t>
      </w:r>
      <w:r>
        <w:rPr>
          <w:rFonts w:hint="default" w:ascii="Times New Roman" w:hAnsi="Times New Roman" w:eastAsia="TimesNewRomanPSMT" w:cs="TimesNewRomanPSMT"/>
          <w:color w:val="auto"/>
          <w:kern w:val="0"/>
          <w:sz w:val="24"/>
          <w:szCs w:val="24"/>
          <w:shd w:val="clear" w:color="auto" w:fill="auto"/>
          <w:lang w:val="en-US" w:eastAsia="zh-CN" w:bidi="ar"/>
        </w:rPr>
        <w:t>2017</w:t>
      </w:r>
      <w:r>
        <w:rPr>
          <w:rFonts w:hint="eastAsia" w:ascii="Times New Roman" w:hAnsi="Times New Roman" w:eastAsia="宋体" w:cs="宋体"/>
          <w:color w:val="auto"/>
          <w:kern w:val="0"/>
          <w:sz w:val="24"/>
          <w:szCs w:val="24"/>
          <w:shd w:val="clear" w:color="auto" w:fill="auto"/>
          <w:lang w:val="en-US" w:eastAsia="zh-CN" w:bidi="ar"/>
        </w:rPr>
        <w:t>年有所好转。全年空气优良天数为</w:t>
      </w:r>
      <w:r>
        <w:rPr>
          <w:rFonts w:hint="default" w:ascii="Times New Roman" w:hAnsi="Times New Roman" w:eastAsia="TimesNewRomanPSMT" w:cs="TimesNewRomanPSMT"/>
          <w:color w:val="auto"/>
          <w:kern w:val="0"/>
          <w:sz w:val="24"/>
          <w:szCs w:val="24"/>
          <w:shd w:val="clear" w:color="auto" w:fill="auto"/>
          <w:lang w:val="en-US" w:eastAsia="zh-CN" w:bidi="ar"/>
        </w:rPr>
        <w:t>215</w:t>
      </w:r>
      <w:r>
        <w:rPr>
          <w:rFonts w:hint="eastAsia" w:ascii="Times New Roman" w:hAnsi="Times New Roman" w:eastAsia="宋体" w:cs="宋体"/>
          <w:color w:val="auto"/>
          <w:kern w:val="0"/>
          <w:sz w:val="24"/>
          <w:szCs w:val="24"/>
          <w:shd w:val="clear" w:color="auto" w:fill="auto"/>
          <w:lang w:val="en-US" w:eastAsia="zh-CN" w:bidi="ar"/>
        </w:rPr>
        <w:t>天，优良率为</w:t>
      </w:r>
      <w:r>
        <w:rPr>
          <w:rFonts w:hint="default" w:ascii="Times New Roman" w:hAnsi="Times New Roman" w:eastAsia="TimesNewRomanPSMT" w:cs="TimesNewRomanPSMT"/>
          <w:color w:val="auto"/>
          <w:kern w:val="0"/>
          <w:sz w:val="24"/>
          <w:szCs w:val="24"/>
          <w:shd w:val="clear" w:color="auto" w:fill="auto"/>
          <w:lang w:val="en-US" w:eastAsia="zh-CN" w:bidi="ar"/>
        </w:rPr>
        <w:t>58.9%</w:t>
      </w:r>
      <w:r>
        <w:rPr>
          <w:rFonts w:hint="eastAsia" w:ascii="Times New Roman" w:hAnsi="Times New Roman" w:eastAsia="宋体" w:cs="宋体"/>
          <w:color w:val="auto"/>
          <w:kern w:val="0"/>
          <w:sz w:val="24"/>
          <w:szCs w:val="24"/>
          <w:shd w:val="clear" w:color="auto" w:fill="auto"/>
          <w:lang w:val="en-US" w:eastAsia="zh-CN" w:bidi="ar"/>
        </w:rPr>
        <w:t>。污染天数</w:t>
      </w:r>
      <w:r>
        <w:rPr>
          <w:rFonts w:hint="default" w:ascii="Times New Roman" w:hAnsi="Times New Roman" w:eastAsia="TimesNewRomanPSMT" w:cs="TimesNewRomanPSMT"/>
          <w:color w:val="auto"/>
          <w:kern w:val="0"/>
          <w:sz w:val="24"/>
          <w:szCs w:val="24"/>
          <w:shd w:val="clear" w:color="auto" w:fill="auto"/>
          <w:lang w:val="en-US" w:eastAsia="zh-CN" w:bidi="ar"/>
        </w:rPr>
        <w:t>150</w:t>
      </w:r>
      <w:r>
        <w:rPr>
          <w:rFonts w:hint="eastAsia" w:ascii="Times New Roman" w:hAnsi="Times New Roman" w:eastAsia="宋体" w:cs="宋体"/>
          <w:color w:val="auto"/>
          <w:kern w:val="0"/>
          <w:sz w:val="24"/>
          <w:szCs w:val="24"/>
          <w:shd w:val="clear" w:color="auto" w:fill="auto"/>
          <w:lang w:val="en-US" w:eastAsia="zh-CN" w:bidi="ar"/>
        </w:rPr>
        <w:t>天，其中轻度污染</w:t>
      </w:r>
      <w:r>
        <w:rPr>
          <w:rFonts w:hint="default" w:ascii="Times New Roman" w:hAnsi="Times New Roman" w:eastAsia="TimesNewRomanPSMT" w:cs="TimesNewRomanPSMT"/>
          <w:color w:val="auto"/>
          <w:kern w:val="0"/>
          <w:sz w:val="24"/>
          <w:szCs w:val="24"/>
          <w:shd w:val="clear" w:color="auto" w:fill="auto"/>
          <w:lang w:val="en-US" w:eastAsia="zh-CN" w:bidi="ar"/>
        </w:rPr>
        <w:t>109</w:t>
      </w:r>
      <w:r>
        <w:rPr>
          <w:rFonts w:hint="eastAsia" w:ascii="Times New Roman" w:hAnsi="Times New Roman" w:eastAsia="宋体" w:cs="宋体"/>
          <w:color w:val="auto"/>
          <w:kern w:val="0"/>
          <w:sz w:val="24"/>
          <w:szCs w:val="24"/>
          <w:shd w:val="clear" w:color="auto" w:fill="auto"/>
          <w:lang w:val="en-US" w:eastAsia="zh-CN" w:bidi="ar"/>
        </w:rPr>
        <w:t>天，中度污染</w:t>
      </w:r>
      <w:r>
        <w:rPr>
          <w:rFonts w:hint="default" w:ascii="Times New Roman" w:hAnsi="Times New Roman" w:eastAsia="TimesNewRomanPSMT" w:cs="TimesNewRomanPSMT"/>
          <w:color w:val="auto"/>
          <w:kern w:val="0"/>
          <w:sz w:val="24"/>
          <w:szCs w:val="24"/>
          <w:shd w:val="clear" w:color="auto" w:fill="auto"/>
          <w:lang w:val="en-US" w:eastAsia="zh-CN" w:bidi="ar"/>
        </w:rPr>
        <w:t>28</w:t>
      </w:r>
      <w:r>
        <w:rPr>
          <w:rFonts w:hint="eastAsia" w:ascii="Times New Roman" w:hAnsi="Times New Roman" w:eastAsia="宋体" w:cs="宋体"/>
          <w:color w:val="auto"/>
          <w:kern w:val="0"/>
          <w:sz w:val="24"/>
          <w:szCs w:val="24"/>
          <w:shd w:val="clear" w:color="auto" w:fill="auto"/>
          <w:lang w:val="en-US" w:eastAsia="zh-CN" w:bidi="ar"/>
        </w:rPr>
        <w:t>天，重度污染</w:t>
      </w:r>
      <w:r>
        <w:rPr>
          <w:rFonts w:hint="default" w:ascii="Times New Roman" w:hAnsi="Times New Roman" w:eastAsia="TimesNewRomanPSMT" w:cs="TimesNewRomanPSMT"/>
          <w:color w:val="auto"/>
          <w:kern w:val="0"/>
          <w:sz w:val="24"/>
          <w:szCs w:val="24"/>
          <w:shd w:val="clear" w:color="auto" w:fill="auto"/>
          <w:lang w:val="en-US" w:eastAsia="zh-CN" w:bidi="ar"/>
        </w:rPr>
        <w:t>13</w:t>
      </w:r>
      <w:r>
        <w:rPr>
          <w:rFonts w:hint="eastAsia" w:ascii="Times New Roman" w:hAnsi="Times New Roman" w:eastAsia="宋体" w:cs="宋体"/>
          <w:color w:val="auto"/>
          <w:kern w:val="0"/>
          <w:sz w:val="24"/>
          <w:szCs w:val="24"/>
          <w:shd w:val="clear" w:color="auto" w:fill="auto"/>
          <w:lang w:val="en-US" w:eastAsia="zh-CN" w:bidi="ar"/>
        </w:rPr>
        <w:t>天。全市无酸雨。宿州市主要污染物</w:t>
      </w:r>
      <w:r>
        <w:rPr>
          <w:rFonts w:hint="default" w:ascii="Times New Roman" w:hAnsi="Times New Roman" w:eastAsia="TimesNewRomanPSMT" w:cs="TimesNewRomanPSMT"/>
          <w:color w:val="auto"/>
          <w:kern w:val="0"/>
          <w:sz w:val="24"/>
          <w:szCs w:val="24"/>
          <w:shd w:val="clear" w:color="auto" w:fill="auto"/>
          <w:lang w:val="en-US" w:eastAsia="zh-CN" w:bidi="ar"/>
        </w:rPr>
        <w:t>PM</w:t>
      </w:r>
      <w:r>
        <w:rPr>
          <w:rFonts w:hint="default" w:ascii="Times New Roman" w:hAnsi="Times New Roman" w:eastAsia="TimesNewRomanPSMT" w:cs="TimesNewRomanPSMT"/>
          <w:color w:val="auto"/>
          <w:kern w:val="0"/>
          <w:sz w:val="24"/>
          <w:szCs w:val="24"/>
          <w:shd w:val="clear" w:color="auto" w:fill="auto"/>
          <w:vertAlign w:val="subscript"/>
          <w:lang w:val="en-US" w:eastAsia="zh-CN" w:bidi="ar"/>
        </w:rPr>
        <w:t>2.5</w:t>
      </w:r>
      <w:r>
        <w:rPr>
          <w:rFonts w:hint="eastAsia" w:ascii="Times New Roman" w:hAnsi="Times New Roman" w:eastAsia="宋体" w:cs="宋体"/>
          <w:color w:val="auto"/>
          <w:kern w:val="0"/>
          <w:sz w:val="24"/>
          <w:szCs w:val="24"/>
          <w:shd w:val="clear" w:color="auto" w:fill="auto"/>
          <w:lang w:val="en-US" w:eastAsia="zh-CN" w:bidi="ar"/>
        </w:rPr>
        <w:t>年累计浓度</w:t>
      </w:r>
      <w:r>
        <w:rPr>
          <w:rFonts w:hint="default" w:ascii="Times New Roman" w:hAnsi="Times New Roman" w:eastAsia="TimesNewRomanPSMT" w:cs="TimesNewRomanPSMT"/>
          <w:color w:val="auto"/>
          <w:kern w:val="0"/>
          <w:sz w:val="24"/>
          <w:szCs w:val="24"/>
          <w:shd w:val="clear" w:color="auto" w:fill="auto"/>
          <w:lang w:val="en-US" w:eastAsia="zh-CN" w:bidi="ar"/>
        </w:rPr>
        <w:t>61.7ug/m</w:t>
      </w:r>
      <w:r>
        <w:rPr>
          <w:rFonts w:hint="default" w:ascii="Times New Roman" w:hAnsi="Times New Roman" w:eastAsia="TimesNewRomanPSMT" w:cs="TimesNewRomanPSMT"/>
          <w:color w:val="auto"/>
          <w:kern w:val="0"/>
          <w:sz w:val="24"/>
          <w:szCs w:val="24"/>
          <w:shd w:val="clear" w:color="auto" w:fill="auto"/>
          <w:vertAlign w:val="superscript"/>
          <w:lang w:val="en-US" w:eastAsia="zh-CN" w:bidi="ar"/>
        </w:rPr>
        <w:t>3</w:t>
      </w:r>
      <w:r>
        <w:rPr>
          <w:rFonts w:hint="eastAsia" w:ascii="Times New Roman" w:hAnsi="Times New Roman" w:eastAsia="宋体" w:cs="宋体"/>
          <w:color w:val="auto"/>
          <w:kern w:val="0"/>
          <w:sz w:val="24"/>
          <w:szCs w:val="24"/>
          <w:shd w:val="clear" w:color="auto" w:fill="auto"/>
          <w:lang w:val="en-US" w:eastAsia="zh-CN" w:bidi="ar"/>
        </w:rPr>
        <w:t>（标准浓度限值</w:t>
      </w:r>
      <w:r>
        <w:rPr>
          <w:rFonts w:hint="default" w:ascii="Times New Roman" w:hAnsi="Times New Roman" w:eastAsia="TimesNewRomanPSMT" w:cs="TimesNewRomanPSMT"/>
          <w:color w:val="auto"/>
          <w:kern w:val="0"/>
          <w:sz w:val="24"/>
          <w:szCs w:val="24"/>
          <w:shd w:val="clear" w:color="auto" w:fill="auto"/>
          <w:lang w:val="en-US" w:eastAsia="zh-CN" w:bidi="ar"/>
        </w:rPr>
        <w:t>35ug/m</w:t>
      </w:r>
      <w:r>
        <w:rPr>
          <w:rFonts w:hint="default" w:ascii="Times New Roman" w:hAnsi="Times New Roman" w:eastAsia="TimesNewRomanPSMT" w:cs="TimesNewRomanPSMT"/>
          <w:color w:val="auto"/>
          <w:kern w:val="0"/>
          <w:sz w:val="24"/>
          <w:szCs w:val="24"/>
          <w:shd w:val="clear" w:color="auto" w:fill="auto"/>
          <w:vertAlign w:val="superscript"/>
          <w:lang w:val="en-US" w:eastAsia="zh-CN" w:bidi="ar"/>
        </w:rPr>
        <w:t>3</w:t>
      </w:r>
      <w:r>
        <w:rPr>
          <w:rFonts w:hint="eastAsia" w:ascii="Times New Roman" w:hAnsi="Times New Roman" w:eastAsia="宋体" w:cs="宋体"/>
          <w:color w:val="auto"/>
          <w:kern w:val="0"/>
          <w:sz w:val="24"/>
          <w:szCs w:val="24"/>
          <w:shd w:val="clear" w:color="auto" w:fill="auto"/>
          <w:lang w:val="en-US" w:eastAsia="zh-CN" w:bidi="ar"/>
        </w:rPr>
        <w:t>）、</w:t>
      </w:r>
      <w:r>
        <w:rPr>
          <w:rFonts w:hint="default" w:ascii="Times New Roman" w:hAnsi="Times New Roman" w:eastAsia="TimesNewRomanPSMT" w:cs="TimesNewRomanPSMT"/>
          <w:color w:val="auto"/>
          <w:kern w:val="0"/>
          <w:sz w:val="24"/>
          <w:szCs w:val="24"/>
          <w:shd w:val="clear" w:color="auto" w:fill="auto"/>
          <w:lang w:val="en-US" w:eastAsia="zh-CN" w:bidi="ar"/>
        </w:rPr>
        <w:t>PM</w:t>
      </w:r>
      <w:r>
        <w:rPr>
          <w:rFonts w:hint="default" w:ascii="Times New Roman" w:hAnsi="Times New Roman" w:eastAsia="TimesNewRomanPSMT" w:cs="TimesNewRomanPSMT"/>
          <w:color w:val="auto"/>
          <w:kern w:val="0"/>
          <w:sz w:val="24"/>
          <w:szCs w:val="24"/>
          <w:shd w:val="clear" w:color="auto" w:fill="auto"/>
          <w:vertAlign w:val="subscript"/>
          <w:lang w:val="en-US" w:eastAsia="zh-CN" w:bidi="ar"/>
        </w:rPr>
        <w:t>10</w:t>
      </w:r>
      <w:r>
        <w:rPr>
          <w:rFonts w:hint="eastAsia" w:ascii="Times New Roman" w:hAnsi="Times New Roman" w:eastAsia="宋体" w:cs="宋体"/>
          <w:color w:val="auto"/>
          <w:kern w:val="0"/>
          <w:sz w:val="24"/>
          <w:szCs w:val="24"/>
          <w:shd w:val="clear" w:color="auto" w:fill="auto"/>
          <w:lang w:val="en-US" w:eastAsia="zh-CN" w:bidi="ar"/>
        </w:rPr>
        <w:t>年累计浓度</w:t>
      </w:r>
      <w:r>
        <w:rPr>
          <w:rFonts w:hint="default" w:ascii="Times New Roman" w:hAnsi="Times New Roman" w:eastAsia="TimesNewRomanPSMT" w:cs="TimesNewRomanPSMT"/>
          <w:color w:val="auto"/>
          <w:kern w:val="0"/>
          <w:sz w:val="24"/>
          <w:szCs w:val="24"/>
          <w:shd w:val="clear" w:color="auto" w:fill="auto"/>
          <w:lang w:val="en-US" w:eastAsia="zh-CN" w:bidi="ar"/>
        </w:rPr>
        <w:t>100.6ug/m</w:t>
      </w:r>
      <w:r>
        <w:rPr>
          <w:rFonts w:hint="default" w:ascii="Times New Roman" w:hAnsi="Times New Roman" w:eastAsia="TimesNewRomanPSMT" w:cs="TimesNewRomanPSMT"/>
          <w:color w:val="auto"/>
          <w:kern w:val="0"/>
          <w:sz w:val="24"/>
          <w:szCs w:val="24"/>
          <w:shd w:val="clear" w:color="auto" w:fill="auto"/>
          <w:vertAlign w:val="superscript"/>
          <w:lang w:val="en-US" w:eastAsia="zh-CN" w:bidi="ar"/>
        </w:rPr>
        <w:t>3</w:t>
      </w:r>
      <w:r>
        <w:rPr>
          <w:rFonts w:hint="eastAsia" w:ascii="Times New Roman" w:hAnsi="Times New Roman" w:eastAsia="宋体" w:cs="宋体"/>
          <w:color w:val="auto"/>
          <w:kern w:val="0"/>
          <w:sz w:val="24"/>
          <w:szCs w:val="24"/>
          <w:shd w:val="clear" w:color="auto" w:fill="auto"/>
          <w:lang w:val="en-US" w:eastAsia="zh-CN" w:bidi="ar"/>
        </w:rPr>
        <w:t>（标准浓度限值</w:t>
      </w:r>
      <w:r>
        <w:rPr>
          <w:rFonts w:hint="default" w:ascii="Times New Roman" w:hAnsi="Times New Roman" w:eastAsia="TimesNewRomanPSMT" w:cs="TimesNewRomanPSMT"/>
          <w:color w:val="auto"/>
          <w:kern w:val="0"/>
          <w:sz w:val="24"/>
          <w:szCs w:val="24"/>
          <w:shd w:val="clear" w:color="auto" w:fill="auto"/>
          <w:lang w:val="en-US" w:eastAsia="zh-CN" w:bidi="ar"/>
        </w:rPr>
        <w:t>70ug/m</w:t>
      </w:r>
      <w:r>
        <w:rPr>
          <w:rFonts w:hint="default" w:ascii="Times New Roman" w:hAnsi="Times New Roman" w:eastAsia="TimesNewRomanPSMT" w:cs="TimesNewRomanPSMT"/>
          <w:color w:val="auto"/>
          <w:kern w:val="0"/>
          <w:sz w:val="24"/>
          <w:szCs w:val="24"/>
          <w:shd w:val="clear" w:color="auto" w:fill="auto"/>
          <w:vertAlign w:val="superscript"/>
          <w:lang w:val="en-US" w:eastAsia="zh-CN" w:bidi="ar"/>
        </w:rPr>
        <w:t>3</w:t>
      </w:r>
      <w:r>
        <w:rPr>
          <w:rFonts w:hint="eastAsia" w:ascii="Times New Roman" w:hAnsi="Times New Roman" w:eastAsia="宋体" w:cs="宋体"/>
          <w:color w:val="auto"/>
          <w:kern w:val="0"/>
          <w:sz w:val="24"/>
          <w:szCs w:val="24"/>
          <w:shd w:val="clear" w:color="auto" w:fill="auto"/>
          <w:lang w:val="en-US" w:eastAsia="zh-CN" w:bidi="ar"/>
        </w:rPr>
        <w:t>）。结果表明，项目所在区域环境空气质量中</w:t>
      </w:r>
      <w:r>
        <w:rPr>
          <w:rFonts w:hint="default" w:ascii="Times New Roman" w:hAnsi="Times New Roman" w:eastAsia="TimesNewRomanPSMT" w:cs="TimesNewRomanPSMT"/>
          <w:color w:val="auto"/>
          <w:kern w:val="0"/>
          <w:sz w:val="24"/>
          <w:szCs w:val="24"/>
          <w:shd w:val="clear" w:color="auto" w:fill="auto"/>
          <w:lang w:val="en-US" w:eastAsia="zh-CN" w:bidi="ar"/>
        </w:rPr>
        <w:t>PM</w:t>
      </w:r>
      <w:r>
        <w:rPr>
          <w:rFonts w:hint="default" w:ascii="Times New Roman" w:hAnsi="Times New Roman" w:eastAsia="TimesNewRomanPSMT" w:cs="TimesNewRomanPSMT"/>
          <w:color w:val="auto"/>
          <w:kern w:val="0"/>
          <w:sz w:val="24"/>
          <w:szCs w:val="24"/>
          <w:shd w:val="clear" w:color="auto" w:fill="auto"/>
          <w:vertAlign w:val="subscript"/>
          <w:lang w:val="en-US" w:eastAsia="zh-CN" w:bidi="ar"/>
        </w:rPr>
        <w:t>2.5</w:t>
      </w:r>
      <w:r>
        <w:rPr>
          <w:rFonts w:hint="eastAsia" w:ascii="Times New Roman" w:hAnsi="Times New Roman" w:eastAsia="宋体" w:cs="宋体"/>
          <w:color w:val="auto"/>
          <w:kern w:val="0"/>
          <w:sz w:val="24"/>
          <w:szCs w:val="24"/>
          <w:shd w:val="clear" w:color="auto" w:fill="auto"/>
          <w:lang w:val="en-US" w:eastAsia="zh-CN" w:bidi="ar"/>
        </w:rPr>
        <w:t>、</w:t>
      </w:r>
      <w:r>
        <w:rPr>
          <w:rFonts w:hint="default" w:ascii="Times New Roman" w:hAnsi="Times New Roman" w:eastAsia="TimesNewRomanPSMT" w:cs="TimesNewRomanPSMT"/>
          <w:color w:val="auto"/>
          <w:kern w:val="0"/>
          <w:sz w:val="24"/>
          <w:szCs w:val="24"/>
          <w:shd w:val="clear" w:color="auto" w:fill="auto"/>
          <w:lang w:val="en-US" w:eastAsia="zh-CN" w:bidi="ar"/>
        </w:rPr>
        <w:t>PM</w:t>
      </w:r>
      <w:r>
        <w:rPr>
          <w:rFonts w:hint="default" w:ascii="Times New Roman" w:hAnsi="Times New Roman" w:eastAsia="TimesNewRomanPSMT" w:cs="TimesNewRomanPSMT"/>
          <w:color w:val="auto"/>
          <w:kern w:val="0"/>
          <w:sz w:val="24"/>
          <w:szCs w:val="24"/>
          <w:shd w:val="clear" w:color="auto" w:fill="auto"/>
          <w:vertAlign w:val="subscript"/>
          <w:lang w:val="en-US" w:eastAsia="zh-CN" w:bidi="ar"/>
        </w:rPr>
        <w:t>10</w:t>
      </w:r>
      <w:r>
        <w:rPr>
          <w:rFonts w:hint="eastAsia" w:ascii="Times New Roman" w:hAnsi="Times New Roman" w:eastAsia="宋体" w:cs="宋体"/>
          <w:color w:val="auto"/>
          <w:kern w:val="0"/>
          <w:sz w:val="24"/>
          <w:szCs w:val="24"/>
          <w:shd w:val="clear" w:color="auto" w:fill="auto"/>
          <w:lang w:val="en-US" w:eastAsia="zh-CN" w:bidi="ar"/>
        </w:rPr>
        <w:t>不满足《环境空气质量标准》（</w:t>
      </w:r>
      <w:r>
        <w:rPr>
          <w:rFonts w:hint="default" w:ascii="Times New Roman" w:hAnsi="Times New Roman" w:eastAsia="TimesNewRomanPSMT" w:cs="TimesNewRomanPSMT"/>
          <w:color w:val="auto"/>
          <w:kern w:val="0"/>
          <w:sz w:val="24"/>
          <w:szCs w:val="24"/>
          <w:shd w:val="clear" w:color="auto" w:fill="auto"/>
          <w:lang w:val="en-US" w:eastAsia="zh-CN" w:bidi="ar"/>
        </w:rPr>
        <w:t>GB3095-2012</w:t>
      </w:r>
      <w:r>
        <w:rPr>
          <w:rFonts w:hint="eastAsia" w:ascii="Times New Roman" w:hAnsi="Times New Roman" w:eastAsia="宋体" w:cs="宋体"/>
          <w:color w:val="auto"/>
          <w:kern w:val="0"/>
          <w:sz w:val="24"/>
          <w:szCs w:val="24"/>
          <w:shd w:val="clear" w:color="auto" w:fill="auto"/>
          <w:lang w:val="en-US" w:eastAsia="zh-CN" w:bidi="ar"/>
        </w:rPr>
        <w:t>）中的二级标准要求，项目所在区域为不达标区。</w:t>
      </w:r>
    </w:p>
    <w:p>
      <w:pPr>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Times New Roman" w:hAnsi="Times New Roman" w:eastAsia="宋体" w:cs="宋体"/>
          <w:b/>
          <w:bCs/>
          <w:color w:val="auto"/>
          <w:kern w:val="0"/>
          <w:sz w:val="30"/>
        </w:rPr>
      </w:pPr>
      <w:r>
        <w:rPr>
          <w:rFonts w:hint="default" w:ascii="Times New Roman" w:hAnsi="Times New Roman" w:eastAsia="宋体" w:cs="Times New Roman"/>
          <w:color w:val="auto"/>
          <w:sz w:val="24"/>
        </w:rPr>
        <w:t>补充监测数据表明：各测点基本污染物SO</w:t>
      </w:r>
      <w:r>
        <w:rPr>
          <w:rFonts w:hint="default" w:ascii="Times New Roman" w:hAnsi="Times New Roman" w:eastAsia="宋体" w:cs="Times New Roman"/>
          <w:color w:val="auto"/>
          <w:sz w:val="24"/>
          <w:vertAlign w:val="subscript"/>
        </w:rPr>
        <w:t>2</w:t>
      </w:r>
      <w:r>
        <w:rPr>
          <w:rFonts w:hint="default" w:ascii="Times New Roman" w:hAnsi="Times New Roman" w:eastAsia="宋体" w:cs="Times New Roman"/>
          <w:color w:val="auto"/>
          <w:sz w:val="24"/>
        </w:rPr>
        <w:t>、NO</w:t>
      </w:r>
      <w:r>
        <w:rPr>
          <w:rFonts w:hint="default" w:ascii="Times New Roman" w:hAnsi="Times New Roman" w:eastAsia="宋体" w:cs="Times New Roman"/>
          <w:color w:val="auto"/>
          <w:sz w:val="24"/>
          <w:vertAlign w:val="subscript"/>
        </w:rPr>
        <w:t>2</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PM</w:t>
      </w:r>
      <w:r>
        <w:rPr>
          <w:rFonts w:hint="default" w:ascii="Times New Roman" w:hAnsi="Times New Roman" w:eastAsia="宋体" w:cs="Times New Roman"/>
          <w:color w:val="auto"/>
          <w:sz w:val="24"/>
          <w:vertAlign w:val="subscript"/>
        </w:rPr>
        <w:t>10</w:t>
      </w:r>
      <w:r>
        <w:rPr>
          <w:rFonts w:hint="eastAsia" w:ascii="Times New Roman" w:hAnsi="Times New Roman" w:eastAsia="宋体" w:cs="Times New Roman"/>
          <w:color w:val="auto"/>
          <w:sz w:val="24"/>
          <w:lang w:eastAsia="zh-CN"/>
        </w:rPr>
        <w:t>日均值以及</w:t>
      </w:r>
      <w:r>
        <w:rPr>
          <w:rFonts w:hint="eastAsia" w:ascii="Times New Roman" w:hAnsi="Times New Roman" w:eastAsia="宋体" w:cs="Times New Roman"/>
          <w:color w:val="auto"/>
          <w:sz w:val="24"/>
          <w:lang w:val="en-US" w:eastAsia="zh-CN"/>
        </w:rPr>
        <w:t>CO、O</w:t>
      </w:r>
      <w:r>
        <w:rPr>
          <w:rFonts w:hint="eastAsia" w:ascii="Times New Roman" w:hAnsi="Times New Roman" w:eastAsia="宋体" w:cs="Times New Roman"/>
          <w:color w:val="auto"/>
          <w:sz w:val="24"/>
          <w:vertAlign w:val="subscript"/>
          <w:lang w:val="en-US" w:eastAsia="zh-CN"/>
        </w:rPr>
        <w:t>3</w:t>
      </w:r>
      <w:r>
        <w:rPr>
          <w:rFonts w:hint="eastAsia" w:ascii="Times New Roman" w:hAnsi="Times New Roman" w:eastAsia="宋体" w:cs="Times New Roman"/>
          <w:color w:val="auto"/>
          <w:sz w:val="24"/>
          <w:lang w:val="en-US" w:eastAsia="zh-CN"/>
        </w:rPr>
        <w:t>小时值</w:t>
      </w:r>
      <w:r>
        <w:rPr>
          <w:rFonts w:hint="default" w:ascii="Times New Roman" w:hAnsi="Times New Roman" w:eastAsia="宋体" w:cs="Times New Roman"/>
          <w:color w:val="auto"/>
          <w:sz w:val="24"/>
        </w:rPr>
        <w:t>均满足《环境空气质量标准》（GB3095-2012）二级标准</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val="en-US" w:eastAsia="zh-CN"/>
        </w:rPr>
        <w:t>PM</w:t>
      </w:r>
      <w:r>
        <w:rPr>
          <w:rFonts w:hint="eastAsia" w:ascii="Times New Roman" w:hAnsi="Times New Roman" w:eastAsia="宋体" w:cs="Times New Roman"/>
          <w:color w:val="auto"/>
          <w:sz w:val="24"/>
          <w:vertAlign w:val="subscript"/>
          <w:lang w:val="en-US" w:eastAsia="zh-CN"/>
        </w:rPr>
        <w:t>2.5</w:t>
      </w:r>
      <w:r>
        <w:rPr>
          <w:rFonts w:hint="default" w:ascii="Times New Roman" w:hAnsi="Times New Roman" w:eastAsia="宋体" w:cs="Times New Roman"/>
          <w:color w:val="auto"/>
          <w:sz w:val="24"/>
        </w:rPr>
        <w:t>日均值</w:t>
      </w:r>
      <w:r>
        <w:rPr>
          <w:rFonts w:hint="eastAsia" w:ascii="Times New Roman" w:hAnsi="Times New Roman" w:eastAsia="宋体" w:cs="Times New Roman"/>
          <w:color w:val="auto"/>
          <w:sz w:val="24"/>
          <w:lang w:eastAsia="zh-CN"/>
        </w:rPr>
        <w:t>不能满足</w:t>
      </w:r>
      <w:r>
        <w:rPr>
          <w:rFonts w:hint="default" w:ascii="Times New Roman" w:hAnsi="Times New Roman" w:eastAsia="宋体" w:cs="Times New Roman"/>
          <w:color w:val="auto"/>
          <w:sz w:val="24"/>
        </w:rPr>
        <w:t>《环境空气质量标准》（GB3095-2012）二级标准。</w:t>
      </w:r>
    </w:p>
    <w:p>
      <w:pPr>
        <w:pageBreakBefore w:val="0"/>
        <w:kinsoku/>
        <w:wordWrap/>
        <w:overflowPunct/>
        <w:topLinePunct w:val="0"/>
        <w:autoSpaceDE/>
        <w:autoSpaceDN/>
        <w:bidi w:val="0"/>
        <w:adjustRightInd/>
        <w:snapToGrid/>
        <w:spacing w:line="360" w:lineRule="auto"/>
        <w:ind w:left="0" w:firstLine="480" w:firstLineChars="200"/>
        <w:rPr>
          <w:rFonts w:hint="eastAsia" w:ascii="Times New Roman" w:hAnsi="Times New Roman" w:eastAsia="宋体" w:cs="宋体"/>
          <w:snapToGrid w:val="0"/>
          <w:color w:val="auto"/>
          <w:sz w:val="24"/>
        </w:rPr>
      </w:pPr>
      <w:r>
        <w:rPr>
          <w:rFonts w:hint="eastAsia" w:ascii="Times New Roman" w:hAnsi="Times New Roman" w:eastAsia="宋体" w:cs="宋体"/>
          <w:snapToGrid w:val="0"/>
          <w:color w:val="auto"/>
          <w:sz w:val="24"/>
        </w:rPr>
        <w:t>（2）声环境质量现状</w:t>
      </w:r>
    </w:p>
    <w:p>
      <w:pPr>
        <w:pageBreakBefore w:val="0"/>
        <w:kinsoku/>
        <w:wordWrap/>
        <w:overflowPunct/>
        <w:topLinePunct w:val="0"/>
        <w:autoSpaceDE/>
        <w:autoSpaceDN/>
        <w:bidi w:val="0"/>
        <w:adjustRightInd/>
        <w:snapToGrid/>
        <w:spacing w:line="360" w:lineRule="auto"/>
        <w:ind w:left="0" w:firstLine="480" w:firstLineChars="200"/>
        <w:rPr>
          <w:rFonts w:hint="eastAsia" w:ascii="Times New Roman" w:hAnsi="Times New Roman" w:eastAsia="宋体" w:cs="宋体"/>
          <w:color w:val="auto"/>
          <w:sz w:val="24"/>
        </w:rPr>
      </w:pPr>
      <w:r>
        <w:rPr>
          <w:rFonts w:hint="eastAsia" w:ascii="Times New Roman" w:hAnsi="Times New Roman" w:eastAsia="宋体" w:cs="宋体"/>
          <w:color w:val="auto"/>
          <w:sz w:val="24"/>
        </w:rPr>
        <w:t>评价区域各监测点位声环境均满足《声环境质量标准》（GB3096-2008）中</w:t>
      </w:r>
      <w:r>
        <w:rPr>
          <w:rFonts w:hint="eastAsia" w:ascii="Times New Roman" w:hAnsi="Times New Roman" w:eastAsia="宋体" w:cs="宋体"/>
          <w:color w:val="auto"/>
          <w:sz w:val="24"/>
          <w:lang w:val="en-US" w:eastAsia="zh-CN"/>
        </w:rPr>
        <w:t>2</w:t>
      </w:r>
      <w:r>
        <w:rPr>
          <w:rFonts w:hint="eastAsia" w:ascii="Times New Roman" w:hAnsi="Times New Roman" w:eastAsia="宋体" w:cs="宋体"/>
          <w:color w:val="auto"/>
          <w:sz w:val="24"/>
        </w:rPr>
        <w:t>类区标准。</w:t>
      </w:r>
    </w:p>
    <w:p>
      <w:pPr>
        <w:pageBreakBefore w:val="0"/>
        <w:kinsoku/>
        <w:wordWrap/>
        <w:overflowPunct/>
        <w:topLinePunct w:val="0"/>
        <w:autoSpaceDE/>
        <w:autoSpaceDN/>
        <w:bidi w:val="0"/>
        <w:adjustRightInd/>
        <w:snapToGrid/>
        <w:spacing w:line="360" w:lineRule="auto"/>
        <w:ind w:left="0" w:firstLine="480" w:firstLineChars="200"/>
        <w:rPr>
          <w:rFonts w:hint="eastAsia" w:ascii="Times New Roman" w:hAnsi="Times New Roman" w:eastAsia="宋体" w:cs="宋体"/>
          <w:snapToGrid w:val="0"/>
          <w:color w:val="auto"/>
          <w:sz w:val="24"/>
        </w:rPr>
      </w:pPr>
      <w:r>
        <w:rPr>
          <w:rFonts w:hint="eastAsia" w:ascii="Times New Roman" w:hAnsi="Times New Roman" w:eastAsia="宋体" w:cs="宋体"/>
          <w:color w:val="auto"/>
          <w:sz w:val="24"/>
        </w:rPr>
        <w:t>（3）地</w:t>
      </w:r>
      <w:r>
        <w:rPr>
          <w:rFonts w:hint="eastAsia" w:ascii="Times New Roman" w:hAnsi="Times New Roman" w:eastAsia="宋体" w:cs="宋体"/>
          <w:color w:val="auto"/>
          <w:sz w:val="24"/>
          <w:lang w:eastAsia="zh-CN"/>
        </w:rPr>
        <w:t>下</w:t>
      </w:r>
      <w:r>
        <w:rPr>
          <w:rFonts w:hint="eastAsia" w:ascii="Times New Roman" w:hAnsi="Times New Roman" w:eastAsia="宋体" w:cs="宋体"/>
          <w:color w:val="auto"/>
          <w:sz w:val="24"/>
        </w:rPr>
        <w:t>水环境质量现状</w:t>
      </w:r>
    </w:p>
    <w:p>
      <w:pPr>
        <w:pageBreakBefore w:val="0"/>
        <w:kinsoku/>
        <w:wordWrap/>
        <w:overflowPunct/>
        <w:topLinePunct w:val="0"/>
        <w:autoSpaceDE/>
        <w:autoSpaceDN/>
        <w:bidi w:val="0"/>
        <w:adjustRightInd/>
        <w:snapToGrid/>
        <w:spacing w:line="360" w:lineRule="auto"/>
        <w:ind w:left="0" w:firstLine="480" w:firstLineChars="200"/>
        <w:rPr>
          <w:rFonts w:hint="eastAsia" w:ascii="Times New Roman" w:hAnsi="Times New Roman" w:eastAsia="宋体" w:cs="宋体"/>
          <w:color w:val="auto"/>
          <w:sz w:val="24"/>
        </w:rPr>
      </w:pPr>
      <w:r>
        <w:rPr>
          <w:rFonts w:hint="eastAsia" w:ascii="Times New Roman" w:hAnsi="Times New Roman" w:eastAsia="宋体" w:cs="宋体"/>
          <w:color w:val="auto"/>
          <w:sz w:val="24"/>
        </w:rPr>
        <w:t>评价区域地下水监测指标均达到《地下水质量标准》(</w:t>
      </w:r>
      <w:r>
        <w:rPr>
          <w:rFonts w:hint="eastAsia" w:ascii="Times New Roman" w:hAnsi="Times New Roman" w:eastAsia="宋体" w:cs="宋体"/>
          <w:color w:val="auto"/>
          <w:sz w:val="24"/>
          <w:lang w:eastAsia="zh-CN"/>
        </w:rPr>
        <w:t>GB/T14848-2017</w:t>
      </w:r>
      <w:r>
        <w:rPr>
          <w:rFonts w:hint="eastAsia" w:ascii="Times New Roman" w:hAnsi="Times New Roman" w:eastAsia="宋体" w:cs="宋体"/>
          <w:color w:val="auto"/>
          <w:sz w:val="24"/>
        </w:rPr>
        <w:t>)中</w:t>
      </w:r>
      <w:r>
        <w:rPr>
          <w:rFonts w:hint="eastAsia" w:ascii="Times New Roman" w:hAnsi="Times New Roman" w:eastAsia="宋体" w:cs="宋体"/>
          <w:color w:val="auto"/>
          <w:sz w:val="24"/>
          <w:lang w:eastAsia="zh-CN"/>
        </w:rPr>
        <w:t>Ⅲ</w:t>
      </w:r>
      <w:r>
        <w:rPr>
          <w:rFonts w:hint="eastAsia" w:ascii="Times New Roman" w:hAnsi="Times New Roman" w:eastAsia="宋体" w:cs="宋体"/>
          <w:color w:val="auto"/>
          <w:sz w:val="24"/>
        </w:rPr>
        <w:t>类水域标准要求。</w:t>
      </w:r>
    </w:p>
    <w:p>
      <w:pPr>
        <w:pageBreakBefore w:val="0"/>
        <w:kinsoku/>
        <w:wordWrap/>
        <w:overflowPunct/>
        <w:topLinePunct w:val="0"/>
        <w:autoSpaceDE/>
        <w:autoSpaceDN/>
        <w:bidi w:val="0"/>
        <w:adjustRightInd/>
        <w:snapToGrid/>
        <w:spacing w:line="360" w:lineRule="auto"/>
        <w:ind w:left="0" w:firstLine="480" w:firstLineChars="200"/>
        <w:rPr>
          <w:rFonts w:hint="eastAsia" w:ascii="Times New Roman" w:hAnsi="Times New Roman" w:eastAsia="宋体" w:cs="宋体"/>
          <w:snapToGrid w:val="0"/>
          <w:color w:val="auto"/>
          <w:sz w:val="24"/>
        </w:rPr>
      </w:pPr>
      <w:r>
        <w:rPr>
          <w:rFonts w:hint="eastAsia" w:ascii="Times New Roman" w:hAnsi="Times New Roman" w:eastAsia="宋体" w:cs="宋体"/>
          <w:snapToGrid w:val="0"/>
          <w:color w:val="auto"/>
          <w:sz w:val="24"/>
        </w:rPr>
        <w:t>（4）地表水</w:t>
      </w:r>
    </w:p>
    <w:p>
      <w:pPr>
        <w:pageBreakBefore w:val="0"/>
        <w:kinsoku/>
        <w:wordWrap/>
        <w:overflowPunct/>
        <w:topLinePunct w:val="0"/>
        <w:autoSpaceDE/>
        <w:autoSpaceDN/>
        <w:bidi w:val="0"/>
        <w:adjustRightInd/>
        <w:snapToGrid/>
        <w:spacing w:line="360" w:lineRule="auto"/>
        <w:ind w:left="0" w:firstLine="480" w:firstLineChars="200"/>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唐河评价段</w:t>
      </w:r>
      <w:r>
        <w:rPr>
          <w:rFonts w:hint="eastAsia" w:ascii="Times New Roman" w:hAnsi="Times New Roman" w:eastAsia="宋体" w:cs="Times New Roman"/>
          <w:color w:val="auto"/>
          <w:sz w:val="24"/>
          <w:szCs w:val="24"/>
          <w:lang w:val="en-US" w:eastAsia="zh-CN"/>
        </w:rPr>
        <w:t>pH、COD</w:t>
      </w:r>
      <w:r>
        <w:rPr>
          <w:rFonts w:ascii="Times New Roman" w:hAnsi="Times New Roman" w:eastAsia="宋体" w:cs="Times New Roman"/>
          <w:color w:val="auto"/>
          <w:sz w:val="24"/>
          <w:szCs w:val="24"/>
        </w:rPr>
        <w:t>、BOD</w:t>
      </w:r>
      <w:r>
        <w:rPr>
          <w:rFonts w:ascii="Times New Roman" w:hAnsi="Times New Roman" w:eastAsia="宋体" w:cs="Times New Roman"/>
          <w:color w:val="auto"/>
          <w:sz w:val="24"/>
          <w:szCs w:val="24"/>
          <w:vertAlign w:val="subscript"/>
        </w:rPr>
        <w:t>5</w:t>
      </w:r>
      <w:r>
        <w:rPr>
          <w:rFonts w:hint="eastAsia" w:ascii="Times New Roman" w:hAnsi="Times New Roman" w:eastAsia="宋体" w:cs="Times New Roman"/>
          <w:color w:val="auto"/>
          <w:sz w:val="24"/>
          <w:szCs w:val="24"/>
          <w:lang w:eastAsia="zh-CN"/>
        </w:rPr>
        <w:t>、氨氮</w:t>
      </w:r>
      <w:r>
        <w:rPr>
          <w:rFonts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eastAsia="zh-CN"/>
        </w:rPr>
        <w:t>总磷</w:t>
      </w:r>
      <w:r>
        <w:rPr>
          <w:rFonts w:hint="eastAsia" w:ascii="Times New Roman" w:hAnsi="Times New Roman" w:eastAsia="宋体" w:cs="Times New Roman"/>
          <w:color w:val="auto"/>
          <w:sz w:val="24"/>
          <w:szCs w:val="24"/>
          <w:lang w:val="en-US" w:eastAsia="zh-CN"/>
        </w:rPr>
        <w:t>等</w:t>
      </w:r>
      <w:r>
        <w:rPr>
          <w:rFonts w:ascii="Times New Roman" w:hAnsi="Times New Roman" w:eastAsia="宋体" w:cs="Times New Roman"/>
          <w:color w:val="auto"/>
          <w:sz w:val="24"/>
          <w:szCs w:val="24"/>
        </w:rPr>
        <w:t>监测因子</w:t>
      </w:r>
      <w:r>
        <w:rPr>
          <w:rFonts w:hint="eastAsia" w:ascii="Times New Roman" w:hAnsi="Times New Roman" w:eastAsia="宋体" w:cs="Times New Roman"/>
          <w:color w:val="auto"/>
          <w:sz w:val="24"/>
          <w:szCs w:val="24"/>
          <w:lang w:eastAsia="zh-CN"/>
        </w:rPr>
        <w:t>均</w:t>
      </w:r>
      <w:r>
        <w:rPr>
          <w:rFonts w:ascii="Times New Roman" w:hAnsi="Times New Roman" w:eastAsia="宋体" w:cs="Times New Roman"/>
          <w:color w:val="auto"/>
          <w:sz w:val="24"/>
          <w:szCs w:val="24"/>
        </w:rPr>
        <w:t>符合《地表水环境质量标准》（GB3838-2002）中</w:t>
      </w:r>
      <w:r>
        <w:rPr>
          <w:rFonts w:hint="eastAsia" w:ascii="Times New Roman" w:hAnsi="Times New Roman" w:eastAsia="宋体" w:cs="宋体"/>
          <w:color w:val="auto"/>
          <w:sz w:val="24"/>
          <w:szCs w:val="24"/>
          <w:lang w:eastAsia="zh-CN"/>
        </w:rPr>
        <w:t>Ⅳ</w:t>
      </w:r>
      <w:r>
        <w:rPr>
          <w:rFonts w:ascii="Times New Roman" w:hAnsi="Times New Roman" w:eastAsia="宋体" w:cs="Times New Roman"/>
          <w:color w:val="auto"/>
          <w:sz w:val="24"/>
          <w:szCs w:val="24"/>
        </w:rPr>
        <w:t>类标准</w:t>
      </w:r>
      <w:r>
        <w:rPr>
          <w:rFonts w:hint="eastAsia" w:ascii="Times New Roman" w:hAnsi="Times New Roman" w:eastAsia="宋体" w:cs="Times New Roman"/>
          <w:color w:val="auto"/>
          <w:sz w:val="24"/>
          <w:szCs w:val="24"/>
          <w:lang w:eastAsia="zh-CN"/>
        </w:rPr>
        <w:t>。</w:t>
      </w:r>
    </w:p>
    <w:p>
      <w:pPr>
        <w:pageBreakBefore w:val="0"/>
        <w:kinsoku/>
        <w:wordWrap/>
        <w:overflowPunct/>
        <w:topLinePunct w:val="0"/>
        <w:autoSpaceDE/>
        <w:autoSpaceDN/>
        <w:bidi w:val="0"/>
        <w:adjustRightInd/>
        <w:snapToGrid/>
        <w:spacing w:line="360" w:lineRule="auto"/>
        <w:ind w:left="0" w:firstLine="480" w:firstLineChars="200"/>
        <w:rPr>
          <w:rFonts w:hint="eastAsia" w:ascii="Times New Roman" w:hAnsi="Times New Roman" w:eastAsia="宋体" w:cs="宋体"/>
          <w:color w:val="auto"/>
          <w:sz w:val="24"/>
          <w:lang w:eastAsia="zh-CN"/>
        </w:rPr>
      </w:pPr>
      <w:r>
        <w:rPr>
          <w:rFonts w:hint="eastAsia" w:ascii="Times New Roman" w:hAnsi="Times New Roman" w:eastAsia="宋体" w:cs="宋体"/>
          <w:color w:val="auto"/>
          <w:sz w:val="24"/>
          <w:lang w:eastAsia="zh-CN"/>
        </w:rPr>
        <w:t>（</w:t>
      </w:r>
      <w:r>
        <w:rPr>
          <w:rFonts w:hint="eastAsia" w:ascii="Times New Roman" w:hAnsi="Times New Roman" w:eastAsia="宋体" w:cs="宋体"/>
          <w:color w:val="auto"/>
          <w:sz w:val="24"/>
          <w:lang w:val="en-US" w:eastAsia="zh-CN"/>
        </w:rPr>
        <w:t>5</w:t>
      </w:r>
      <w:r>
        <w:rPr>
          <w:rFonts w:hint="eastAsia" w:ascii="Times New Roman" w:hAnsi="Times New Roman" w:eastAsia="宋体" w:cs="宋体"/>
          <w:color w:val="auto"/>
          <w:sz w:val="24"/>
          <w:lang w:eastAsia="zh-CN"/>
        </w:rPr>
        <w:t>）土壤</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olor w:val="auto"/>
          <w:sz w:val="24"/>
          <w:szCs w:val="24"/>
          <w:lang w:val="zh-CN"/>
        </w:rPr>
      </w:pPr>
      <w:bookmarkStart w:id="91" w:name="_Toc223921567"/>
      <w:bookmarkStart w:id="92" w:name="_Toc28018"/>
      <w:bookmarkStart w:id="93" w:name="_Toc11691"/>
      <w:bookmarkStart w:id="94" w:name="_Toc405804003"/>
      <w:r>
        <w:rPr>
          <w:rFonts w:hint="default" w:ascii="Times New Roman" w:hAnsi="Times New Roman" w:eastAsia="宋体"/>
          <w:color w:val="auto"/>
          <w:sz w:val="24"/>
          <w:szCs w:val="24"/>
          <w:lang w:val="zh-CN"/>
        </w:rPr>
        <w:t>土壤样品</w:t>
      </w:r>
      <w:r>
        <w:rPr>
          <w:rFonts w:hint="eastAsia" w:ascii="Times New Roman" w:hAnsi="Times New Roman" w:eastAsia="宋体"/>
          <w:color w:val="auto"/>
          <w:sz w:val="24"/>
          <w:szCs w:val="24"/>
          <w:lang w:val="zh-CN"/>
        </w:rPr>
        <w:t>监测因子浓度</w:t>
      </w:r>
      <w:r>
        <w:rPr>
          <w:rFonts w:hint="default" w:ascii="Times New Roman" w:hAnsi="Times New Roman" w:eastAsia="宋体"/>
          <w:color w:val="auto"/>
          <w:sz w:val="24"/>
          <w:szCs w:val="24"/>
          <w:lang w:val="zh-CN"/>
        </w:rPr>
        <w:t>均低于</w:t>
      </w:r>
      <w:r>
        <w:rPr>
          <w:rFonts w:hint="default" w:ascii="Times New Roman" w:hAnsi="Times New Roman" w:eastAsia="宋体"/>
          <w:color w:val="auto"/>
          <w:sz w:val="24"/>
          <w:szCs w:val="24"/>
        </w:rPr>
        <w:t>《土壤环境质量建设用地土壤污染风险管控标准（试行）》（GB36600-2018）</w:t>
      </w:r>
      <w:r>
        <w:rPr>
          <w:rFonts w:hint="default" w:ascii="Times New Roman" w:hAnsi="Times New Roman" w:eastAsia="宋体"/>
          <w:color w:val="auto"/>
          <w:sz w:val="24"/>
          <w:szCs w:val="24"/>
          <w:lang w:eastAsia="zh-CN"/>
        </w:rPr>
        <w:t>中</w:t>
      </w:r>
      <w:r>
        <w:rPr>
          <w:rFonts w:hint="default" w:ascii="Times New Roman" w:hAnsi="Times New Roman" w:eastAsia="宋体"/>
          <w:color w:val="auto"/>
          <w:sz w:val="24"/>
          <w:szCs w:val="24"/>
        </w:rPr>
        <w:t>第二类用地风险筛选值</w:t>
      </w:r>
      <w:r>
        <w:rPr>
          <w:rFonts w:hint="default" w:ascii="Times New Roman" w:hAnsi="Times New Roman" w:eastAsia="宋体"/>
          <w:color w:val="auto"/>
          <w:sz w:val="24"/>
          <w:szCs w:val="24"/>
          <w:lang w:val="zh-CN"/>
        </w:rPr>
        <w:t>，</w:t>
      </w:r>
      <w:r>
        <w:rPr>
          <w:rFonts w:hint="default" w:ascii="Times New Roman" w:hAnsi="Times New Roman" w:eastAsia="宋体"/>
          <w:color w:val="auto"/>
          <w:sz w:val="24"/>
          <w:szCs w:val="24"/>
          <w:lang w:val="zh-CN" w:eastAsia="zh-CN"/>
        </w:rPr>
        <w:t>土壤</w:t>
      </w:r>
      <w:r>
        <w:rPr>
          <w:rFonts w:hint="default" w:ascii="Times New Roman" w:hAnsi="Times New Roman" w:eastAsia="宋体"/>
          <w:color w:val="auto"/>
          <w:sz w:val="24"/>
          <w:szCs w:val="24"/>
          <w:lang w:val="zh-CN"/>
        </w:rPr>
        <w:t>对人体健康的风险可以忽略</w:t>
      </w:r>
      <w:r>
        <w:rPr>
          <w:rFonts w:hint="eastAsia" w:ascii="Times New Roman" w:hAnsi="Times New Roman" w:eastAsia="宋体"/>
          <w:color w:val="auto"/>
          <w:sz w:val="24"/>
          <w:szCs w:val="24"/>
          <w:lang w:val="zh-CN"/>
        </w:rPr>
        <w:t>。</w:t>
      </w:r>
    </w:p>
    <w:bookmarkEnd w:id="91"/>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outlineLvl w:val="9"/>
        <w:rPr>
          <w:rFonts w:hint="eastAsia" w:ascii="Times New Roman" w:hAnsi="Times New Roman" w:eastAsia="宋体" w:cs="宋体"/>
          <w:b w:val="0"/>
          <w:bCs w:val="0"/>
          <w:color w:val="auto"/>
          <w:sz w:val="24"/>
          <w:szCs w:val="24"/>
        </w:rPr>
      </w:pPr>
      <w:r>
        <w:rPr>
          <w:rFonts w:hint="eastAsia" w:ascii="Times New Roman" w:hAnsi="Times New Roman" w:eastAsia="宋体" w:cs="宋体"/>
          <w:b w:val="0"/>
          <w:bCs w:val="0"/>
          <w:color w:val="auto"/>
          <w:sz w:val="24"/>
          <w:szCs w:val="24"/>
          <w:lang w:val="en-US" w:eastAsia="zh-CN"/>
        </w:rPr>
        <w:t>四、</w:t>
      </w:r>
      <w:r>
        <w:rPr>
          <w:rFonts w:hint="eastAsia" w:ascii="Times New Roman" w:hAnsi="Times New Roman" w:eastAsia="宋体" w:cs="宋体"/>
          <w:b w:val="0"/>
          <w:bCs w:val="0"/>
          <w:color w:val="auto"/>
          <w:sz w:val="24"/>
          <w:szCs w:val="24"/>
        </w:rPr>
        <w:t>污染源及污染物</w:t>
      </w:r>
      <w:bookmarkEnd w:id="92"/>
      <w:bookmarkEnd w:id="93"/>
      <w:bookmarkEnd w:id="94"/>
    </w:p>
    <w:p>
      <w:pPr>
        <w:pageBreakBefore w:val="0"/>
        <w:kinsoku/>
        <w:wordWrap/>
        <w:overflowPunct/>
        <w:topLinePunct w:val="0"/>
        <w:autoSpaceDE/>
        <w:autoSpaceDN/>
        <w:bidi w:val="0"/>
        <w:adjustRightInd/>
        <w:snapToGrid/>
        <w:spacing w:line="360" w:lineRule="auto"/>
        <w:ind w:left="0" w:firstLine="480" w:firstLineChars="200"/>
        <w:rPr>
          <w:rFonts w:hint="eastAsia" w:ascii="Times New Roman" w:hAnsi="Times New Roman" w:eastAsia="宋体" w:cs="宋体"/>
          <w:color w:val="auto"/>
          <w:sz w:val="24"/>
        </w:rPr>
      </w:pPr>
      <w:r>
        <w:rPr>
          <w:rFonts w:hint="eastAsia" w:ascii="Times New Roman" w:hAnsi="Times New Roman" w:eastAsia="宋体" w:cs="宋体"/>
          <w:color w:val="auto"/>
          <w:sz w:val="24"/>
        </w:rPr>
        <w:t>（1）废气</w:t>
      </w:r>
    </w:p>
    <w:p>
      <w:pPr>
        <w:pStyle w:val="149"/>
        <w:pageBreakBefore w:val="0"/>
        <w:kinsoku/>
        <w:wordWrap/>
        <w:overflowPunct/>
        <w:topLinePunct w:val="0"/>
        <w:autoSpaceDE/>
        <w:autoSpaceDN/>
        <w:bidi w:val="0"/>
        <w:adjustRightInd/>
        <w:snapToGrid/>
        <w:spacing w:line="360" w:lineRule="auto"/>
        <w:ind w:left="0"/>
        <w:rPr>
          <w:rFonts w:hint="eastAsia" w:ascii="Times New Roman" w:hAnsi="Times New Roman" w:eastAsia="宋体" w:cs="宋体"/>
          <w:color w:val="auto"/>
          <w:sz w:val="24"/>
        </w:rPr>
      </w:pPr>
      <w:r>
        <w:rPr>
          <w:rFonts w:hint="eastAsia" w:ascii="Times New Roman" w:hAnsi="Times New Roman" w:eastAsia="宋体" w:cs="宋体"/>
          <w:color w:val="auto"/>
          <w:sz w:val="24"/>
        </w:rPr>
        <w:t>填埋场运营期产生的主要废气：填埋场作业扬尘，</w:t>
      </w:r>
      <w:r>
        <w:rPr>
          <w:rFonts w:hint="eastAsia" w:ascii="Times New Roman" w:hAnsi="Times New Roman" w:eastAsia="宋体" w:cs="宋体"/>
          <w:color w:val="auto"/>
        </w:rPr>
        <w:t>由于</w:t>
      </w:r>
      <w:r>
        <w:rPr>
          <w:rFonts w:hint="eastAsia" w:ascii="Times New Roman" w:hAnsi="Times New Roman" w:eastAsia="宋体" w:cs="宋体"/>
          <w:color w:val="auto"/>
          <w:lang w:eastAsia="zh-CN"/>
        </w:rPr>
        <w:t>本</w:t>
      </w:r>
      <w:r>
        <w:rPr>
          <w:rFonts w:hint="eastAsia" w:ascii="Times New Roman" w:hAnsi="Times New Roman" w:eastAsia="宋体" w:cs="宋体"/>
          <w:color w:val="auto"/>
        </w:rPr>
        <w:t>工程采取单元作业，</w:t>
      </w:r>
      <w:r>
        <w:rPr>
          <w:rFonts w:hint="eastAsia" w:ascii="Times New Roman" w:hAnsi="Times New Roman" w:eastAsia="宋体" w:cs="宋体"/>
          <w:color w:val="auto"/>
          <w:lang w:eastAsia="zh-CN"/>
        </w:rPr>
        <w:t>各作业单元为</w:t>
      </w:r>
      <w:r>
        <w:rPr>
          <w:rFonts w:hint="eastAsia" w:ascii="Times New Roman" w:hAnsi="Times New Roman" w:eastAsia="宋体" w:cs="宋体"/>
          <w:color w:val="auto"/>
          <w:lang w:val="en-US" w:eastAsia="zh-CN"/>
        </w:rPr>
        <w:t>123m*110m，则</w:t>
      </w:r>
      <w:r>
        <w:rPr>
          <w:rFonts w:hint="eastAsia" w:ascii="Times New Roman" w:hAnsi="Times New Roman" w:eastAsia="宋体" w:cs="宋体"/>
          <w:color w:val="auto"/>
        </w:rPr>
        <w:t>无组织排放源粉尘排放量为</w:t>
      </w:r>
      <w:r>
        <w:rPr>
          <w:rFonts w:hint="eastAsia" w:ascii="Times New Roman" w:hAnsi="Times New Roman" w:eastAsia="宋体" w:cs="宋体"/>
          <w:color w:val="auto"/>
          <w:lang w:val="en-US" w:eastAsia="zh-CN"/>
        </w:rPr>
        <w:t>25.12</w:t>
      </w:r>
      <w:r>
        <w:rPr>
          <w:rFonts w:hint="eastAsia" w:ascii="Times New Roman" w:hAnsi="Times New Roman" w:eastAsia="宋体" w:cs="宋体"/>
          <w:color w:val="auto"/>
        </w:rPr>
        <w:t>mg/s，</w:t>
      </w:r>
      <w:r>
        <w:rPr>
          <w:rFonts w:hint="eastAsia" w:ascii="Times New Roman" w:hAnsi="Times New Roman" w:eastAsia="宋体" w:cs="宋体"/>
          <w:color w:val="auto"/>
          <w:lang w:val="en-US" w:eastAsia="zh-CN"/>
        </w:rPr>
        <w:t>0.090k</w:t>
      </w:r>
      <w:r>
        <w:rPr>
          <w:rFonts w:hint="eastAsia" w:ascii="Times New Roman" w:hAnsi="Times New Roman" w:eastAsia="宋体" w:cs="宋体"/>
          <w:color w:val="auto"/>
        </w:rPr>
        <w:t>g/h</w:t>
      </w:r>
      <w:r>
        <w:rPr>
          <w:rFonts w:hint="eastAsia" w:ascii="Times New Roman" w:hAnsi="Times New Roman" w:eastAsia="宋体" w:cs="宋体"/>
          <w:color w:val="auto"/>
          <w:lang w:eastAsia="zh-CN"/>
        </w:rPr>
        <w:t>，</w:t>
      </w:r>
      <w:r>
        <w:rPr>
          <w:rFonts w:hint="eastAsia" w:ascii="Times New Roman" w:hAnsi="Times New Roman" w:eastAsia="宋体" w:cs="宋体"/>
          <w:color w:val="auto"/>
          <w:lang w:val="en-US" w:eastAsia="zh-CN"/>
        </w:rPr>
        <w:t>0.788t/a</w:t>
      </w:r>
      <w:r>
        <w:rPr>
          <w:rFonts w:hint="eastAsia" w:ascii="Times New Roman" w:hAnsi="Times New Roman" w:eastAsia="宋体" w:cs="宋体"/>
          <w:color w:val="auto"/>
        </w:rPr>
        <w:t>。</w:t>
      </w:r>
      <w:r>
        <w:rPr>
          <w:rFonts w:hint="eastAsia" w:ascii="Times New Roman" w:hAnsi="Times New Roman" w:eastAsia="宋体" w:cs="宋体"/>
          <w:color w:val="auto"/>
          <w:sz w:val="24"/>
        </w:rPr>
        <w:t>进场道路扬尘和车辆尾气属于无组织排放，主要通过加强管理、限速行驶以及保持路面清洁以实现达标外排。</w:t>
      </w:r>
    </w:p>
    <w:p>
      <w:pPr>
        <w:pageBreakBefore w:val="0"/>
        <w:kinsoku/>
        <w:wordWrap/>
        <w:overflowPunct/>
        <w:topLinePunct w:val="0"/>
        <w:autoSpaceDE/>
        <w:autoSpaceDN/>
        <w:bidi w:val="0"/>
        <w:adjustRightInd/>
        <w:snapToGrid/>
        <w:spacing w:line="360" w:lineRule="auto"/>
        <w:ind w:left="0" w:firstLine="480" w:firstLineChars="200"/>
        <w:rPr>
          <w:rFonts w:hint="eastAsia" w:ascii="Times New Roman" w:hAnsi="Times New Roman" w:eastAsia="宋体" w:cs="宋体"/>
          <w:color w:val="auto"/>
          <w:sz w:val="24"/>
          <w:szCs w:val="24"/>
        </w:rPr>
      </w:pPr>
      <w:r>
        <w:rPr>
          <w:rFonts w:hint="eastAsia" w:ascii="Times New Roman" w:hAnsi="Times New Roman" w:eastAsia="宋体" w:cs="宋体"/>
          <w:color w:val="auto"/>
          <w:sz w:val="24"/>
          <w:szCs w:val="24"/>
        </w:rPr>
        <w:t>（2）废水</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b w:val="0"/>
          <w:bCs w:val="0"/>
          <w:color w:val="auto"/>
          <w:sz w:val="24"/>
          <w:szCs w:val="24"/>
          <w:lang w:val="en-US" w:eastAsia="zh-CN"/>
        </w:rPr>
      </w:pPr>
      <w:r>
        <w:rPr>
          <w:rFonts w:hint="eastAsia" w:ascii="Times New Roman" w:hAnsi="Times New Roman" w:eastAsia="宋体" w:cs="宋体"/>
          <w:color w:val="auto"/>
          <w:sz w:val="24"/>
          <w:szCs w:val="24"/>
        </w:rPr>
        <w:t>项目废水主要渗滤液、生活污水</w:t>
      </w:r>
      <w:r>
        <w:rPr>
          <w:rFonts w:hint="eastAsia" w:ascii="Times New Roman" w:hAnsi="Times New Roman" w:eastAsia="宋体" w:cs="宋体"/>
          <w:color w:val="auto"/>
          <w:sz w:val="24"/>
          <w:szCs w:val="24"/>
          <w:lang w:eastAsia="zh-CN"/>
        </w:rPr>
        <w:t>，</w:t>
      </w:r>
      <w:r>
        <w:rPr>
          <w:rFonts w:hint="eastAsia" w:ascii="Times New Roman" w:hAnsi="Times New Roman" w:eastAsia="宋体" w:cs="宋体"/>
          <w:color w:val="auto"/>
          <w:sz w:val="24"/>
          <w:szCs w:val="24"/>
        </w:rPr>
        <w:t>渗滤液收集后定期送入厂区</w:t>
      </w:r>
      <w:r>
        <w:rPr>
          <w:rFonts w:hint="eastAsia" w:ascii="Times New Roman" w:hAnsi="Times New Roman" w:eastAsia="宋体" w:cs="宋体"/>
          <w:color w:val="auto"/>
          <w:sz w:val="24"/>
          <w:szCs w:val="24"/>
          <w:lang w:eastAsia="zh-CN"/>
        </w:rPr>
        <w:t>南侧</w:t>
      </w:r>
      <w:r>
        <w:rPr>
          <w:rFonts w:hint="eastAsia" w:ascii="Times New Roman" w:hAnsi="Times New Roman" w:eastAsia="宋体" w:cs="宋体"/>
          <w:color w:val="auto"/>
          <w:sz w:val="24"/>
          <w:szCs w:val="24"/>
        </w:rPr>
        <w:t>的灵璧县生活垃圾填埋场处理，不外排。</w:t>
      </w:r>
      <w:r>
        <w:rPr>
          <w:rFonts w:hint="eastAsia" w:ascii="Times New Roman" w:hAnsi="Times New Roman" w:eastAsia="宋体" w:cs="宋体"/>
          <w:color w:val="auto"/>
          <w:sz w:val="24"/>
          <w:szCs w:val="24"/>
          <w:lang w:eastAsia="zh-CN"/>
        </w:rPr>
        <w:t>项目不设管理区，</w:t>
      </w:r>
      <w:r>
        <w:rPr>
          <w:rFonts w:hint="eastAsia" w:ascii="Times New Roman" w:hAnsi="Times New Roman" w:eastAsia="宋体" w:cs="宋体"/>
          <w:color w:val="auto"/>
          <w:sz w:val="24"/>
          <w:szCs w:val="24"/>
        </w:rPr>
        <w:t>生活污水</w:t>
      </w:r>
      <w:r>
        <w:rPr>
          <w:rFonts w:hint="eastAsia" w:ascii="Times New Roman" w:hAnsi="Times New Roman" w:eastAsia="宋体" w:cs="宋体"/>
          <w:color w:val="auto"/>
          <w:sz w:val="24"/>
          <w:szCs w:val="24"/>
          <w:lang w:eastAsia="zh-CN"/>
        </w:rPr>
        <w:t>依托</w:t>
      </w:r>
      <w:r>
        <w:rPr>
          <w:rFonts w:hint="eastAsia" w:ascii="Times New Roman" w:hAnsi="Times New Roman" w:eastAsia="宋体" w:cs="宋体"/>
          <w:color w:val="auto"/>
          <w:sz w:val="24"/>
          <w:szCs w:val="24"/>
        </w:rPr>
        <w:t>厂区</w:t>
      </w:r>
      <w:r>
        <w:rPr>
          <w:rFonts w:hint="eastAsia" w:ascii="Times New Roman" w:hAnsi="Times New Roman" w:eastAsia="宋体" w:cs="宋体"/>
          <w:color w:val="auto"/>
          <w:sz w:val="24"/>
          <w:szCs w:val="24"/>
          <w:lang w:eastAsia="zh-CN"/>
        </w:rPr>
        <w:t>南侧</w:t>
      </w:r>
      <w:r>
        <w:rPr>
          <w:rFonts w:hint="eastAsia" w:ascii="Times New Roman" w:hAnsi="Times New Roman" w:eastAsia="宋体" w:cs="宋体"/>
          <w:color w:val="auto"/>
          <w:sz w:val="24"/>
          <w:szCs w:val="24"/>
        </w:rPr>
        <w:t>的灵璧县生活垃圾填埋场</w:t>
      </w:r>
      <w:r>
        <w:rPr>
          <w:rFonts w:hint="eastAsia" w:ascii="Times New Roman" w:hAnsi="Times New Roman" w:eastAsia="宋体" w:cs="宋体"/>
          <w:color w:val="auto"/>
          <w:sz w:val="24"/>
          <w:szCs w:val="24"/>
          <w:lang w:eastAsia="zh-CN"/>
        </w:rPr>
        <w:t>处理</w:t>
      </w:r>
      <w:r>
        <w:rPr>
          <w:rFonts w:hint="eastAsia" w:ascii="Times New Roman" w:hAnsi="Times New Roman" w:eastAsia="宋体" w:cs="宋体"/>
          <w:color w:val="auto"/>
          <w:sz w:val="24"/>
          <w:szCs w:val="24"/>
        </w:rPr>
        <w:t>。</w:t>
      </w:r>
    </w:p>
    <w:p>
      <w:pPr>
        <w:pageBreakBefore w:val="0"/>
        <w:kinsoku/>
        <w:wordWrap/>
        <w:overflowPunct/>
        <w:topLinePunct w:val="0"/>
        <w:autoSpaceDE/>
        <w:autoSpaceDN/>
        <w:bidi w:val="0"/>
        <w:adjustRightInd/>
        <w:snapToGrid/>
        <w:spacing w:line="360" w:lineRule="auto"/>
        <w:ind w:left="0" w:firstLine="480" w:firstLineChars="200"/>
        <w:rPr>
          <w:rFonts w:hint="eastAsia" w:ascii="Times New Roman" w:hAnsi="Times New Roman" w:eastAsia="宋体" w:cs="宋体"/>
          <w:color w:val="auto"/>
          <w:sz w:val="24"/>
        </w:rPr>
      </w:pPr>
      <w:r>
        <w:rPr>
          <w:rFonts w:hint="eastAsia" w:ascii="Times New Roman" w:hAnsi="Times New Roman" w:eastAsia="宋体" w:cs="宋体"/>
          <w:color w:val="auto"/>
          <w:sz w:val="24"/>
        </w:rPr>
        <w:t>（3）噪声</w:t>
      </w:r>
    </w:p>
    <w:p>
      <w:pPr>
        <w:pageBreakBefore w:val="0"/>
        <w:kinsoku/>
        <w:wordWrap/>
        <w:overflowPunct/>
        <w:topLinePunct w:val="0"/>
        <w:autoSpaceDE/>
        <w:autoSpaceDN/>
        <w:bidi w:val="0"/>
        <w:adjustRightInd/>
        <w:snapToGrid/>
        <w:spacing w:line="360" w:lineRule="auto"/>
        <w:ind w:left="0" w:firstLine="480" w:firstLineChars="200"/>
        <w:rPr>
          <w:rFonts w:hint="eastAsia" w:ascii="Times New Roman" w:hAnsi="Times New Roman" w:eastAsia="宋体" w:cs="宋体"/>
          <w:color w:val="auto"/>
          <w:sz w:val="24"/>
        </w:rPr>
      </w:pPr>
      <w:r>
        <w:rPr>
          <w:rFonts w:hint="eastAsia" w:ascii="Times New Roman" w:hAnsi="Times New Roman" w:eastAsia="宋体" w:cs="宋体"/>
          <w:color w:val="auto"/>
          <w:sz w:val="24"/>
        </w:rPr>
        <w:t>程运行期填埋场区主要是压实机、装载机、水泵等噪声，场道路主要是来往运输车辆交通噪声，通过加强管理、选用低噪声设备等以降低噪声影响。</w:t>
      </w:r>
    </w:p>
    <w:p>
      <w:pPr>
        <w:pageBreakBefore w:val="0"/>
        <w:kinsoku/>
        <w:wordWrap/>
        <w:overflowPunct/>
        <w:topLinePunct w:val="0"/>
        <w:autoSpaceDE/>
        <w:autoSpaceDN/>
        <w:bidi w:val="0"/>
        <w:adjustRightInd/>
        <w:snapToGrid/>
        <w:spacing w:line="360" w:lineRule="auto"/>
        <w:ind w:left="0" w:firstLine="480" w:firstLineChars="200"/>
        <w:rPr>
          <w:rFonts w:hint="eastAsia" w:ascii="Times New Roman" w:hAnsi="Times New Roman" w:eastAsia="宋体" w:cs="宋体"/>
          <w:color w:val="auto"/>
          <w:sz w:val="24"/>
        </w:rPr>
      </w:pPr>
      <w:r>
        <w:rPr>
          <w:rFonts w:hint="eastAsia" w:ascii="Times New Roman" w:hAnsi="Times New Roman" w:eastAsia="宋体" w:cs="宋体"/>
          <w:color w:val="auto"/>
          <w:sz w:val="24"/>
        </w:rPr>
        <w:t>（4）固废</w:t>
      </w:r>
    </w:p>
    <w:p>
      <w:pPr>
        <w:pageBreakBefore w:val="0"/>
        <w:kinsoku/>
        <w:wordWrap/>
        <w:overflowPunct/>
        <w:topLinePunct w:val="0"/>
        <w:autoSpaceDE/>
        <w:autoSpaceDN/>
        <w:bidi w:val="0"/>
        <w:adjustRightInd/>
        <w:snapToGrid/>
        <w:spacing w:line="360" w:lineRule="auto"/>
        <w:ind w:left="0" w:firstLine="480" w:firstLineChars="200"/>
        <w:rPr>
          <w:rFonts w:hint="eastAsia" w:ascii="Times New Roman" w:hAnsi="Times New Roman" w:eastAsia="宋体" w:cs="宋体"/>
          <w:color w:val="auto"/>
          <w:sz w:val="24"/>
        </w:rPr>
      </w:pPr>
      <w:r>
        <w:rPr>
          <w:rFonts w:hint="eastAsia" w:ascii="Times New Roman" w:hAnsi="Times New Roman" w:eastAsia="宋体" w:cs="宋体"/>
          <w:color w:val="auto"/>
          <w:sz w:val="24"/>
        </w:rPr>
        <w:t>固废主要为生活垃圾，</w:t>
      </w:r>
      <w:r>
        <w:rPr>
          <w:rFonts w:hint="eastAsia" w:ascii="Times New Roman" w:hAnsi="Times New Roman" w:eastAsia="宋体" w:cs="宋体"/>
          <w:color w:val="auto"/>
          <w:sz w:val="24"/>
          <w:lang w:eastAsia="zh-CN"/>
        </w:rPr>
        <w:t>依托生活垃圾填埋场</w:t>
      </w:r>
      <w:r>
        <w:rPr>
          <w:rFonts w:hint="eastAsia" w:ascii="Times New Roman" w:hAnsi="Times New Roman" w:eastAsia="宋体" w:cs="宋体"/>
          <w:color w:val="auto"/>
          <w:sz w:val="24"/>
        </w:rPr>
        <w:t>处置。</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Times New Roman" w:hAnsi="Times New Roman" w:eastAsia="宋体" w:cs="宋体"/>
          <w:b w:val="0"/>
          <w:bCs w:val="0"/>
          <w:color w:val="auto"/>
          <w:sz w:val="24"/>
          <w:szCs w:val="24"/>
        </w:rPr>
      </w:pPr>
      <w:bookmarkStart w:id="95" w:name="_Toc405804004"/>
      <w:bookmarkStart w:id="96" w:name="_Toc223921568"/>
      <w:bookmarkStart w:id="97" w:name="_Toc26475"/>
      <w:bookmarkStart w:id="98" w:name="_Toc11289"/>
      <w:r>
        <w:rPr>
          <w:rFonts w:hint="eastAsia" w:ascii="Times New Roman" w:hAnsi="Times New Roman" w:eastAsia="宋体" w:cs="宋体"/>
          <w:b w:val="0"/>
          <w:bCs w:val="0"/>
          <w:color w:val="auto"/>
          <w:sz w:val="24"/>
          <w:szCs w:val="24"/>
          <w:lang w:val="en-US" w:eastAsia="zh-CN"/>
        </w:rPr>
        <w:t>五、</w:t>
      </w:r>
      <w:r>
        <w:rPr>
          <w:rFonts w:hint="eastAsia" w:ascii="Times New Roman" w:hAnsi="Times New Roman" w:eastAsia="宋体" w:cs="宋体"/>
          <w:b w:val="0"/>
          <w:bCs w:val="0"/>
          <w:color w:val="auto"/>
          <w:sz w:val="24"/>
          <w:szCs w:val="24"/>
        </w:rPr>
        <w:t>环境影响评价结论</w:t>
      </w:r>
      <w:bookmarkEnd w:id="95"/>
      <w:bookmarkEnd w:id="96"/>
      <w:bookmarkEnd w:id="97"/>
      <w:bookmarkEnd w:id="98"/>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Times New Roman" w:hAnsi="Times New Roman" w:eastAsia="宋体" w:cs="宋体"/>
          <w:color w:val="auto"/>
          <w:kern w:val="0"/>
          <w:sz w:val="24"/>
          <w:lang w:eastAsia="zh-CN"/>
        </w:rPr>
      </w:pPr>
      <w:r>
        <w:rPr>
          <w:rFonts w:hint="eastAsia" w:ascii="Times New Roman" w:hAnsi="Times New Roman" w:eastAsia="宋体" w:cs="宋体"/>
          <w:color w:val="auto"/>
          <w:kern w:val="0"/>
          <w:sz w:val="24"/>
          <w:lang w:eastAsia="zh-CN"/>
        </w:rPr>
        <w:t>（</w:t>
      </w:r>
      <w:r>
        <w:rPr>
          <w:rFonts w:hint="eastAsia" w:ascii="Times New Roman" w:hAnsi="Times New Roman" w:eastAsia="宋体" w:cs="宋体"/>
          <w:color w:val="auto"/>
          <w:kern w:val="0"/>
          <w:sz w:val="24"/>
          <w:lang w:val="en-US" w:eastAsia="zh-CN"/>
        </w:rPr>
        <w:t>1</w:t>
      </w:r>
      <w:r>
        <w:rPr>
          <w:rFonts w:hint="eastAsia" w:ascii="Times New Roman" w:hAnsi="Times New Roman" w:eastAsia="宋体" w:cs="宋体"/>
          <w:color w:val="auto"/>
          <w:kern w:val="0"/>
          <w:sz w:val="24"/>
          <w:lang w:eastAsia="zh-CN"/>
        </w:rPr>
        <w:t>）施工期环境影响评价结论</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Times New Roman" w:hAnsi="Times New Roman" w:eastAsia="宋体" w:cs="宋体"/>
          <w:color w:val="auto"/>
          <w:kern w:val="0"/>
          <w:sz w:val="24"/>
        </w:rPr>
      </w:pPr>
      <w:r>
        <w:rPr>
          <w:rFonts w:hint="eastAsia" w:ascii="Times New Roman" w:hAnsi="Times New Roman" w:eastAsia="宋体" w:cs="宋体"/>
          <w:color w:val="auto"/>
          <w:kern w:val="0"/>
          <w:sz w:val="24"/>
        </w:rPr>
        <w:t>①大气环境影响评价结论</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Times New Roman" w:hAnsi="Times New Roman" w:eastAsia="宋体" w:cs="宋体"/>
          <w:color w:val="auto"/>
          <w:kern w:val="0"/>
          <w:sz w:val="24"/>
        </w:rPr>
      </w:pPr>
      <w:r>
        <w:rPr>
          <w:rFonts w:hint="eastAsia" w:ascii="Times New Roman" w:hAnsi="Times New Roman" w:eastAsia="宋体" w:cs="宋体"/>
          <w:color w:val="auto"/>
          <w:kern w:val="0"/>
          <w:sz w:val="24"/>
        </w:rPr>
        <w:t>●施工机械废气：运输车辆和施工机械运行过程中排放的尾气。通过加强管理降低污染，可以实现达标外排。不会对环境空气造成不良影响。</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Times New Roman" w:hAnsi="Times New Roman" w:eastAsia="宋体" w:cs="宋体"/>
          <w:color w:val="auto"/>
          <w:sz w:val="24"/>
        </w:rPr>
      </w:pPr>
      <w:r>
        <w:rPr>
          <w:rFonts w:hint="eastAsia" w:ascii="Times New Roman" w:hAnsi="Times New Roman" w:eastAsia="宋体" w:cs="宋体"/>
          <w:bCs/>
          <w:color w:val="auto"/>
          <w:sz w:val="24"/>
        </w:rPr>
        <w:t>●</w:t>
      </w:r>
      <w:r>
        <w:rPr>
          <w:rFonts w:hint="eastAsia" w:ascii="Times New Roman" w:hAnsi="Times New Roman" w:eastAsia="宋体" w:cs="宋体"/>
          <w:color w:val="auto"/>
          <w:sz w:val="24"/>
        </w:rPr>
        <w:t>施工扬尘：施工场地、施工道路的扬尘可用洒水和清扫措施予以抑制，另外，运输材料应做到较好地覆盖、避免敞开式运输；石灰、砂石等尽可能不要露天堆放，如不得不敞开堆放，应对其进行洒水，提高表面含水率，从而起到抑尘的效果。预计在采取上述措施后，施工期扬尘污染可得到有效控制，对周边环境的影响也将降至最低。</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color w:val="auto"/>
          <w:kern w:val="0"/>
          <w:sz w:val="24"/>
        </w:rPr>
      </w:pPr>
      <w:r>
        <w:rPr>
          <w:rFonts w:hint="eastAsia" w:ascii="Times New Roman" w:hAnsi="Times New Roman" w:eastAsia="宋体" w:cs="宋体"/>
          <w:color w:val="auto"/>
          <w:sz w:val="24"/>
        </w:rPr>
        <w:t>②水环境影响</w:t>
      </w:r>
      <w:r>
        <w:rPr>
          <w:rFonts w:hint="eastAsia" w:ascii="Times New Roman" w:hAnsi="Times New Roman" w:eastAsia="宋体" w:cs="宋体"/>
          <w:color w:val="auto"/>
          <w:kern w:val="0"/>
          <w:sz w:val="24"/>
        </w:rPr>
        <w:t>评价结论</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color w:val="auto"/>
          <w:sz w:val="24"/>
        </w:rPr>
      </w:pPr>
      <w:r>
        <w:rPr>
          <w:rFonts w:hint="eastAsia" w:ascii="Times New Roman" w:hAnsi="Times New Roman" w:eastAsia="宋体" w:cs="宋体"/>
          <w:color w:val="auto"/>
          <w:sz w:val="24"/>
        </w:rPr>
        <w:t>工程施工期对水环境的影响主要表现为施工生产废水和生活污水对地表水质的影响。施工生产废水环评要求经沉淀、隔油、除渣处理后回用。项目施工期间生活废水量产生量较少，施工生活污水利用临时旱厕，粪便采取定期收集外运用于农田施肥。项目施工期废水均不外排，不会对地表水造成不良影响。</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color w:val="auto"/>
          <w:kern w:val="0"/>
          <w:sz w:val="24"/>
        </w:rPr>
      </w:pPr>
      <w:r>
        <w:rPr>
          <w:rFonts w:hint="eastAsia" w:ascii="Times New Roman" w:hAnsi="Times New Roman" w:eastAsia="宋体" w:cs="宋体"/>
          <w:color w:val="auto"/>
          <w:sz w:val="24"/>
        </w:rPr>
        <w:t>③声环境影响</w:t>
      </w:r>
      <w:r>
        <w:rPr>
          <w:rFonts w:hint="eastAsia" w:ascii="Times New Roman" w:hAnsi="Times New Roman" w:eastAsia="宋体" w:cs="宋体"/>
          <w:color w:val="auto"/>
          <w:kern w:val="0"/>
          <w:sz w:val="24"/>
        </w:rPr>
        <w:t>评价结论</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93"/>
        <w:jc w:val="both"/>
        <w:textAlignment w:val="auto"/>
        <w:outlineLvl w:val="9"/>
        <w:rPr>
          <w:rFonts w:hint="eastAsia" w:ascii="Times New Roman" w:hAnsi="Times New Roman" w:eastAsia="宋体" w:cs="宋体"/>
          <w:color w:val="auto"/>
          <w:kern w:val="28"/>
          <w:sz w:val="24"/>
          <w:szCs w:val="28"/>
        </w:rPr>
      </w:pPr>
      <w:r>
        <w:rPr>
          <w:rFonts w:hint="eastAsia" w:ascii="Times New Roman" w:hAnsi="Times New Roman" w:eastAsia="宋体" w:cs="宋体"/>
          <w:color w:val="auto"/>
          <w:kern w:val="28"/>
          <w:sz w:val="24"/>
          <w:szCs w:val="28"/>
        </w:rPr>
        <w:t>本项目施工期间昼间大部分施工机械设备噪声在距施工场地外侧10~70m范围可满足《建筑施工场界环境噪声排放标准》（GB12523-2011）中的相关规定，夜间大部分施工机械设备噪声在距施工场地外侧40~260m范围可满足《建筑施工场界环境噪声排放标准》（GB12523-2011）中的相关规定建议建设单位、设计单位在初步设计阶段，采取合理的施工区布局及施工进度设计方案，尽量减少施工场界噪声影响。</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Times New Roman" w:hAnsi="Times New Roman" w:eastAsia="宋体" w:cs="宋体"/>
          <w:color w:val="auto"/>
          <w:kern w:val="0"/>
          <w:sz w:val="24"/>
        </w:rPr>
      </w:pPr>
      <w:r>
        <w:rPr>
          <w:rFonts w:hint="eastAsia" w:ascii="Times New Roman" w:hAnsi="Times New Roman" w:eastAsia="宋体" w:cs="宋体"/>
          <w:color w:val="auto"/>
          <w:sz w:val="24"/>
        </w:rPr>
        <w:t>④固体废弃物影响</w:t>
      </w:r>
      <w:r>
        <w:rPr>
          <w:rFonts w:hint="eastAsia" w:ascii="Times New Roman" w:hAnsi="Times New Roman" w:eastAsia="宋体" w:cs="宋体"/>
          <w:color w:val="auto"/>
          <w:kern w:val="0"/>
          <w:sz w:val="24"/>
        </w:rPr>
        <w:t>评价结论</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Times New Roman" w:hAnsi="Times New Roman" w:eastAsia="宋体" w:cs="宋体"/>
          <w:color w:val="auto"/>
          <w:sz w:val="24"/>
        </w:rPr>
      </w:pPr>
      <w:r>
        <w:rPr>
          <w:rFonts w:hint="eastAsia" w:ascii="Times New Roman" w:hAnsi="Times New Roman" w:eastAsia="宋体" w:cs="宋体"/>
          <w:color w:val="auto"/>
          <w:sz w:val="24"/>
        </w:rPr>
        <w:t>固体废弃物主要是施工期的弃渣及生活垃圾，弃渣主要为土料。整个场地整平后，多余土石方用于填埋场作业用土，不外排。生活垃圾环评要求进行收集后交由环卫部门处理，不得随意抛洒。施工方充分利用建筑垃圾，不可回收部分运往建筑部门指定地点，固废妥善处理后对环境影响小。</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Times New Roman" w:hAnsi="Times New Roman" w:eastAsia="宋体" w:cs="宋体"/>
          <w:color w:val="auto"/>
          <w:sz w:val="24"/>
        </w:rPr>
      </w:pPr>
      <w:r>
        <w:rPr>
          <w:rFonts w:hint="eastAsia" w:ascii="Times New Roman" w:hAnsi="Times New Roman" w:eastAsia="宋体" w:cs="宋体"/>
          <w:color w:val="auto"/>
          <w:sz w:val="24"/>
        </w:rPr>
        <w:t>（</w:t>
      </w:r>
      <w:r>
        <w:rPr>
          <w:rFonts w:hint="eastAsia" w:ascii="Times New Roman" w:hAnsi="Times New Roman" w:eastAsia="宋体" w:cs="宋体"/>
          <w:color w:val="auto"/>
          <w:sz w:val="24"/>
          <w:lang w:val="en-US" w:eastAsia="zh-CN"/>
        </w:rPr>
        <w:t>2</w:t>
      </w:r>
      <w:r>
        <w:rPr>
          <w:rFonts w:hint="eastAsia" w:ascii="Times New Roman" w:hAnsi="Times New Roman" w:eastAsia="宋体" w:cs="宋体"/>
          <w:color w:val="auto"/>
          <w:sz w:val="24"/>
        </w:rPr>
        <w:t>）运行期环境影响</w:t>
      </w:r>
      <w:r>
        <w:rPr>
          <w:rFonts w:hint="eastAsia" w:ascii="Times New Roman" w:hAnsi="Times New Roman" w:eastAsia="宋体" w:cs="宋体"/>
          <w:color w:val="auto"/>
          <w:kern w:val="0"/>
          <w:sz w:val="24"/>
        </w:rPr>
        <w:t>评价结论</w:t>
      </w:r>
    </w:p>
    <w:p>
      <w:pPr>
        <w:pStyle w:val="149"/>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eastAsia" w:ascii="Times New Roman" w:hAnsi="Times New Roman" w:eastAsia="宋体" w:cs="宋体"/>
          <w:color w:val="auto"/>
        </w:rPr>
      </w:pPr>
      <w:r>
        <w:rPr>
          <w:rFonts w:hint="eastAsia" w:ascii="Times New Roman" w:hAnsi="Times New Roman" w:eastAsia="宋体" w:cs="宋体"/>
          <w:color w:val="auto"/>
        </w:rPr>
        <w:t>①大气环境影响</w:t>
      </w:r>
      <w:r>
        <w:rPr>
          <w:rFonts w:hint="eastAsia" w:ascii="Times New Roman" w:hAnsi="Times New Roman" w:eastAsia="宋体" w:cs="宋体"/>
          <w:color w:val="auto"/>
          <w:kern w:val="0"/>
        </w:rPr>
        <w:t>评价结论</w:t>
      </w:r>
    </w:p>
    <w:p>
      <w:pPr>
        <w:pStyle w:val="149"/>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eastAsia" w:ascii="Times New Roman" w:hAnsi="Times New Roman" w:eastAsia="宋体" w:cs="宋体"/>
          <w:color w:val="auto"/>
        </w:rPr>
      </w:pPr>
      <w:r>
        <w:rPr>
          <w:rFonts w:hint="eastAsia" w:ascii="Times New Roman" w:hAnsi="Times New Roman" w:eastAsia="宋体" w:cs="宋体"/>
          <w:color w:val="auto"/>
        </w:rPr>
        <w:t>工程运行期主要是填埋作业扬尘以及道路扬尘对大气环境的影响。</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Times New Roman" w:hAnsi="Times New Roman" w:eastAsia="宋体" w:cs="宋体"/>
          <w:color w:val="auto"/>
          <w:sz w:val="24"/>
          <w:szCs w:val="24"/>
        </w:rPr>
      </w:pPr>
      <w:r>
        <w:rPr>
          <w:rFonts w:hint="eastAsia" w:ascii="Times New Roman" w:hAnsi="Times New Roman" w:eastAsia="宋体" w:cs="宋体"/>
          <w:color w:val="auto"/>
          <w:sz w:val="24"/>
          <w:szCs w:val="24"/>
        </w:rPr>
        <w:t>道路运输车辆产生一定的道路扬尘，通过控制车速及洒水降尘对大气环境影响较小。本项目填埋固体废物为一般工业固体废物，填埋场主要处理的固废为</w:t>
      </w:r>
      <w:r>
        <w:rPr>
          <w:rFonts w:hint="eastAsia" w:ascii="Times New Roman" w:hAnsi="Times New Roman" w:eastAsia="宋体" w:cs="宋体"/>
          <w:color w:val="auto"/>
          <w:sz w:val="24"/>
          <w:szCs w:val="24"/>
          <w:lang w:eastAsia="zh-CN"/>
        </w:rPr>
        <w:t>固化后的飞灰，</w:t>
      </w:r>
      <w:r>
        <w:rPr>
          <w:rFonts w:hint="eastAsia" w:ascii="Times New Roman" w:hAnsi="Times New Roman" w:eastAsia="宋体" w:cs="宋体"/>
          <w:color w:val="auto"/>
          <w:sz w:val="24"/>
          <w:szCs w:val="24"/>
        </w:rPr>
        <w:t>填埋场建成以后，从预测结果看，填埋作业扬尘最大落地点浓度均未超标，能满足相应的标准。</w:t>
      </w:r>
    </w:p>
    <w:p>
      <w:pPr>
        <w:pageBreakBefore w:val="0"/>
        <w:kinsoku/>
        <w:wordWrap/>
        <w:overflowPunct/>
        <w:topLinePunct w:val="0"/>
        <w:autoSpaceDE/>
        <w:autoSpaceDN/>
        <w:bidi w:val="0"/>
        <w:adjustRightInd/>
        <w:snapToGrid/>
        <w:spacing w:line="360" w:lineRule="auto"/>
        <w:ind w:left="0" w:firstLine="480" w:firstLineChars="200"/>
        <w:rPr>
          <w:rFonts w:hint="default" w:ascii="Times New Roman" w:hAnsi="Times New Roman" w:eastAsia="宋体" w:cs="Times New Roman"/>
          <w:b/>
          <w:bCs w:val="0"/>
          <w:strike w:val="0"/>
          <w:dstrike w:val="0"/>
          <w:color w:val="auto"/>
          <w:highlight w:val="none"/>
        </w:rPr>
      </w:pPr>
      <w:r>
        <w:rPr>
          <w:rFonts w:hint="eastAsia" w:ascii="Times New Roman" w:hAnsi="Times New Roman" w:eastAsia="宋体" w:cs="宋体"/>
          <w:color w:val="auto"/>
          <w:sz w:val="24"/>
          <w:szCs w:val="24"/>
          <w:lang w:eastAsia="zh-CN"/>
        </w:rPr>
        <w:t>本次评价确定本项目的厂界环境防护距离设为</w:t>
      </w:r>
      <w:r>
        <w:rPr>
          <w:rFonts w:hint="eastAsia" w:ascii="Times New Roman" w:hAnsi="Times New Roman" w:eastAsia="宋体" w:cs="宋体"/>
          <w:color w:val="auto"/>
          <w:sz w:val="24"/>
          <w:szCs w:val="24"/>
          <w:lang w:val="en-US" w:eastAsia="zh-CN"/>
        </w:rPr>
        <w:t>2</w:t>
      </w:r>
      <w:r>
        <w:rPr>
          <w:rFonts w:hint="eastAsia" w:ascii="Times New Roman" w:hAnsi="Times New Roman" w:eastAsia="宋体" w:cs="宋体"/>
          <w:color w:val="auto"/>
          <w:sz w:val="24"/>
          <w:szCs w:val="24"/>
          <w:lang w:eastAsia="zh-CN"/>
        </w:rPr>
        <w:t>00m。项目现状环境防护距离内无环境保护目标，</w:t>
      </w:r>
      <w:r>
        <w:rPr>
          <w:rFonts w:hint="eastAsia" w:ascii="Times New Roman" w:hAnsi="Times New Roman" w:eastAsia="宋体" w:cs="宋体"/>
          <w:bCs/>
          <w:color w:val="auto"/>
          <w:sz w:val="24"/>
        </w:rPr>
        <w:t>今后在</w:t>
      </w:r>
      <w:r>
        <w:rPr>
          <w:rFonts w:hint="eastAsia" w:ascii="Times New Roman" w:hAnsi="Times New Roman" w:eastAsia="宋体" w:cs="宋体"/>
          <w:bCs/>
          <w:color w:val="auto"/>
          <w:sz w:val="24"/>
          <w:lang w:eastAsia="zh-CN"/>
        </w:rPr>
        <w:t>环境</w:t>
      </w:r>
      <w:r>
        <w:rPr>
          <w:rFonts w:hint="eastAsia" w:ascii="Times New Roman" w:hAnsi="Times New Roman" w:eastAsia="宋体" w:cs="宋体"/>
          <w:bCs/>
          <w:color w:val="auto"/>
          <w:sz w:val="24"/>
        </w:rPr>
        <w:t>防护距离内，不得设置</w:t>
      </w:r>
      <w:r>
        <w:rPr>
          <w:rFonts w:hint="eastAsia" w:ascii="Times New Roman" w:hAnsi="Times New Roman" w:eastAsia="宋体" w:cs="宋体"/>
          <w:bCs/>
          <w:color w:val="auto"/>
          <w:sz w:val="24"/>
          <w:lang w:eastAsia="zh-CN"/>
        </w:rPr>
        <w:t>以居住、医疗卫生、文化教育、科研、行政办公等为主要功能的区域，以确保本项目的环境防护距离能够满足要求</w:t>
      </w:r>
      <w:r>
        <w:rPr>
          <w:rFonts w:hint="eastAsia" w:ascii="Times New Roman" w:hAnsi="Times New Roman" w:eastAsia="宋体" w:cs="宋体"/>
          <w:bCs/>
          <w:color w:val="auto"/>
          <w:sz w:val="24"/>
        </w:rPr>
        <w:t>。</w:t>
      </w:r>
    </w:p>
    <w:p>
      <w:pPr>
        <w:pStyle w:val="149"/>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eastAsia" w:ascii="Times New Roman" w:hAnsi="Times New Roman" w:eastAsia="宋体" w:cs="宋体"/>
          <w:color w:val="auto"/>
        </w:rPr>
      </w:pPr>
      <w:r>
        <w:rPr>
          <w:rFonts w:hint="eastAsia" w:ascii="Times New Roman" w:hAnsi="Times New Roman" w:eastAsia="宋体" w:cs="宋体"/>
          <w:color w:val="auto"/>
        </w:rPr>
        <w:t>②水环境影响</w:t>
      </w:r>
      <w:r>
        <w:rPr>
          <w:rFonts w:hint="eastAsia" w:ascii="Times New Roman" w:hAnsi="Times New Roman" w:eastAsia="宋体" w:cs="宋体"/>
          <w:color w:val="auto"/>
          <w:kern w:val="0"/>
        </w:rPr>
        <w:t>评价结论</w:t>
      </w:r>
    </w:p>
    <w:p>
      <w:pPr>
        <w:pStyle w:val="149"/>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eastAsia" w:ascii="Times New Roman" w:hAnsi="Times New Roman" w:eastAsia="宋体" w:cs="宋体"/>
          <w:color w:val="auto"/>
        </w:rPr>
      </w:pPr>
      <w:r>
        <w:rPr>
          <w:rFonts w:hint="eastAsia" w:ascii="Times New Roman" w:hAnsi="Times New Roman" w:eastAsia="宋体" w:cs="宋体"/>
          <w:color w:val="auto"/>
          <w:sz w:val="24"/>
        </w:rPr>
        <w:t>工程运营期主废水主要为填埋场库区产生的渗滤液和生活污水</w:t>
      </w:r>
      <w:r>
        <w:rPr>
          <w:rFonts w:hint="eastAsia" w:ascii="Times New Roman" w:hAnsi="Times New Roman" w:eastAsia="宋体" w:cs="宋体"/>
          <w:color w:val="auto"/>
          <w:sz w:val="24"/>
          <w:lang w:eastAsia="zh-CN"/>
        </w:rPr>
        <w:t>。</w:t>
      </w:r>
      <w:r>
        <w:rPr>
          <w:rFonts w:hint="eastAsia" w:ascii="Times New Roman" w:hAnsi="Times New Roman" w:eastAsia="宋体" w:cs="宋体"/>
          <w:b w:val="0"/>
          <w:bCs w:val="0"/>
          <w:color w:val="auto"/>
          <w:sz w:val="24"/>
          <w:szCs w:val="24"/>
          <w:lang w:eastAsia="zh-CN"/>
        </w:rPr>
        <w:t>本项目</w:t>
      </w:r>
      <w:r>
        <w:rPr>
          <w:rFonts w:hint="eastAsia" w:ascii="Times New Roman" w:hAnsi="Times New Roman" w:eastAsia="宋体"/>
          <w:color w:val="auto"/>
          <w:kern w:val="1"/>
          <w:sz w:val="24"/>
          <w:szCs w:val="24"/>
          <w:lang w:eastAsia="zh-CN"/>
        </w:rPr>
        <w:t>渗滤液收集后定期送入厂区南侧的灵璧县生活垃圾填埋场处理，不外排。项目不设管理区，生活污水依托厂区南侧的灵璧县生活垃圾填埋场处理。</w:t>
      </w:r>
      <w:r>
        <w:rPr>
          <w:rFonts w:hint="eastAsia" w:ascii="Times New Roman" w:hAnsi="Times New Roman" w:eastAsia="宋体"/>
          <w:snapToGrid w:val="0"/>
          <w:color w:val="auto"/>
        </w:rPr>
        <w:t>因此，本项目的废水全部回用不外排，正常情况下不会对厂址附近的地表水环境质量造成影响。</w:t>
      </w:r>
    </w:p>
    <w:p>
      <w:pPr>
        <w:pStyle w:val="149"/>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eastAsia" w:ascii="Times New Roman" w:hAnsi="Times New Roman" w:eastAsia="宋体" w:cs="宋体"/>
          <w:color w:val="auto"/>
        </w:rPr>
      </w:pPr>
      <w:r>
        <w:rPr>
          <w:rFonts w:hint="eastAsia" w:ascii="Times New Roman" w:hAnsi="Times New Roman" w:eastAsia="宋体" w:cs="宋体"/>
          <w:color w:val="auto"/>
        </w:rPr>
        <w:t>③地下水环境影响</w:t>
      </w:r>
      <w:r>
        <w:rPr>
          <w:rFonts w:hint="eastAsia" w:ascii="Times New Roman" w:hAnsi="Times New Roman" w:eastAsia="宋体" w:cs="宋体"/>
          <w:color w:val="auto"/>
          <w:kern w:val="0"/>
        </w:rPr>
        <w:t>评价结论</w:t>
      </w:r>
    </w:p>
    <w:p>
      <w:pPr>
        <w:pStyle w:val="149"/>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eastAsia" w:ascii="Times New Roman" w:hAnsi="Times New Roman" w:eastAsia="宋体" w:cs="宋体"/>
          <w:color w:val="auto"/>
        </w:rPr>
      </w:pPr>
      <w:r>
        <w:rPr>
          <w:rFonts w:hint="eastAsia" w:ascii="Times New Roman" w:hAnsi="Times New Roman" w:eastAsia="宋体" w:cs="宋体"/>
          <w:color w:val="auto"/>
        </w:rPr>
        <w:t>拟建项目为防止渗滤液对地下水的污染，</w:t>
      </w:r>
      <w:r>
        <w:rPr>
          <w:rFonts w:hint="eastAsia" w:ascii="Times New Roman" w:hAnsi="Times New Roman" w:eastAsia="宋体" w:cs="宋体"/>
          <w:color w:val="auto"/>
          <w:kern w:val="0"/>
        </w:rPr>
        <w:t>本项目采用“HDPE+土工布+粘土层”的复合防渗结构，其结构为</w:t>
      </w:r>
      <w:r>
        <w:rPr>
          <w:rFonts w:hint="eastAsia" w:ascii="Times New Roman" w:hAnsi="Times New Roman" w:eastAsia="宋体" w:cs="宋体"/>
          <w:color w:val="auto"/>
        </w:rPr>
        <w:t>HDPE膜2.0mm，膜下保护层采用600g/m</w:t>
      </w:r>
      <w:r>
        <w:rPr>
          <w:rFonts w:hint="eastAsia" w:ascii="Times New Roman" w:hAnsi="Times New Roman" w:eastAsia="宋体" w:cs="宋体"/>
          <w:color w:val="auto"/>
          <w:vertAlign w:val="superscript"/>
        </w:rPr>
        <w:t>2</w:t>
      </w:r>
      <w:r>
        <w:rPr>
          <w:rFonts w:hint="eastAsia" w:ascii="Times New Roman" w:hAnsi="Times New Roman" w:eastAsia="宋体" w:cs="宋体"/>
          <w:color w:val="auto"/>
          <w:lang w:eastAsia="zh-CN"/>
        </w:rPr>
        <w:t>聚酯</w:t>
      </w:r>
      <w:r>
        <w:rPr>
          <w:rFonts w:hint="eastAsia" w:ascii="Times New Roman" w:hAnsi="Times New Roman" w:eastAsia="宋体" w:cs="宋体"/>
          <w:color w:val="auto"/>
        </w:rPr>
        <w:t>长丝</w:t>
      </w:r>
      <w:r>
        <w:rPr>
          <w:rFonts w:hint="eastAsia" w:ascii="Times New Roman" w:hAnsi="Times New Roman" w:eastAsia="宋体" w:cs="宋体"/>
          <w:color w:val="auto"/>
          <w:lang w:eastAsia="zh-CN"/>
        </w:rPr>
        <w:t>无纺</w:t>
      </w:r>
      <w:r>
        <w:rPr>
          <w:rFonts w:hint="eastAsia" w:ascii="Times New Roman" w:hAnsi="Times New Roman" w:eastAsia="宋体" w:cs="宋体"/>
          <w:color w:val="auto"/>
        </w:rPr>
        <w:t>土工布</w:t>
      </w:r>
      <w:r>
        <w:rPr>
          <w:rFonts w:hint="eastAsia" w:ascii="Times New Roman" w:hAnsi="Times New Roman" w:eastAsia="宋体" w:cs="宋体"/>
          <w:color w:val="auto"/>
          <w:lang w:eastAsia="zh-CN"/>
        </w:rPr>
        <w:t>和</w:t>
      </w:r>
      <w:r>
        <w:rPr>
          <w:rFonts w:hint="eastAsia" w:ascii="Times New Roman" w:hAnsi="Times New Roman" w:eastAsia="宋体" w:cs="宋体"/>
          <w:color w:val="auto"/>
          <w:lang w:val="en-US" w:eastAsia="zh-CN"/>
        </w:rPr>
        <w:t>600mm</w:t>
      </w:r>
      <w:r>
        <w:rPr>
          <w:rFonts w:hint="eastAsia" w:ascii="Times New Roman" w:hAnsi="Times New Roman" w:eastAsia="宋体" w:cs="宋体"/>
          <w:color w:val="auto"/>
          <w:lang w:eastAsia="zh-CN"/>
        </w:rPr>
        <w:t>厚</w:t>
      </w:r>
      <w:r>
        <w:rPr>
          <w:rFonts w:hint="eastAsia" w:ascii="Times New Roman" w:hAnsi="Times New Roman" w:eastAsia="宋体" w:cs="宋体"/>
          <w:color w:val="auto"/>
        </w:rPr>
        <w:t>粘土</w:t>
      </w:r>
      <w:r>
        <w:rPr>
          <w:rFonts w:hint="eastAsia" w:ascii="Times New Roman" w:hAnsi="Times New Roman" w:eastAsia="宋体" w:cs="宋体"/>
          <w:color w:val="auto"/>
          <w:lang w:eastAsia="zh-CN"/>
        </w:rPr>
        <w:t>层</w:t>
      </w:r>
      <w:r>
        <w:rPr>
          <w:rFonts w:hint="eastAsia" w:ascii="Times New Roman" w:hAnsi="Times New Roman" w:eastAsia="宋体" w:cs="宋体"/>
          <w:color w:val="auto"/>
        </w:rPr>
        <w:t>；膜上保护层采用</w:t>
      </w:r>
      <w:r>
        <w:rPr>
          <w:rFonts w:hint="eastAsia" w:ascii="Times New Roman" w:hAnsi="Times New Roman" w:eastAsia="宋体" w:cs="宋体"/>
          <w:color w:val="auto"/>
          <w:lang w:val="en-US" w:eastAsia="zh-CN"/>
        </w:rPr>
        <w:t>8</w:t>
      </w:r>
      <w:r>
        <w:rPr>
          <w:rFonts w:hint="eastAsia" w:ascii="Times New Roman" w:hAnsi="Times New Roman" w:eastAsia="宋体" w:cs="宋体"/>
          <w:color w:val="auto"/>
        </w:rPr>
        <w:t>00g/m</w:t>
      </w:r>
      <w:r>
        <w:rPr>
          <w:rFonts w:hint="eastAsia" w:ascii="Times New Roman" w:hAnsi="Times New Roman" w:eastAsia="宋体" w:cs="宋体"/>
          <w:color w:val="auto"/>
          <w:vertAlign w:val="superscript"/>
        </w:rPr>
        <w:t>2</w:t>
      </w:r>
      <w:r>
        <w:rPr>
          <w:rFonts w:hint="eastAsia" w:ascii="Times New Roman" w:hAnsi="Times New Roman" w:eastAsia="宋体" w:cs="宋体"/>
          <w:color w:val="auto"/>
          <w:lang w:eastAsia="zh-CN"/>
        </w:rPr>
        <w:t>聚酯</w:t>
      </w:r>
      <w:r>
        <w:rPr>
          <w:rFonts w:hint="eastAsia" w:ascii="Times New Roman" w:hAnsi="Times New Roman" w:eastAsia="宋体" w:cs="宋体"/>
          <w:color w:val="auto"/>
        </w:rPr>
        <w:t>长丝</w:t>
      </w:r>
      <w:r>
        <w:rPr>
          <w:rFonts w:hint="eastAsia" w:ascii="Times New Roman" w:hAnsi="Times New Roman" w:eastAsia="宋体" w:cs="宋体"/>
          <w:color w:val="auto"/>
          <w:lang w:eastAsia="zh-CN"/>
        </w:rPr>
        <w:t>无纺</w:t>
      </w:r>
      <w:r>
        <w:rPr>
          <w:rFonts w:hint="eastAsia" w:ascii="Times New Roman" w:hAnsi="Times New Roman" w:eastAsia="宋体" w:cs="宋体"/>
          <w:color w:val="auto"/>
        </w:rPr>
        <w:t>土工布，</w:t>
      </w:r>
      <w:r>
        <w:rPr>
          <w:rFonts w:hint="eastAsia" w:ascii="Times New Roman" w:hAnsi="Times New Roman" w:eastAsia="宋体" w:cs="宋体"/>
          <w:color w:val="auto"/>
          <w:kern w:val="0"/>
        </w:rPr>
        <w:t>可满足相应防渗技术规范的要求。</w:t>
      </w:r>
      <w:r>
        <w:rPr>
          <w:rFonts w:hint="eastAsia" w:ascii="Times New Roman" w:hAnsi="Times New Roman" w:eastAsia="宋体" w:cs="宋体"/>
          <w:color w:val="auto"/>
        </w:rPr>
        <w:t>同时，采取“三水分离”的排水方案，将地下水、库区周边洪水、库区内清洁雨水与渗滤液隔绝，地下水采用盲沟作为地下水导排系统，填埋场周围设截洪沟，减少了降水侵入填埋堆体和对防渗层产生不良作用，因此可以保障填埋场防渗层的安全运行，不会对地下水造成污染。同时本环评要求在施工期应加强防渗膜铺设的环境监理工作，同时运行期设置地下水监测井，加强对监测井水质的监测，制定完善的应急预案，一旦发现渗漏，及时采取补救措施。</w:t>
      </w:r>
    </w:p>
    <w:p>
      <w:pPr>
        <w:pStyle w:val="149"/>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eastAsia" w:ascii="Times New Roman" w:hAnsi="Times New Roman" w:eastAsia="宋体" w:cs="宋体"/>
          <w:color w:val="auto"/>
        </w:rPr>
      </w:pPr>
      <w:r>
        <w:rPr>
          <w:rFonts w:hint="eastAsia" w:ascii="Times New Roman" w:hAnsi="Times New Roman" w:eastAsia="宋体" w:cs="宋体"/>
          <w:color w:val="auto"/>
        </w:rPr>
        <w:t>④声环境影响</w:t>
      </w:r>
      <w:r>
        <w:rPr>
          <w:rFonts w:hint="eastAsia" w:ascii="Times New Roman" w:hAnsi="Times New Roman" w:eastAsia="宋体" w:cs="宋体"/>
          <w:color w:val="auto"/>
          <w:kern w:val="0"/>
        </w:rPr>
        <w:t>评价结论</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Times New Roman" w:hAnsi="Times New Roman" w:eastAsia="宋体" w:cs="宋体"/>
          <w:color w:val="auto"/>
          <w:sz w:val="24"/>
        </w:rPr>
      </w:pPr>
      <w:r>
        <w:rPr>
          <w:rFonts w:hint="eastAsia" w:ascii="Times New Roman" w:hAnsi="Times New Roman" w:eastAsia="宋体" w:cs="宋体"/>
          <w:color w:val="auto"/>
          <w:sz w:val="24"/>
        </w:rPr>
        <w:t>填埋场在运营期产生的噪声主要来源于填埋场作业设备及垃圾运输车辆，主要以移动</w:t>
      </w:r>
      <w:r>
        <w:rPr>
          <w:rFonts w:hint="eastAsia" w:ascii="Times New Roman" w:hAnsi="Times New Roman" w:eastAsia="宋体" w:cs="宋体"/>
          <w:color w:val="auto"/>
          <w:sz w:val="24"/>
          <w:lang w:eastAsia="zh-CN"/>
        </w:rPr>
        <w:t>声</w:t>
      </w:r>
      <w:r>
        <w:rPr>
          <w:rFonts w:hint="eastAsia" w:ascii="Times New Roman" w:hAnsi="Times New Roman" w:eastAsia="宋体" w:cs="宋体"/>
          <w:color w:val="auto"/>
          <w:sz w:val="24"/>
        </w:rPr>
        <w:t>源为主，在填埋场一定范围内移动，且以中低频噪声为主。拟建工程建成后，运行期厂界噪声执行《工业企业厂界环境噪声排放标准》（GB12</w:t>
      </w:r>
      <w:r>
        <w:rPr>
          <w:rFonts w:hint="eastAsia" w:ascii="Times New Roman" w:hAnsi="Times New Roman" w:eastAsia="宋体" w:cs="宋体"/>
          <w:color w:val="auto"/>
          <w:sz w:val="24"/>
          <w:lang w:eastAsia="zh-CN"/>
        </w:rPr>
        <w:t>206</w:t>
      </w:r>
      <w:r>
        <w:rPr>
          <w:rFonts w:hint="eastAsia" w:ascii="Times New Roman" w:hAnsi="Times New Roman" w:eastAsia="宋体" w:cs="宋体"/>
          <w:color w:val="auto"/>
          <w:sz w:val="24"/>
        </w:rPr>
        <w:t>-2008）</w:t>
      </w:r>
      <w:r>
        <w:rPr>
          <w:rFonts w:hint="eastAsia" w:ascii="Times New Roman" w:hAnsi="Times New Roman" w:eastAsia="宋体" w:cs="宋体"/>
          <w:color w:val="auto"/>
          <w:sz w:val="24"/>
          <w:lang w:val="en-US" w:eastAsia="zh-CN"/>
        </w:rPr>
        <w:t>2</w:t>
      </w:r>
      <w:r>
        <w:rPr>
          <w:rFonts w:hint="eastAsia" w:ascii="Times New Roman" w:hAnsi="Times New Roman" w:eastAsia="宋体" w:cs="宋体"/>
          <w:color w:val="auto"/>
          <w:sz w:val="24"/>
        </w:rPr>
        <w:t>类标准，即昼间6</w:t>
      </w:r>
      <w:r>
        <w:rPr>
          <w:rFonts w:hint="eastAsia" w:ascii="Times New Roman" w:hAnsi="Times New Roman" w:eastAsia="宋体" w:cs="宋体"/>
          <w:color w:val="auto"/>
          <w:sz w:val="24"/>
          <w:lang w:val="en-US" w:eastAsia="zh-CN"/>
        </w:rPr>
        <w:t>0</w:t>
      </w:r>
      <w:r>
        <w:rPr>
          <w:rFonts w:hint="eastAsia" w:ascii="Times New Roman" w:hAnsi="Times New Roman" w:eastAsia="宋体" w:cs="宋体"/>
          <w:color w:val="auto"/>
          <w:sz w:val="24"/>
        </w:rPr>
        <w:t>dB（A）、夜间5</w:t>
      </w:r>
      <w:r>
        <w:rPr>
          <w:rFonts w:hint="eastAsia" w:ascii="Times New Roman" w:hAnsi="Times New Roman" w:eastAsia="宋体" w:cs="宋体"/>
          <w:color w:val="auto"/>
          <w:sz w:val="24"/>
          <w:lang w:val="en-US" w:eastAsia="zh-CN"/>
        </w:rPr>
        <w:t>0</w:t>
      </w:r>
      <w:r>
        <w:rPr>
          <w:rFonts w:hint="eastAsia" w:ascii="Times New Roman" w:hAnsi="Times New Roman" w:eastAsia="宋体" w:cs="宋体"/>
          <w:color w:val="auto"/>
          <w:sz w:val="24"/>
        </w:rPr>
        <w:t>dB（A）。本工程夜间基本不进行填埋操作，故噪声影响可不考虑。该填埋场填埋机械大多位于填埋库区作业，受距离衰减、绿化隔离带等影响，运行期噪声超标距离小于预测值。同时本工程垃圾处理量不大，作业机械运作时间不长，且为歇性作业。因此环评建议各类机械设备加强基座减</w:t>
      </w:r>
      <w:r>
        <w:rPr>
          <w:rFonts w:hint="eastAsia" w:ascii="Times New Roman" w:hAnsi="Times New Roman" w:eastAsia="宋体" w:cs="宋体"/>
          <w:color w:val="auto"/>
          <w:sz w:val="24"/>
          <w:lang w:eastAsia="zh-CN"/>
        </w:rPr>
        <w:t>振</w:t>
      </w:r>
      <w:r>
        <w:rPr>
          <w:rFonts w:hint="eastAsia" w:ascii="Times New Roman" w:hAnsi="Times New Roman" w:eastAsia="宋体" w:cs="宋体"/>
          <w:color w:val="auto"/>
          <w:sz w:val="24"/>
        </w:rPr>
        <w:t>，时常维护，保持机械维持在良好的工作状况下，降低噪声的影响，使其噪声厂界达标，同时严格禁止夜间施工。</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Times New Roman" w:hAnsi="Times New Roman" w:eastAsia="宋体" w:cs="宋体"/>
          <w:color w:val="auto"/>
          <w:sz w:val="24"/>
        </w:rPr>
      </w:pPr>
      <w:r>
        <w:rPr>
          <w:rFonts w:hint="eastAsia" w:ascii="Times New Roman" w:hAnsi="Times New Roman" w:eastAsia="宋体" w:cs="宋体"/>
          <w:color w:val="auto"/>
          <w:sz w:val="24"/>
        </w:rPr>
        <w:t>采取上述措施后，场界噪声影响不明显。</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Times New Roman" w:hAnsi="Times New Roman" w:eastAsia="宋体" w:cs="宋体"/>
          <w:color w:val="auto"/>
          <w:sz w:val="24"/>
        </w:rPr>
      </w:pPr>
      <w:r>
        <w:rPr>
          <w:rFonts w:hint="eastAsia" w:ascii="Times New Roman" w:hAnsi="Times New Roman" w:eastAsia="宋体" w:cs="宋体"/>
          <w:color w:val="auto"/>
          <w:sz w:val="24"/>
        </w:rPr>
        <w:t>⑤固体废弃物环境影响</w:t>
      </w:r>
      <w:r>
        <w:rPr>
          <w:rFonts w:hint="eastAsia" w:ascii="Times New Roman" w:hAnsi="Times New Roman" w:eastAsia="宋体" w:cs="宋体"/>
          <w:color w:val="auto"/>
          <w:kern w:val="0"/>
          <w:sz w:val="24"/>
        </w:rPr>
        <w:t>评价结论</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Times New Roman" w:hAnsi="Times New Roman" w:eastAsia="宋体" w:cs="宋体"/>
          <w:color w:val="auto"/>
          <w:sz w:val="24"/>
        </w:rPr>
      </w:pPr>
      <w:r>
        <w:rPr>
          <w:rFonts w:hint="eastAsia" w:ascii="Times New Roman" w:hAnsi="Times New Roman" w:eastAsia="宋体" w:cs="宋体"/>
          <w:color w:val="auto"/>
          <w:sz w:val="24"/>
        </w:rPr>
        <w:t>工程运行期固废主要为生活垃圾，产生量生活垃圾</w:t>
      </w:r>
      <w:r>
        <w:rPr>
          <w:rFonts w:hint="eastAsia" w:ascii="Times New Roman" w:hAnsi="Times New Roman" w:eastAsia="宋体" w:cs="宋体"/>
          <w:color w:val="auto"/>
          <w:sz w:val="24"/>
          <w:lang w:val="en-US" w:eastAsia="zh-CN"/>
        </w:rPr>
        <w:t>3.65</w:t>
      </w:r>
      <w:r>
        <w:rPr>
          <w:rFonts w:hint="eastAsia" w:ascii="Times New Roman" w:hAnsi="Times New Roman" w:eastAsia="宋体" w:cs="宋体"/>
          <w:color w:val="auto"/>
          <w:sz w:val="24"/>
        </w:rPr>
        <w:t>t/a，</w:t>
      </w:r>
      <w:r>
        <w:rPr>
          <w:rFonts w:hint="eastAsia" w:ascii="Times New Roman" w:hAnsi="Times New Roman" w:eastAsia="宋体" w:cs="宋体"/>
          <w:color w:val="auto"/>
          <w:sz w:val="24"/>
          <w:lang w:eastAsia="zh-CN"/>
        </w:rPr>
        <w:t>依托生活垃圾填埋场</w:t>
      </w:r>
      <w:r>
        <w:rPr>
          <w:rFonts w:hint="eastAsia" w:ascii="Times New Roman" w:hAnsi="Times New Roman" w:eastAsia="宋体" w:cs="宋体"/>
          <w:color w:val="auto"/>
          <w:sz w:val="24"/>
        </w:rPr>
        <w:t>处置，固废妥善处理后对环境影响小。</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Times New Roman" w:hAnsi="Times New Roman" w:eastAsia="宋体" w:cs="宋体"/>
          <w:color w:val="auto"/>
          <w:sz w:val="24"/>
        </w:rPr>
      </w:pPr>
      <w:r>
        <w:rPr>
          <w:rFonts w:hint="eastAsia" w:ascii="Times New Roman" w:hAnsi="Times New Roman" w:eastAsia="宋体" w:cs="宋体"/>
          <w:color w:val="auto"/>
          <w:sz w:val="24"/>
        </w:rPr>
        <w:t>（4）封场期环境影响</w:t>
      </w:r>
      <w:r>
        <w:rPr>
          <w:rFonts w:hint="eastAsia" w:ascii="Times New Roman" w:hAnsi="Times New Roman" w:eastAsia="宋体" w:cs="宋体"/>
          <w:color w:val="auto"/>
          <w:kern w:val="0"/>
          <w:sz w:val="24"/>
        </w:rPr>
        <w:t>评价结论</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Times New Roman" w:hAnsi="Times New Roman" w:eastAsia="宋体" w:cs="宋体"/>
          <w:color w:val="auto"/>
          <w:sz w:val="24"/>
        </w:rPr>
      </w:pPr>
      <w:r>
        <w:rPr>
          <w:rFonts w:hint="eastAsia" w:ascii="Times New Roman" w:hAnsi="Times New Roman" w:eastAsia="宋体" w:cs="宋体"/>
          <w:color w:val="auto"/>
          <w:sz w:val="24"/>
        </w:rPr>
        <w:t>项目封场工程包括防渗排水层和植被层，分别为采用450cm厚粘土层，防渗系数K≤10</w:t>
      </w:r>
      <w:r>
        <w:rPr>
          <w:rFonts w:hint="eastAsia" w:ascii="Times New Roman" w:hAnsi="Times New Roman" w:eastAsia="宋体" w:cs="宋体"/>
          <w:color w:val="auto"/>
          <w:sz w:val="24"/>
          <w:vertAlign w:val="superscript"/>
        </w:rPr>
        <w:t>-7</w:t>
      </w:r>
      <w:r>
        <w:rPr>
          <w:rFonts w:hint="eastAsia" w:ascii="Times New Roman" w:hAnsi="Times New Roman" w:eastAsia="宋体" w:cs="宋体"/>
          <w:color w:val="auto"/>
          <w:sz w:val="24"/>
        </w:rPr>
        <w:t>cm/s，</w:t>
      </w:r>
      <w:r>
        <w:rPr>
          <w:rFonts w:hint="eastAsia" w:ascii="Times New Roman" w:hAnsi="Times New Roman" w:eastAsia="宋体" w:cs="宋体"/>
          <w:color w:val="auto"/>
          <w:sz w:val="24"/>
          <w:lang w:val="de-DE"/>
        </w:rPr>
        <w:t>覆盖</w:t>
      </w:r>
      <w:r>
        <w:rPr>
          <w:rFonts w:hint="eastAsia" w:ascii="Times New Roman" w:hAnsi="Times New Roman" w:eastAsia="宋体" w:cs="宋体"/>
          <w:color w:val="auto"/>
          <w:sz w:val="24"/>
          <w:lang w:val="de-DE" w:eastAsia="zh-CN"/>
        </w:rPr>
        <w:t>不少于</w:t>
      </w:r>
      <w:r>
        <w:rPr>
          <w:rFonts w:hint="eastAsia" w:ascii="Times New Roman" w:hAnsi="Times New Roman" w:eastAsia="宋体" w:cs="宋体"/>
          <w:color w:val="auto"/>
          <w:sz w:val="24"/>
          <w:lang w:val="de-DE"/>
        </w:rPr>
        <w:t>0.</w:t>
      </w:r>
      <w:r>
        <w:rPr>
          <w:rFonts w:hint="eastAsia" w:ascii="Times New Roman" w:hAnsi="Times New Roman" w:eastAsia="宋体" w:cs="宋体"/>
          <w:color w:val="auto"/>
          <w:sz w:val="24"/>
          <w:lang w:val="en-US" w:eastAsia="zh-CN"/>
        </w:rPr>
        <w:t>3</w:t>
      </w:r>
      <w:r>
        <w:rPr>
          <w:rFonts w:hint="eastAsia" w:ascii="Times New Roman" w:hAnsi="Times New Roman" w:eastAsia="宋体" w:cs="宋体"/>
          <w:color w:val="auto"/>
          <w:sz w:val="24"/>
          <w:lang w:val="de-DE"/>
        </w:rPr>
        <w:t>cm厚的耕筑土，种植植被。</w:t>
      </w:r>
      <w:r>
        <w:rPr>
          <w:rFonts w:hint="eastAsia" w:ascii="Times New Roman" w:hAnsi="Times New Roman" w:eastAsia="宋体" w:cs="宋体"/>
          <w:color w:val="auto"/>
          <w:sz w:val="24"/>
        </w:rPr>
        <w:t>封场后的维护主要包括填埋场地的连续视察与维护、基础设施的不定期维护以及场内及周边环境的连续监测。在采取了相关措施后，封场后不会对环境造成不良影响。</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Times New Roman" w:hAnsi="Times New Roman" w:eastAsia="宋体" w:cs="宋体"/>
          <w:color w:val="auto"/>
          <w:sz w:val="24"/>
        </w:rPr>
      </w:pPr>
      <w:r>
        <w:rPr>
          <w:rFonts w:hint="eastAsia" w:ascii="Times New Roman" w:hAnsi="Times New Roman" w:eastAsia="宋体" w:cs="宋体"/>
          <w:color w:val="auto"/>
          <w:sz w:val="24"/>
        </w:rPr>
        <w:t>（5）生态环境影响</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Times New Roman" w:hAnsi="Times New Roman" w:eastAsia="宋体" w:cs="宋体"/>
          <w:color w:val="auto"/>
          <w:sz w:val="24"/>
        </w:rPr>
      </w:pPr>
      <w:r>
        <w:rPr>
          <w:rFonts w:hint="eastAsia" w:ascii="Times New Roman" w:hAnsi="Times New Roman" w:eastAsia="宋体" w:cs="宋体"/>
          <w:color w:val="auto"/>
          <w:sz w:val="24"/>
        </w:rPr>
        <w:t>项目的建设并没有使评价区内生态系统完整性发生本质的改变。项目建设不会降低整个区域的生态系统复杂程度，不会减弱生态系统对干扰的抵御能力及提高自身作为自然体系的稳定性。项目的施工和运行对整个区域生态完整性影响不大。</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outlineLvl w:val="9"/>
        <w:rPr>
          <w:rFonts w:hint="eastAsia" w:ascii="Times New Roman" w:hAnsi="Times New Roman" w:eastAsia="宋体" w:cs="宋体"/>
          <w:b w:val="0"/>
          <w:bCs w:val="0"/>
          <w:color w:val="auto"/>
          <w:sz w:val="24"/>
          <w:szCs w:val="24"/>
        </w:rPr>
      </w:pPr>
      <w:bookmarkStart w:id="99" w:name="_Toc405804005"/>
      <w:bookmarkStart w:id="100" w:name="_Toc22822"/>
      <w:bookmarkStart w:id="101" w:name="_Toc9954"/>
      <w:bookmarkStart w:id="102" w:name="_Toc223921569"/>
      <w:r>
        <w:rPr>
          <w:rFonts w:hint="eastAsia" w:ascii="Times New Roman" w:hAnsi="Times New Roman" w:eastAsia="宋体" w:cs="宋体"/>
          <w:b w:val="0"/>
          <w:bCs w:val="0"/>
          <w:color w:val="auto"/>
          <w:sz w:val="24"/>
          <w:szCs w:val="24"/>
          <w:lang w:val="en-US" w:eastAsia="zh-CN"/>
        </w:rPr>
        <w:t>六、</w:t>
      </w:r>
      <w:r>
        <w:rPr>
          <w:rFonts w:hint="eastAsia" w:ascii="Times New Roman" w:hAnsi="Times New Roman" w:eastAsia="宋体" w:cs="宋体"/>
          <w:b w:val="0"/>
          <w:bCs w:val="0"/>
          <w:color w:val="auto"/>
          <w:sz w:val="24"/>
          <w:szCs w:val="24"/>
        </w:rPr>
        <w:t>环保措施分析结论</w:t>
      </w:r>
      <w:bookmarkEnd w:id="99"/>
      <w:bookmarkEnd w:id="100"/>
      <w:bookmarkEnd w:id="101"/>
      <w:bookmarkEnd w:id="102"/>
    </w:p>
    <w:p>
      <w:pPr>
        <w:pageBreakBefore w:val="0"/>
        <w:kinsoku/>
        <w:wordWrap/>
        <w:overflowPunct/>
        <w:topLinePunct w:val="0"/>
        <w:autoSpaceDE/>
        <w:autoSpaceDN/>
        <w:bidi w:val="0"/>
        <w:adjustRightInd/>
        <w:snapToGrid/>
        <w:spacing w:line="360" w:lineRule="auto"/>
        <w:ind w:left="0" w:firstLine="480" w:firstLineChars="200"/>
        <w:rPr>
          <w:rFonts w:hint="eastAsia" w:ascii="Times New Roman" w:hAnsi="Times New Roman" w:eastAsia="宋体" w:cs="宋体"/>
          <w:color w:val="auto"/>
          <w:sz w:val="24"/>
        </w:rPr>
      </w:pPr>
      <w:r>
        <w:rPr>
          <w:rFonts w:hint="eastAsia" w:ascii="Times New Roman" w:hAnsi="Times New Roman" w:eastAsia="宋体" w:cs="宋体"/>
          <w:color w:val="auto"/>
          <w:sz w:val="24"/>
        </w:rPr>
        <w:t>（1）施工期环保措施分析</w:t>
      </w:r>
    </w:p>
    <w:p>
      <w:pPr>
        <w:pageBreakBefore w:val="0"/>
        <w:kinsoku/>
        <w:wordWrap/>
        <w:overflowPunct/>
        <w:topLinePunct w:val="0"/>
        <w:autoSpaceDE/>
        <w:autoSpaceDN/>
        <w:bidi w:val="0"/>
        <w:adjustRightInd/>
        <w:snapToGrid/>
        <w:spacing w:line="360" w:lineRule="auto"/>
        <w:ind w:left="0" w:firstLine="480" w:firstLineChars="200"/>
        <w:rPr>
          <w:rFonts w:hint="eastAsia" w:ascii="Times New Roman" w:hAnsi="Times New Roman" w:eastAsia="宋体" w:cs="宋体"/>
          <w:color w:val="auto"/>
          <w:sz w:val="24"/>
        </w:rPr>
      </w:pPr>
      <w:r>
        <w:rPr>
          <w:rFonts w:hint="eastAsia" w:ascii="Times New Roman" w:hAnsi="Times New Roman" w:eastAsia="宋体" w:cs="宋体"/>
          <w:color w:val="auto"/>
          <w:sz w:val="24"/>
        </w:rPr>
        <w:t>施工期对生态环境的影响主要是工程开挖破坏土壤结构，填埋库区、构筑物基础以及进场道路等将产生一定量的水土流失；产生扬尘、噪声、建筑弃碴土及施工废水等排放影响空气、声、地表水环境。但其影响程度和范围有限，且随着施工期的结束而结束。</w:t>
      </w:r>
    </w:p>
    <w:p>
      <w:pPr>
        <w:pageBreakBefore w:val="0"/>
        <w:kinsoku/>
        <w:wordWrap/>
        <w:overflowPunct/>
        <w:topLinePunct w:val="0"/>
        <w:autoSpaceDE/>
        <w:autoSpaceDN/>
        <w:bidi w:val="0"/>
        <w:adjustRightInd/>
        <w:snapToGrid/>
        <w:spacing w:line="360" w:lineRule="auto"/>
        <w:ind w:left="0" w:firstLine="480" w:firstLineChars="200"/>
        <w:rPr>
          <w:rFonts w:hint="eastAsia" w:ascii="Times New Roman" w:hAnsi="Times New Roman" w:eastAsia="宋体" w:cs="宋体"/>
          <w:color w:val="auto"/>
          <w:sz w:val="24"/>
        </w:rPr>
      </w:pPr>
      <w:r>
        <w:rPr>
          <w:rFonts w:hint="eastAsia" w:ascii="Times New Roman" w:hAnsi="Times New Roman" w:eastAsia="宋体" w:cs="宋体"/>
          <w:color w:val="auto"/>
          <w:sz w:val="24"/>
        </w:rPr>
        <w:t>将施工期环保工作纳入合同管理，明确施工单位为有关环保工作责任方，业主单位为监督和管理方，特别是加强对填埋场底部及四周边坡防渗层施工的监督管理，确保防渗层施工质量满足设计规范要求；并要求施工单位将环保措施的执行情况纳入生产管理体系中，由施工监理提供施工监理报告，建立相应的工作制度；同时加强对施工队伍的环保宣传工作。</w:t>
      </w:r>
    </w:p>
    <w:p>
      <w:pPr>
        <w:pageBreakBefore w:val="0"/>
        <w:kinsoku/>
        <w:wordWrap/>
        <w:overflowPunct/>
        <w:topLinePunct w:val="0"/>
        <w:autoSpaceDE/>
        <w:autoSpaceDN/>
        <w:bidi w:val="0"/>
        <w:adjustRightInd/>
        <w:snapToGrid/>
        <w:spacing w:line="360" w:lineRule="auto"/>
        <w:ind w:left="0" w:firstLine="480" w:firstLineChars="200"/>
        <w:rPr>
          <w:rFonts w:hint="eastAsia" w:ascii="Times New Roman" w:hAnsi="Times New Roman" w:eastAsia="宋体" w:cs="宋体"/>
          <w:color w:val="auto"/>
          <w:sz w:val="24"/>
        </w:rPr>
      </w:pPr>
      <w:r>
        <w:rPr>
          <w:rFonts w:hint="eastAsia" w:ascii="Times New Roman" w:hAnsi="Times New Roman" w:eastAsia="宋体" w:cs="宋体"/>
          <w:color w:val="auto"/>
          <w:sz w:val="24"/>
        </w:rPr>
        <w:t>施工机械噪声，通过规范施工、合理安排工序、夜间严禁使用高噪器械，以实现达标外排。针对施工运输车辆噪声，通过加强管理以降低噪声污染。项目施工方尽量避免夜间施工，若工艺要求夜间必须进行连续作业的强噪声施工，应征得当地环保局、建委、城管等主管部门的同意，在取得夜间施工许可手，同时应及时向附近居民公告。</w:t>
      </w:r>
    </w:p>
    <w:p>
      <w:pPr>
        <w:pageBreakBefore w:val="0"/>
        <w:kinsoku/>
        <w:wordWrap/>
        <w:overflowPunct/>
        <w:topLinePunct w:val="0"/>
        <w:autoSpaceDE/>
        <w:autoSpaceDN/>
        <w:bidi w:val="0"/>
        <w:adjustRightInd/>
        <w:snapToGrid/>
        <w:spacing w:line="360" w:lineRule="auto"/>
        <w:ind w:left="0" w:firstLine="480" w:firstLineChars="200"/>
        <w:rPr>
          <w:rFonts w:hint="eastAsia" w:ascii="Times New Roman" w:hAnsi="Times New Roman" w:eastAsia="宋体" w:cs="宋体"/>
          <w:color w:val="auto"/>
          <w:sz w:val="24"/>
        </w:rPr>
      </w:pPr>
      <w:r>
        <w:rPr>
          <w:rFonts w:hint="eastAsia" w:ascii="Times New Roman" w:hAnsi="Times New Roman" w:eastAsia="宋体" w:cs="宋体"/>
          <w:color w:val="auto"/>
          <w:sz w:val="24"/>
        </w:rPr>
        <w:t>施工扬尘，经优化施工方式、洒水降尘、合理安排施工时间、加强施工及来往车辆管理等方式降低扬尘污染，以实现达标外排。</w:t>
      </w:r>
    </w:p>
    <w:p>
      <w:pPr>
        <w:pageBreakBefore w:val="0"/>
        <w:kinsoku/>
        <w:wordWrap/>
        <w:overflowPunct/>
        <w:topLinePunct w:val="0"/>
        <w:autoSpaceDE/>
        <w:autoSpaceDN/>
        <w:bidi w:val="0"/>
        <w:adjustRightInd/>
        <w:snapToGrid/>
        <w:spacing w:line="360" w:lineRule="auto"/>
        <w:ind w:left="0" w:firstLine="480" w:firstLineChars="200"/>
        <w:rPr>
          <w:rFonts w:hint="eastAsia" w:ascii="Times New Roman" w:hAnsi="Times New Roman" w:eastAsia="宋体" w:cs="宋体"/>
          <w:color w:val="auto"/>
          <w:sz w:val="24"/>
        </w:rPr>
      </w:pPr>
      <w:r>
        <w:rPr>
          <w:rFonts w:hint="eastAsia" w:ascii="Times New Roman" w:hAnsi="Times New Roman" w:eastAsia="宋体" w:cs="宋体"/>
          <w:color w:val="auto"/>
          <w:sz w:val="24"/>
        </w:rPr>
        <w:t>施工废水经收集后经沉淀、隔油、除渣处理后回用，不外排。施工期生活污水利用临时旱厕收集，粪便采取定期收集外运用于农田施肥。</w:t>
      </w:r>
    </w:p>
    <w:p>
      <w:pPr>
        <w:pageBreakBefore w:val="0"/>
        <w:kinsoku/>
        <w:wordWrap/>
        <w:overflowPunct/>
        <w:topLinePunct w:val="0"/>
        <w:autoSpaceDE/>
        <w:autoSpaceDN/>
        <w:bidi w:val="0"/>
        <w:adjustRightInd/>
        <w:snapToGrid/>
        <w:spacing w:line="360" w:lineRule="auto"/>
        <w:ind w:left="0" w:firstLine="480" w:firstLineChars="200"/>
        <w:rPr>
          <w:rFonts w:hint="eastAsia" w:ascii="Times New Roman" w:hAnsi="Times New Roman" w:eastAsia="宋体" w:cs="宋体"/>
          <w:color w:val="auto"/>
          <w:sz w:val="24"/>
        </w:rPr>
      </w:pPr>
      <w:r>
        <w:rPr>
          <w:rFonts w:hint="eastAsia" w:ascii="Times New Roman" w:hAnsi="Times New Roman" w:eastAsia="宋体" w:cs="宋体"/>
          <w:color w:val="auto"/>
          <w:sz w:val="24"/>
        </w:rPr>
        <w:t>因此，采纳上述的措施，实际上就是在施工中引进了清洁生产思路，大大削减了施工“三废”和噪声的排放，同时可节省污染防治费用。其治理措施具有经济技术可行性。</w:t>
      </w:r>
    </w:p>
    <w:p>
      <w:pPr>
        <w:pageBreakBefore w:val="0"/>
        <w:kinsoku/>
        <w:wordWrap/>
        <w:overflowPunct/>
        <w:topLinePunct w:val="0"/>
        <w:autoSpaceDE/>
        <w:autoSpaceDN/>
        <w:bidi w:val="0"/>
        <w:adjustRightInd/>
        <w:snapToGrid/>
        <w:spacing w:line="360" w:lineRule="auto"/>
        <w:ind w:left="0" w:firstLine="480" w:firstLineChars="200"/>
        <w:rPr>
          <w:rFonts w:hint="eastAsia" w:ascii="Times New Roman" w:hAnsi="Times New Roman" w:eastAsia="宋体" w:cs="宋体"/>
          <w:color w:val="auto"/>
          <w:sz w:val="24"/>
        </w:rPr>
      </w:pPr>
      <w:r>
        <w:rPr>
          <w:rFonts w:hint="eastAsia" w:ascii="Times New Roman" w:hAnsi="Times New Roman" w:eastAsia="宋体" w:cs="宋体"/>
          <w:color w:val="auto"/>
          <w:sz w:val="24"/>
        </w:rPr>
        <w:t>（2）运行期环保措施分析</w:t>
      </w:r>
    </w:p>
    <w:p>
      <w:pPr>
        <w:pageBreakBefore w:val="0"/>
        <w:kinsoku/>
        <w:wordWrap/>
        <w:overflowPunct/>
        <w:topLinePunct w:val="0"/>
        <w:autoSpaceDE/>
        <w:autoSpaceDN/>
        <w:bidi w:val="0"/>
        <w:adjustRightInd/>
        <w:snapToGrid/>
        <w:spacing w:line="360" w:lineRule="auto"/>
        <w:ind w:left="0" w:firstLine="480" w:firstLineChars="200"/>
        <w:rPr>
          <w:rFonts w:hint="eastAsia" w:ascii="Times New Roman" w:hAnsi="Times New Roman" w:eastAsia="宋体" w:cs="宋体"/>
          <w:color w:val="auto"/>
          <w:sz w:val="24"/>
          <w:szCs w:val="24"/>
        </w:rPr>
      </w:pPr>
      <w:r>
        <w:rPr>
          <w:rFonts w:hint="eastAsia" w:ascii="Times New Roman" w:hAnsi="Times New Roman" w:eastAsia="宋体" w:cs="宋体"/>
          <w:color w:val="auto"/>
          <w:sz w:val="24"/>
          <w:szCs w:val="24"/>
        </w:rPr>
        <w:t>①大气环境保护措施分析</w:t>
      </w:r>
    </w:p>
    <w:p>
      <w:pPr>
        <w:pageBreakBefore w:val="0"/>
        <w:kinsoku/>
        <w:wordWrap/>
        <w:overflowPunct/>
        <w:topLinePunct w:val="0"/>
        <w:autoSpaceDE/>
        <w:autoSpaceDN/>
        <w:bidi w:val="0"/>
        <w:adjustRightInd/>
        <w:snapToGrid/>
        <w:spacing w:line="360" w:lineRule="auto"/>
        <w:ind w:left="0" w:firstLine="480" w:firstLineChars="200"/>
        <w:rPr>
          <w:rFonts w:hint="eastAsia" w:ascii="Times New Roman" w:hAnsi="Times New Roman" w:eastAsia="宋体" w:cs="宋体"/>
          <w:color w:val="auto"/>
          <w:sz w:val="24"/>
        </w:rPr>
      </w:pPr>
      <w:r>
        <w:rPr>
          <w:rFonts w:hint="eastAsia" w:ascii="Times New Roman" w:hAnsi="Times New Roman" w:eastAsia="宋体" w:cs="宋体"/>
          <w:color w:val="auto"/>
          <w:sz w:val="24"/>
          <w:szCs w:val="24"/>
        </w:rPr>
        <w:t>工程运行期主要是填埋作业扬尘、道路扬尘和尾</w:t>
      </w:r>
      <w:r>
        <w:rPr>
          <w:rFonts w:hint="eastAsia" w:ascii="Times New Roman" w:hAnsi="Times New Roman" w:eastAsia="宋体" w:cs="宋体"/>
          <w:color w:val="auto"/>
          <w:sz w:val="24"/>
          <w:szCs w:val="24"/>
          <w:lang w:eastAsia="zh-CN"/>
        </w:rPr>
        <w:t>气</w:t>
      </w:r>
      <w:r>
        <w:rPr>
          <w:rFonts w:hint="eastAsia" w:ascii="Times New Roman" w:hAnsi="Times New Roman" w:eastAsia="宋体" w:cs="宋体"/>
          <w:color w:val="auto"/>
          <w:sz w:val="24"/>
          <w:szCs w:val="24"/>
        </w:rPr>
        <w:t>等对大气环境的影响。</w:t>
      </w:r>
      <w:r>
        <w:rPr>
          <w:rFonts w:hint="eastAsia" w:ascii="Times New Roman" w:hAnsi="Times New Roman" w:eastAsia="宋体" w:cs="宋体"/>
          <w:color w:val="auto"/>
          <w:sz w:val="24"/>
        </w:rPr>
        <w:t>本项目填埋固体废物为一般工业固体废物，填埋场主要处理的固废为</w:t>
      </w:r>
      <w:r>
        <w:rPr>
          <w:rFonts w:hint="eastAsia" w:ascii="Times New Roman" w:hAnsi="Times New Roman" w:eastAsia="宋体" w:cs="宋体"/>
          <w:color w:val="auto"/>
          <w:sz w:val="24"/>
          <w:lang w:eastAsia="zh-CN"/>
        </w:rPr>
        <w:t>固化后的飞灰</w:t>
      </w:r>
      <w:r>
        <w:rPr>
          <w:rFonts w:hint="eastAsia" w:ascii="Times New Roman" w:hAnsi="Times New Roman" w:eastAsia="宋体" w:cs="宋体"/>
          <w:color w:val="auto"/>
          <w:sz w:val="24"/>
        </w:rPr>
        <w:t>。项目填埋作业采取单元作业</w:t>
      </w:r>
      <w:r>
        <w:rPr>
          <w:rFonts w:hint="eastAsia" w:ascii="Times New Roman" w:hAnsi="Times New Roman" w:eastAsia="宋体" w:cs="宋体"/>
          <w:color w:val="auto"/>
          <w:sz w:val="24"/>
          <w:lang w:eastAsia="zh-CN"/>
        </w:rPr>
        <w:t>（</w:t>
      </w:r>
      <w:r>
        <w:rPr>
          <w:rFonts w:hint="eastAsia" w:ascii="Times New Roman" w:hAnsi="Times New Roman" w:eastAsia="宋体" w:cs="宋体"/>
          <w:color w:val="auto"/>
          <w:sz w:val="24"/>
          <w:lang w:val="en-US" w:eastAsia="zh-CN"/>
        </w:rPr>
        <w:t>123m*110m</w:t>
      </w:r>
      <w:r>
        <w:rPr>
          <w:rFonts w:hint="eastAsia" w:ascii="Times New Roman" w:hAnsi="Times New Roman" w:eastAsia="宋体" w:cs="宋体"/>
          <w:color w:val="auto"/>
          <w:sz w:val="24"/>
          <w:lang w:eastAsia="zh-CN"/>
        </w:rPr>
        <w:t>）</w:t>
      </w:r>
      <w:r>
        <w:rPr>
          <w:rFonts w:hint="eastAsia" w:ascii="Times New Roman" w:hAnsi="Times New Roman" w:eastAsia="宋体" w:cs="宋体"/>
          <w:color w:val="auto"/>
          <w:sz w:val="24"/>
        </w:rPr>
        <w:t>，并在填埋</w:t>
      </w:r>
      <w:r>
        <w:rPr>
          <w:rFonts w:hint="eastAsia" w:ascii="Times New Roman" w:hAnsi="Times New Roman" w:eastAsia="宋体" w:cs="宋体"/>
          <w:color w:val="auto"/>
          <w:sz w:val="24"/>
          <w:lang w:eastAsia="zh-CN"/>
        </w:rPr>
        <w:t>作业面覆盖防尘网，填埋作业时洒水抑尘，</w:t>
      </w:r>
      <w:r>
        <w:rPr>
          <w:rFonts w:hint="eastAsia" w:ascii="Times New Roman" w:hAnsi="Times New Roman" w:eastAsia="宋体" w:cs="宋体"/>
          <w:color w:val="auto"/>
          <w:sz w:val="24"/>
        </w:rPr>
        <w:t>为防止轻质固废在风较大时逸散造成二次污染，填埋</w:t>
      </w:r>
      <w:r>
        <w:rPr>
          <w:rFonts w:hint="eastAsia" w:ascii="Times New Roman" w:hAnsi="Times New Roman" w:eastAsia="宋体" w:cs="宋体"/>
          <w:color w:val="auto"/>
          <w:sz w:val="24"/>
          <w:lang w:eastAsia="zh-CN"/>
        </w:rPr>
        <w:t>至设计高度时</w:t>
      </w:r>
      <w:r>
        <w:rPr>
          <w:rFonts w:hint="eastAsia" w:ascii="Times New Roman" w:hAnsi="Times New Roman" w:eastAsia="宋体" w:cs="宋体"/>
          <w:color w:val="auto"/>
          <w:sz w:val="24"/>
        </w:rPr>
        <w:t>及时覆土，防治轻质垃圾影响填埋区外环境。同时，为了美化填埋场的环境，</w:t>
      </w:r>
      <w:r>
        <w:rPr>
          <w:rFonts w:hint="eastAsia" w:ascii="Times New Roman" w:hAnsi="Times New Roman" w:eastAsia="宋体" w:cs="宋体"/>
          <w:color w:val="auto"/>
          <w:sz w:val="24"/>
          <w:lang w:eastAsia="zh-CN"/>
        </w:rPr>
        <w:t>封场时</w:t>
      </w:r>
      <w:r>
        <w:rPr>
          <w:rFonts w:hint="eastAsia" w:ascii="Times New Roman" w:hAnsi="Times New Roman" w:eastAsia="宋体" w:cs="宋体"/>
          <w:color w:val="auto"/>
          <w:sz w:val="24"/>
        </w:rPr>
        <w:t>在填埋场周围</w:t>
      </w:r>
      <w:r>
        <w:rPr>
          <w:rFonts w:hint="eastAsia" w:ascii="Times New Roman" w:hAnsi="Times New Roman" w:eastAsia="宋体" w:cs="宋体"/>
          <w:color w:val="auto"/>
          <w:sz w:val="24"/>
          <w:lang w:eastAsia="zh-CN"/>
        </w:rPr>
        <w:t>设置</w:t>
      </w:r>
      <w:r>
        <w:rPr>
          <w:rFonts w:hint="eastAsia" w:ascii="Times New Roman" w:hAnsi="Times New Roman" w:eastAsia="宋体" w:cs="宋体"/>
          <w:color w:val="auto"/>
          <w:sz w:val="24"/>
        </w:rPr>
        <w:t>绿化带，绿化以防治污染和美化环境为目的，在填埋场周围营造10m宽的绿化带</w:t>
      </w:r>
      <w:r>
        <w:rPr>
          <w:rFonts w:hint="eastAsia" w:ascii="Times New Roman" w:hAnsi="Times New Roman" w:eastAsia="宋体" w:cs="宋体"/>
          <w:color w:val="auto"/>
          <w:sz w:val="24"/>
          <w:lang w:val="en-US" w:eastAsia="zh-CN"/>
        </w:rPr>
        <w:t>，</w:t>
      </w:r>
      <w:r>
        <w:rPr>
          <w:rFonts w:hint="eastAsia" w:ascii="Times New Roman" w:hAnsi="Times New Roman" w:eastAsia="宋体" w:cs="宋体"/>
          <w:color w:val="auto"/>
          <w:sz w:val="24"/>
        </w:rPr>
        <w:t>厂区绿化系数应不低于30%，绿化植被可采取乔、灌、藤蔓植物相结合方式，形成立体绿化体系。对已完成的填埋单元，可以在封场后规划种植适应环境的植物。同时，填埋固体废物要轻卸，严禁凌空抛洒，以免扬尘产生，装卸填埋固体废物易产生扬尘的车辆应覆盖篷布，避免风力造成烟尘，减少物料流失，防治渣土跑、冒、撒、露等污染环境。所有临时堆放的多尘物料如土方等均用帆布覆盖，防止干燥而产生烟尘。场地要定期洒水、防治烟尘，在大风大气加大洒水量及洒水次数。运输车辆进入填埋场应低速行驶，减少产尘量。道路运输车辆产生一定的道路扬尘，道路基本为硬化路面，通过控制车速及洒水降尘以降低污染。</w:t>
      </w:r>
    </w:p>
    <w:p>
      <w:pPr>
        <w:pStyle w:val="149"/>
        <w:pageBreakBefore w:val="0"/>
        <w:kinsoku/>
        <w:wordWrap/>
        <w:overflowPunct/>
        <w:topLinePunct w:val="0"/>
        <w:autoSpaceDE/>
        <w:autoSpaceDN/>
        <w:bidi w:val="0"/>
        <w:adjustRightInd/>
        <w:snapToGrid/>
        <w:spacing w:line="360" w:lineRule="auto"/>
        <w:ind w:left="0"/>
        <w:rPr>
          <w:rFonts w:hint="eastAsia" w:ascii="Times New Roman" w:hAnsi="Times New Roman" w:eastAsia="宋体" w:cs="宋体"/>
          <w:color w:val="auto"/>
        </w:rPr>
      </w:pPr>
      <w:r>
        <w:rPr>
          <w:rFonts w:hint="eastAsia" w:ascii="Times New Roman" w:hAnsi="Times New Roman" w:eastAsia="宋体" w:cs="宋体"/>
          <w:color w:val="auto"/>
        </w:rPr>
        <w:t>采取上述措施后，扬尘排放满足《大气污染物综合排放标准》(GB16297-1996)中无组织排放监控浓度限值1.0mg/m</w:t>
      </w:r>
      <w:r>
        <w:rPr>
          <w:rFonts w:hint="eastAsia" w:ascii="Times New Roman" w:hAnsi="Times New Roman" w:eastAsia="宋体" w:cs="宋体"/>
          <w:color w:val="auto"/>
          <w:vertAlign w:val="superscript"/>
        </w:rPr>
        <w:t>3</w:t>
      </w:r>
      <w:r>
        <w:rPr>
          <w:rFonts w:hint="eastAsia" w:ascii="Times New Roman" w:hAnsi="Times New Roman" w:eastAsia="宋体" w:cs="宋体"/>
          <w:color w:val="auto"/>
        </w:rPr>
        <w:t>要求。根据预测，排放的废气对周围环境贡献值较小。</w:t>
      </w:r>
    </w:p>
    <w:p>
      <w:pPr>
        <w:pStyle w:val="149"/>
        <w:pageBreakBefore w:val="0"/>
        <w:kinsoku/>
        <w:wordWrap/>
        <w:overflowPunct/>
        <w:topLinePunct w:val="0"/>
        <w:autoSpaceDE/>
        <w:autoSpaceDN/>
        <w:bidi w:val="0"/>
        <w:adjustRightInd/>
        <w:snapToGrid/>
        <w:spacing w:line="360" w:lineRule="auto"/>
        <w:ind w:left="0"/>
        <w:rPr>
          <w:rFonts w:hint="eastAsia" w:ascii="Times New Roman" w:hAnsi="Times New Roman" w:eastAsia="宋体" w:cs="宋体"/>
          <w:color w:val="auto"/>
        </w:rPr>
      </w:pPr>
      <w:r>
        <w:rPr>
          <w:rFonts w:hint="eastAsia" w:ascii="Times New Roman" w:hAnsi="Times New Roman" w:eastAsia="宋体" w:cs="宋体"/>
          <w:color w:val="auto"/>
        </w:rPr>
        <w:t>因此，项目运营期大气污染防治措施具有经济技术可行性。</w:t>
      </w:r>
    </w:p>
    <w:p>
      <w:pPr>
        <w:pStyle w:val="149"/>
        <w:pageBreakBefore w:val="0"/>
        <w:kinsoku/>
        <w:wordWrap/>
        <w:overflowPunct/>
        <w:topLinePunct w:val="0"/>
        <w:autoSpaceDE/>
        <w:autoSpaceDN/>
        <w:bidi w:val="0"/>
        <w:adjustRightInd/>
        <w:snapToGrid/>
        <w:spacing w:line="360" w:lineRule="auto"/>
        <w:ind w:left="0"/>
        <w:rPr>
          <w:rFonts w:hint="eastAsia" w:ascii="Times New Roman" w:hAnsi="Times New Roman" w:eastAsia="宋体" w:cs="宋体"/>
          <w:color w:val="auto"/>
        </w:rPr>
      </w:pPr>
      <w:r>
        <w:rPr>
          <w:rFonts w:hint="eastAsia" w:ascii="Times New Roman" w:hAnsi="Times New Roman" w:eastAsia="宋体" w:cs="宋体"/>
          <w:color w:val="auto"/>
        </w:rPr>
        <w:t>②</w:t>
      </w:r>
      <w:r>
        <w:rPr>
          <w:rFonts w:hint="eastAsia" w:ascii="Times New Roman" w:hAnsi="Times New Roman" w:eastAsia="宋体" w:cs="宋体"/>
          <w:color w:val="auto"/>
          <w:lang w:eastAsia="zh-CN"/>
        </w:rPr>
        <w:t>废水</w:t>
      </w:r>
      <w:r>
        <w:rPr>
          <w:rFonts w:hint="eastAsia" w:ascii="Times New Roman" w:hAnsi="Times New Roman" w:eastAsia="宋体" w:cs="宋体"/>
          <w:color w:val="auto"/>
        </w:rPr>
        <w:t>处理措施分析</w:t>
      </w:r>
    </w:p>
    <w:p>
      <w:pPr>
        <w:pageBreakBefore w:val="0"/>
        <w:kinsoku/>
        <w:wordWrap/>
        <w:overflowPunct/>
        <w:topLinePunct w:val="0"/>
        <w:autoSpaceDE/>
        <w:autoSpaceDN/>
        <w:bidi w:val="0"/>
        <w:adjustRightInd/>
        <w:snapToGrid/>
        <w:spacing w:line="360" w:lineRule="auto"/>
        <w:ind w:left="0" w:firstLine="480" w:firstLineChars="200"/>
        <w:rPr>
          <w:rFonts w:hint="eastAsia" w:ascii="Times New Roman" w:hAnsi="Times New Roman" w:eastAsia="宋体" w:cs="宋体"/>
          <w:color w:val="auto"/>
          <w:sz w:val="24"/>
        </w:rPr>
      </w:pPr>
      <w:r>
        <w:rPr>
          <w:rFonts w:hint="eastAsia" w:ascii="Times New Roman" w:hAnsi="Times New Roman" w:eastAsia="宋体" w:cs="宋体"/>
          <w:color w:val="auto"/>
          <w:sz w:val="24"/>
        </w:rPr>
        <w:t>工程运营期主废水主要为填埋场库区产生的渗滤液和生活污水</w:t>
      </w:r>
      <w:r>
        <w:rPr>
          <w:rFonts w:hint="eastAsia" w:ascii="Times New Roman" w:hAnsi="Times New Roman" w:eastAsia="宋体" w:cs="宋体"/>
          <w:color w:val="auto"/>
          <w:sz w:val="24"/>
          <w:lang w:eastAsia="zh-CN"/>
        </w:rPr>
        <w:t>。渗滤液渗滤液收集后泵送入厂区南侧的灵璧县生活垃圾填埋场处理。运营期，项目不设管理区，项目产生的生物污水依托厂区南侧的灵璧县生活垃圾填埋场污水处理设施。</w:t>
      </w:r>
      <w:r>
        <w:rPr>
          <w:rFonts w:hint="eastAsia" w:ascii="Times New Roman" w:hAnsi="Times New Roman" w:eastAsia="宋体" w:cs="宋体"/>
          <w:color w:val="auto"/>
          <w:sz w:val="24"/>
        </w:rPr>
        <w:t>因此，本项目的废水不外排，正常情况下不会对厂址附近的地表水环境质量造成影响。</w:t>
      </w:r>
      <w:r>
        <w:rPr>
          <w:rFonts w:hint="eastAsia" w:ascii="Times New Roman" w:hAnsi="Times New Roman" w:eastAsia="宋体" w:cs="宋体"/>
          <w:color w:val="auto"/>
          <w:sz w:val="24"/>
          <w:lang w:eastAsia="zh-CN"/>
        </w:rPr>
        <w:t>本项目处理</w:t>
      </w:r>
      <w:r>
        <w:rPr>
          <w:rFonts w:hint="eastAsia" w:ascii="Times New Roman" w:hAnsi="Times New Roman" w:eastAsia="宋体" w:cs="宋体"/>
          <w:color w:val="auto"/>
          <w:sz w:val="24"/>
        </w:rPr>
        <w:t>工艺经济实用，且在</w:t>
      </w:r>
      <w:r>
        <w:rPr>
          <w:rFonts w:hint="eastAsia" w:ascii="Times New Roman" w:hAnsi="Times New Roman" w:eastAsia="宋体" w:cs="宋体"/>
          <w:color w:val="auto"/>
          <w:sz w:val="24"/>
          <w:lang w:eastAsia="zh-CN"/>
        </w:rPr>
        <w:t>国</w:t>
      </w:r>
      <w:r>
        <w:rPr>
          <w:rFonts w:hint="eastAsia" w:ascii="Times New Roman" w:hAnsi="Times New Roman" w:eastAsia="宋体" w:cs="宋体"/>
          <w:color w:val="auto"/>
          <w:sz w:val="24"/>
        </w:rPr>
        <w:t>内有成功运行的先例，因此环评认为项目渗滤液处理采用</w:t>
      </w:r>
      <w:r>
        <w:rPr>
          <w:rFonts w:hint="eastAsia" w:ascii="Times New Roman" w:hAnsi="Times New Roman" w:eastAsia="宋体" w:cs="宋体"/>
          <w:color w:val="auto"/>
          <w:sz w:val="24"/>
          <w:lang w:eastAsia="zh-CN"/>
        </w:rPr>
        <w:t>的处理</w:t>
      </w:r>
      <w:r>
        <w:rPr>
          <w:rFonts w:hint="eastAsia" w:ascii="Times New Roman" w:hAnsi="Times New Roman" w:eastAsia="宋体" w:cs="宋体"/>
          <w:color w:val="auto"/>
          <w:sz w:val="24"/>
        </w:rPr>
        <w:t>工艺可行。</w:t>
      </w:r>
    </w:p>
    <w:p>
      <w:pPr>
        <w:pageBreakBefore w:val="0"/>
        <w:kinsoku/>
        <w:wordWrap/>
        <w:overflowPunct/>
        <w:topLinePunct w:val="0"/>
        <w:autoSpaceDE/>
        <w:autoSpaceDN/>
        <w:bidi w:val="0"/>
        <w:adjustRightInd/>
        <w:snapToGrid/>
        <w:spacing w:line="360" w:lineRule="auto"/>
        <w:ind w:left="0" w:firstLine="480" w:firstLineChars="200"/>
        <w:rPr>
          <w:rFonts w:hint="eastAsia" w:ascii="Times New Roman" w:hAnsi="Times New Roman" w:eastAsia="宋体" w:cs="宋体"/>
          <w:color w:val="auto"/>
          <w:sz w:val="24"/>
        </w:rPr>
      </w:pPr>
      <w:r>
        <w:rPr>
          <w:rFonts w:hint="eastAsia" w:ascii="Times New Roman" w:hAnsi="Times New Roman" w:eastAsia="宋体" w:cs="宋体"/>
          <w:color w:val="auto"/>
          <w:sz w:val="24"/>
        </w:rPr>
        <w:t>③地下水防治措施分析</w:t>
      </w:r>
    </w:p>
    <w:p>
      <w:pPr>
        <w:pageBreakBefore w:val="0"/>
        <w:kinsoku/>
        <w:wordWrap/>
        <w:overflowPunct/>
        <w:topLinePunct w:val="0"/>
        <w:autoSpaceDE/>
        <w:autoSpaceDN/>
        <w:bidi w:val="0"/>
        <w:adjustRightInd/>
        <w:snapToGrid/>
        <w:spacing w:line="360" w:lineRule="auto"/>
        <w:ind w:left="0" w:firstLine="480" w:firstLineChars="200"/>
        <w:textAlignment w:val="baseline"/>
        <w:rPr>
          <w:rFonts w:hint="eastAsia" w:ascii="Times New Roman" w:hAnsi="Times New Roman" w:eastAsia="宋体" w:cs="宋体"/>
          <w:color w:val="auto"/>
          <w:sz w:val="24"/>
        </w:rPr>
      </w:pPr>
      <w:r>
        <w:rPr>
          <w:rFonts w:hint="eastAsia" w:ascii="Times New Roman" w:hAnsi="Times New Roman" w:eastAsia="宋体" w:cs="宋体"/>
          <w:color w:val="auto"/>
          <w:sz w:val="24"/>
        </w:rPr>
        <w:t>为尽量减小地下水污染的可能性，</w:t>
      </w:r>
      <w:r>
        <w:rPr>
          <w:rFonts w:hint="eastAsia" w:ascii="Times New Roman" w:hAnsi="Times New Roman" w:eastAsia="宋体" w:cs="宋体"/>
          <w:color w:val="auto"/>
          <w:sz w:val="24"/>
          <w:lang w:eastAsia="zh-CN"/>
        </w:rPr>
        <w:t>收集井</w:t>
      </w:r>
      <w:r>
        <w:rPr>
          <w:rFonts w:hint="eastAsia" w:ascii="Times New Roman" w:hAnsi="Times New Roman" w:eastAsia="宋体" w:cs="宋体"/>
          <w:color w:val="auto"/>
          <w:sz w:val="24"/>
        </w:rPr>
        <w:t>须进行防渗处理。对坝基和坝肩应进行防渗处理，防止</w:t>
      </w:r>
      <w:r>
        <w:rPr>
          <w:rFonts w:hint="eastAsia" w:ascii="Times New Roman" w:hAnsi="Times New Roman" w:eastAsia="宋体" w:cs="宋体"/>
          <w:bCs/>
          <w:color w:val="auto"/>
          <w:sz w:val="24"/>
        </w:rPr>
        <w:t>渗滤液绕坝污染地下水。</w:t>
      </w:r>
      <w:r>
        <w:rPr>
          <w:rFonts w:hint="eastAsia" w:ascii="Times New Roman" w:hAnsi="Times New Roman" w:eastAsia="宋体" w:cs="宋体"/>
          <w:color w:val="auto"/>
          <w:sz w:val="24"/>
        </w:rPr>
        <w:t>在填埋场设置防渗层渗漏监测井，以保证防渗层发生渗滤液渗漏时能及时发现并采取必要的污染控制措施。填埋场建设采用采用</w:t>
      </w:r>
      <w:r>
        <w:rPr>
          <w:rFonts w:hint="eastAsia" w:ascii="Times New Roman" w:hAnsi="Times New Roman" w:eastAsia="宋体" w:cs="宋体"/>
          <w:color w:val="auto"/>
          <w:kern w:val="0"/>
          <w:sz w:val="24"/>
        </w:rPr>
        <w:t>“HDPE+土工布+粘土层”的复合防渗结构</w:t>
      </w:r>
      <w:r>
        <w:rPr>
          <w:rFonts w:hint="eastAsia" w:ascii="Times New Roman" w:hAnsi="Times New Roman" w:eastAsia="宋体" w:cs="宋体"/>
          <w:color w:val="auto"/>
          <w:sz w:val="24"/>
        </w:rPr>
        <w:t>。为防止库底渗滤液蓄积后破坏防渗层，在库底设渗滤液导排系统，管材选用HDPE穿孔花管，渗滤液通过HDPE排水管排至</w:t>
      </w:r>
      <w:r>
        <w:rPr>
          <w:rFonts w:hint="eastAsia" w:ascii="Times New Roman" w:hAnsi="Times New Roman" w:eastAsia="宋体" w:cs="宋体"/>
          <w:color w:val="auto"/>
          <w:sz w:val="24"/>
          <w:lang w:eastAsia="zh-CN"/>
        </w:rPr>
        <w:t>收集井</w:t>
      </w:r>
      <w:r>
        <w:rPr>
          <w:rFonts w:hint="eastAsia" w:ascii="Times New Roman" w:hAnsi="Times New Roman" w:eastAsia="宋体" w:cs="宋体"/>
          <w:color w:val="auto"/>
          <w:sz w:val="24"/>
        </w:rPr>
        <w:t>。同时，采取“三水分离”的排水方案，将地下水、库区周边洪水、库区内清洁雨水与渗滤液隔绝，地下水采用盲沟作为地下水导排系统，填埋场周围设截洪沟，减少了降水侵入填埋堆体和对防渗层产生不良作用。发现地下水质出现异常现象时，应加大取样频率，并根据实际情况增加监测项目，查出原因以便进行补救；同时极时上报当地环保部门及其他相关部门，采取应急措施。查出原因以便进行补救。制定完善的风险事故应急预案及风险防范措施，将风险事故的发生概率降到最低。因此项目采取的地下水防治措施可行。</w:t>
      </w:r>
    </w:p>
    <w:p>
      <w:pPr>
        <w:pStyle w:val="149"/>
        <w:pageBreakBefore w:val="0"/>
        <w:kinsoku/>
        <w:wordWrap/>
        <w:overflowPunct/>
        <w:topLinePunct w:val="0"/>
        <w:autoSpaceDE/>
        <w:autoSpaceDN/>
        <w:bidi w:val="0"/>
        <w:adjustRightInd/>
        <w:snapToGrid/>
        <w:spacing w:line="360" w:lineRule="auto"/>
        <w:ind w:left="0"/>
        <w:rPr>
          <w:rFonts w:hint="eastAsia" w:ascii="Times New Roman" w:hAnsi="Times New Roman" w:eastAsia="宋体" w:cs="宋体"/>
          <w:color w:val="auto"/>
        </w:rPr>
      </w:pPr>
      <w:r>
        <w:rPr>
          <w:rFonts w:hint="eastAsia" w:ascii="Times New Roman" w:hAnsi="Times New Roman" w:eastAsia="宋体" w:cs="宋体"/>
          <w:color w:val="auto"/>
        </w:rPr>
        <w:t>④噪声防治措施分析</w:t>
      </w:r>
    </w:p>
    <w:p>
      <w:pPr>
        <w:pageBreakBefore w:val="0"/>
        <w:kinsoku/>
        <w:wordWrap/>
        <w:overflowPunct/>
        <w:topLinePunct w:val="0"/>
        <w:autoSpaceDE/>
        <w:autoSpaceDN/>
        <w:bidi w:val="0"/>
        <w:adjustRightInd/>
        <w:snapToGrid/>
        <w:spacing w:line="360" w:lineRule="auto"/>
        <w:ind w:left="0" w:firstLine="480" w:firstLineChars="200"/>
        <w:rPr>
          <w:rFonts w:hint="eastAsia" w:ascii="Times New Roman" w:hAnsi="Times New Roman" w:eastAsia="宋体" w:cs="宋体"/>
          <w:color w:val="auto"/>
          <w:sz w:val="24"/>
        </w:rPr>
      </w:pPr>
      <w:r>
        <w:rPr>
          <w:rFonts w:hint="eastAsia" w:ascii="Times New Roman" w:hAnsi="Times New Roman" w:eastAsia="宋体" w:cs="宋体"/>
          <w:color w:val="auto"/>
          <w:sz w:val="24"/>
        </w:rPr>
        <w:t>工程运行期</w:t>
      </w:r>
      <w:r>
        <w:rPr>
          <w:rFonts w:hint="eastAsia" w:ascii="Times New Roman" w:hAnsi="Times New Roman" w:eastAsia="宋体" w:cs="宋体"/>
          <w:color w:val="auto"/>
          <w:sz w:val="24"/>
          <w:lang w:eastAsia="zh-CN"/>
        </w:rPr>
        <w:t>噪声源强主要来自</w:t>
      </w:r>
      <w:r>
        <w:rPr>
          <w:rFonts w:hint="eastAsia" w:ascii="Times New Roman" w:hAnsi="Times New Roman" w:eastAsia="宋体" w:cs="宋体"/>
          <w:color w:val="auto"/>
          <w:sz w:val="24"/>
        </w:rPr>
        <w:t>压实机、</w:t>
      </w:r>
      <w:r>
        <w:rPr>
          <w:rFonts w:hint="eastAsia" w:ascii="Times New Roman" w:hAnsi="Times New Roman" w:eastAsia="宋体" w:cs="宋体"/>
          <w:color w:val="auto"/>
          <w:sz w:val="24"/>
          <w:lang w:eastAsia="zh-CN"/>
        </w:rPr>
        <w:t>推土机、挖掘机、</w:t>
      </w:r>
      <w:r>
        <w:rPr>
          <w:rFonts w:hint="eastAsia" w:ascii="Times New Roman" w:hAnsi="Times New Roman" w:eastAsia="宋体" w:cs="宋体"/>
          <w:color w:val="auto"/>
          <w:sz w:val="24"/>
        </w:rPr>
        <w:t>装载机、</w:t>
      </w:r>
      <w:r>
        <w:rPr>
          <w:rFonts w:hint="eastAsia" w:ascii="Times New Roman" w:hAnsi="Times New Roman" w:eastAsia="宋体" w:cs="宋体"/>
          <w:color w:val="auto"/>
          <w:sz w:val="24"/>
          <w:lang w:eastAsia="zh-CN"/>
        </w:rPr>
        <w:t>运输车辆</w:t>
      </w:r>
      <w:r>
        <w:rPr>
          <w:rFonts w:hint="eastAsia" w:ascii="Times New Roman" w:hAnsi="Times New Roman" w:eastAsia="宋体" w:cs="宋体"/>
          <w:color w:val="auto"/>
          <w:sz w:val="24"/>
        </w:rPr>
        <w:t>等，对于填埋作业机械噪声防治，设计中首先采用了低噪声设备，运行中通过加强车辆运输管理以降低噪声，同时在场区及周围进行带状绿化，加强作业工人的劳动防护。针对来往运输车辆，加强管理，禁止鸣笛。进场道路交通噪声相对外环境较开阔，周边环境不敏感，不会给环境带来不利影响。</w:t>
      </w:r>
    </w:p>
    <w:p>
      <w:pPr>
        <w:pageBreakBefore w:val="0"/>
        <w:kinsoku/>
        <w:wordWrap/>
        <w:overflowPunct/>
        <w:topLinePunct w:val="0"/>
        <w:autoSpaceDE/>
        <w:autoSpaceDN/>
        <w:bidi w:val="0"/>
        <w:adjustRightInd/>
        <w:snapToGrid/>
        <w:spacing w:line="360" w:lineRule="auto"/>
        <w:ind w:left="0" w:firstLine="480" w:firstLineChars="200"/>
        <w:rPr>
          <w:rFonts w:hint="eastAsia" w:ascii="Times New Roman" w:hAnsi="Times New Roman" w:eastAsia="宋体" w:cs="宋体"/>
          <w:color w:val="auto"/>
          <w:sz w:val="24"/>
          <w:szCs w:val="24"/>
        </w:rPr>
      </w:pPr>
      <w:r>
        <w:rPr>
          <w:rFonts w:hint="eastAsia" w:ascii="Times New Roman" w:hAnsi="Times New Roman" w:eastAsia="宋体" w:cs="宋体"/>
          <w:color w:val="auto"/>
          <w:sz w:val="24"/>
          <w:szCs w:val="24"/>
        </w:rPr>
        <w:t>综上分析可知，项目运营期噪声不会给声环境带来不良影响，其防治措施具有经济技术可行性。</w:t>
      </w:r>
    </w:p>
    <w:p>
      <w:pPr>
        <w:pStyle w:val="149"/>
        <w:pageBreakBefore w:val="0"/>
        <w:kinsoku/>
        <w:wordWrap/>
        <w:overflowPunct/>
        <w:topLinePunct w:val="0"/>
        <w:autoSpaceDE/>
        <w:autoSpaceDN/>
        <w:bidi w:val="0"/>
        <w:adjustRightInd/>
        <w:snapToGrid/>
        <w:spacing w:line="360" w:lineRule="auto"/>
        <w:ind w:left="0"/>
        <w:rPr>
          <w:rFonts w:hint="eastAsia" w:ascii="Times New Roman" w:hAnsi="Times New Roman" w:eastAsia="宋体" w:cs="宋体"/>
          <w:color w:val="auto"/>
        </w:rPr>
      </w:pPr>
      <w:r>
        <w:rPr>
          <w:rFonts w:hint="eastAsia" w:ascii="Times New Roman" w:hAnsi="Times New Roman" w:eastAsia="宋体" w:cs="宋体"/>
          <w:color w:val="auto"/>
        </w:rPr>
        <w:t>⑤固体废弃物处置措施分析</w:t>
      </w:r>
    </w:p>
    <w:p>
      <w:pPr>
        <w:pStyle w:val="149"/>
        <w:pageBreakBefore w:val="0"/>
        <w:kinsoku/>
        <w:wordWrap/>
        <w:overflowPunct/>
        <w:topLinePunct w:val="0"/>
        <w:autoSpaceDE/>
        <w:autoSpaceDN/>
        <w:bidi w:val="0"/>
        <w:adjustRightInd/>
        <w:snapToGrid/>
        <w:spacing w:line="360" w:lineRule="auto"/>
        <w:ind w:left="0"/>
        <w:rPr>
          <w:rFonts w:hint="eastAsia" w:ascii="Times New Roman" w:hAnsi="Times New Roman" w:eastAsia="宋体" w:cs="宋体"/>
          <w:color w:val="auto"/>
        </w:rPr>
      </w:pPr>
      <w:r>
        <w:rPr>
          <w:rFonts w:hint="eastAsia" w:ascii="Times New Roman" w:hAnsi="Times New Roman" w:eastAsia="宋体" w:cs="宋体"/>
          <w:color w:val="auto"/>
        </w:rPr>
        <w:t>工程运营期固体废物污染源主要是职工日常生活垃圾。环评要求统一收集后送环卫部门处理，其防治措施具有经济技术可行性。</w:t>
      </w:r>
    </w:p>
    <w:p>
      <w:pPr>
        <w:pStyle w:val="149"/>
        <w:pageBreakBefore w:val="0"/>
        <w:kinsoku/>
        <w:wordWrap/>
        <w:overflowPunct/>
        <w:topLinePunct w:val="0"/>
        <w:autoSpaceDE/>
        <w:autoSpaceDN/>
        <w:bidi w:val="0"/>
        <w:adjustRightInd/>
        <w:snapToGrid/>
        <w:spacing w:line="360" w:lineRule="auto"/>
        <w:ind w:left="0"/>
        <w:rPr>
          <w:rFonts w:hint="eastAsia" w:ascii="Times New Roman" w:hAnsi="Times New Roman" w:eastAsia="宋体" w:cs="宋体"/>
          <w:color w:val="auto"/>
        </w:rPr>
      </w:pPr>
      <w:r>
        <w:rPr>
          <w:rFonts w:hint="eastAsia" w:ascii="Times New Roman" w:hAnsi="Times New Roman" w:eastAsia="宋体" w:cs="宋体"/>
          <w:color w:val="auto"/>
        </w:rPr>
        <w:t>（3）封场后环保措施</w:t>
      </w:r>
    </w:p>
    <w:p>
      <w:pPr>
        <w:pStyle w:val="149"/>
        <w:pageBreakBefore w:val="0"/>
        <w:kinsoku/>
        <w:wordWrap/>
        <w:overflowPunct/>
        <w:topLinePunct w:val="0"/>
        <w:autoSpaceDE/>
        <w:autoSpaceDN/>
        <w:bidi w:val="0"/>
        <w:adjustRightInd/>
        <w:snapToGrid/>
        <w:spacing w:line="360" w:lineRule="auto"/>
        <w:ind w:left="0"/>
        <w:rPr>
          <w:rFonts w:hint="eastAsia" w:ascii="Times New Roman" w:hAnsi="Times New Roman" w:eastAsia="宋体" w:cs="宋体"/>
          <w:color w:val="auto"/>
        </w:rPr>
      </w:pPr>
      <w:r>
        <w:rPr>
          <w:rFonts w:hint="eastAsia" w:ascii="Times New Roman" w:hAnsi="Times New Roman" w:eastAsia="宋体" w:cs="宋体"/>
          <w:color w:val="auto"/>
        </w:rPr>
        <w:t>根据《一般工业固体废弃物贮存、处置场污染控制标准》（GB18599-2001）</w:t>
      </w:r>
      <w:r>
        <w:rPr>
          <w:rFonts w:hint="eastAsia" w:ascii="Times New Roman" w:hAnsi="Times New Roman" w:eastAsia="宋体" w:cs="宋体"/>
          <w:color w:val="auto"/>
          <w:lang w:eastAsia="zh-CN"/>
        </w:rPr>
        <w:t>（</w:t>
      </w:r>
      <w:r>
        <w:rPr>
          <w:rFonts w:hint="eastAsia" w:ascii="Times New Roman" w:hAnsi="Times New Roman" w:eastAsia="宋体" w:cs="宋体"/>
          <w:color w:val="auto"/>
          <w:lang w:val="en-US" w:eastAsia="zh-CN"/>
        </w:rPr>
        <w:t>2013年修订</w:t>
      </w:r>
      <w:r>
        <w:rPr>
          <w:rFonts w:hint="eastAsia" w:ascii="Times New Roman" w:hAnsi="Times New Roman" w:eastAsia="宋体" w:cs="宋体"/>
          <w:color w:val="auto"/>
          <w:lang w:eastAsia="zh-CN"/>
        </w:rPr>
        <w:t>）</w:t>
      </w:r>
      <w:r>
        <w:rPr>
          <w:rFonts w:hint="eastAsia" w:ascii="Times New Roman" w:hAnsi="Times New Roman" w:eastAsia="宋体" w:cs="宋体"/>
          <w:color w:val="auto"/>
        </w:rPr>
        <w:t>中规定，本填埋场封场覆盖层由两部分构成：压实粘土阻隔层、覆盖土层。</w:t>
      </w:r>
      <w:r>
        <w:rPr>
          <w:rFonts w:hint="eastAsia" w:ascii="Times New Roman" w:hAnsi="Times New Roman" w:eastAsia="宋体" w:cs="宋体"/>
          <w:color w:val="auto"/>
          <w:sz w:val="24"/>
        </w:rPr>
        <w:t>项目封场工程包括防渗排水层和植被层，分别为采用450cm厚粘土层，防渗系数K≤10</w:t>
      </w:r>
      <w:r>
        <w:rPr>
          <w:rFonts w:hint="eastAsia" w:ascii="Times New Roman" w:hAnsi="Times New Roman" w:eastAsia="宋体" w:cs="宋体"/>
          <w:color w:val="auto"/>
          <w:sz w:val="24"/>
          <w:vertAlign w:val="superscript"/>
        </w:rPr>
        <w:t>-7</w:t>
      </w:r>
      <w:r>
        <w:rPr>
          <w:rFonts w:hint="eastAsia" w:ascii="Times New Roman" w:hAnsi="Times New Roman" w:eastAsia="宋体" w:cs="宋体"/>
          <w:color w:val="auto"/>
          <w:sz w:val="24"/>
        </w:rPr>
        <w:t>cm/s，</w:t>
      </w:r>
      <w:r>
        <w:rPr>
          <w:rFonts w:hint="eastAsia" w:ascii="Times New Roman" w:hAnsi="Times New Roman" w:eastAsia="宋体" w:cs="宋体"/>
          <w:color w:val="auto"/>
          <w:sz w:val="24"/>
          <w:lang w:val="de-DE"/>
        </w:rPr>
        <w:t>覆盖</w:t>
      </w:r>
      <w:r>
        <w:rPr>
          <w:rFonts w:hint="eastAsia" w:ascii="Times New Roman" w:hAnsi="Times New Roman" w:eastAsia="宋体" w:cs="宋体"/>
          <w:color w:val="auto"/>
          <w:sz w:val="24"/>
          <w:lang w:val="de-DE" w:eastAsia="zh-CN"/>
        </w:rPr>
        <w:t>不少于</w:t>
      </w:r>
      <w:r>
        <w:rPr>
          <w:rFonts w:hint="eastAsia" w:ascii="Times New Roman" w:hAnsi="Times New Roman" w:eastAsia="宋体" w:cs="宋体"/>
          <w:color w:val="auto"/>
          <w:sz w:val="24"/>
          <w:lang w:val="de-DE"/>
        </w:rPr>
        <w:t>0.</w:t>
      </w:r>
      <w:r>
        <w:rPr>
          <w:rFonts w:hint="eastAsia" w:ascii="Times New Roman" w:hAnsi="Times New Roman" w:eastAsia="宋体" w:cs="宋体"/>
          <w:color w:val="auto"/>
          <w:sz w:val="24"/>
          <w:lang w:val="en-US" w:eastAsia="zh-CN"/>
        </w:rPr>
        <w:t>3</w:t>
      </w:r>
      <w:r>
        <w:rPr>
          <w:rFonts w:hint="eastAsia" w:ascii="Times New Roman" w:hAnsi="Times New Roman" w:eastAsia="宋体" w:cs="宋体"/>
          <w:color w:val="auto"/>
          <w:sz w:val="24"/>
          <w:lang w:val="de-DE"/>
        </w:rPr>
        <w:t>cm厚的营养土层，种植植被。</w:t>
      </w:r>
      <w:r>
        <w:rPr>
          <w:rFonts w:hint="eastAsia" w:ascii="Times New Roman" w:hAnsi="Times New Roman" w:eastAsia="宋体" w:cs="宋体"/>
          <w:color w:val="auto"/>
          <w:sz w:val="24"/>
        </w:rPr>
        <w:t>封场后的维护主要包括填埋场地的连续视察与维护、基础设施的不定期维护以及场内及周边环境的连续监测。在采取了相关措施后，封场后不会对环境造成不良影响。</w:t>
      </w:r>
    </w:p>
    <w:p>
      <w:pPr>
        <w:pStyle w:val="149"/>
        <w:pageBreakBefore w:val="0"/>
        <w:kinsoku/>
        <w:wordWrap/>
        <w:overflowPunct/>
        <w:topLinePunct w:val="0"/>
        <w:autoSpaceDE/>
        <w:autoSpaceDN/>
        <w:bidi w:val="0"/>
        <w:adjustRightInd/>
        <w:snapToGrid/>
        <w:spacing w:line="360" w:lineRule="auto"/>
        <w:ind w:left="0"/>
        <w:rPr>
          <w:rFonts w:hint="eastAsia" w:ascii="Times New Roman" w:hAnsi="Times New Roman" w:eastAsia="宋体" w:cs="宋体"/>
          <w:color w:val="auto"/>
        </w:rPr>
      </w:pPr>
      <w:r>
        <w:rPr>
          <w:rFonts w:hint="eastAsia" w:ascii="Times New Roman" w:hAnsi="Times New Roman" w:eastAsia="宋体" w:cs="宋体"/>
          <w:color w:val="auto"/>
        </w:rPr>
        <w:t>通过以上各阶段工程环保对策措施的综合分析，只要落实各项环保对策措施，严格固废填埋操作规程，加强环境监督管理，拟建项目就不会出现二次环境污染影响问题，同时，经济、技术可行。</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outlineLvl w:val="9"/>
        <w:rPr>
          <w:rFonts w:hint="eastAsia" w:ascii="Times New Roman" w:hAnsi="Times New Roman" w:eastAsia="宋体" w:cs="宋体"/>
          <w:b w:val="0"/>
          <w:bCs w:val="0"/>
          <w:color w:val="auto"/>
          <w:sz w:val="24"/>
          <w:szCs w:val="24"/>
        </w:rPr>
      </w:pPr>
      <w:bookmarkStart w:id="103" w:name="_Toc223921571"/>
      <w:bookmarkStart w:id="104" w:name="_Toc405804007"/>
      <w:bookmarkStart w:id="105" w:name="_Toc209"/>
      <w:bookmarkStart w:id="106" w:name="_Toc20665"/>
      <w:r>
        <w:rPr>
          <w:rFonts w:hint="eastAsia" w:ascii="Times New Roman" w:hAnsi="Times New Roman" w:eastAsia="宋体" w:cs="宋体"/>
          <w:b w:val="0"/>
          <w:bCs w:val="0"/>
          <w:color w:val="auto"/>
          <w:sz w:val="24"/>
          <w:szCs w:val="24"/>
          <w:lang w:val="en-US" w:eastAsia="zh-CN"/>
        </w:rPr>
        <w:t>七、</w:t>
      </w:r>
      <w:r>
        <w:rPr>
          <w:rFonts w:hint="eastAsia" w:ascii="Times New Roman" w:hAnsi="Times New Roman" w:eastAsia="宋体" w:cs="宋体"/>
          <w:b w:val="0"/>
          <w:bCs w:val="0"/>
          <w:color w:val="auto"/>
          <w:sz w:val="24"/>
          <w:szCs w:val="24"/>
        </w:rPr>
        <w:t>公众参与</w:t>
      </w:r>
      <w:bookmarkEnd w:id="103"/>
      <w:bookmarkEnd w:id="104"/>
      <w:bookmarkEnd w:id="105"/>
      <w:bookmarkEnd w:id="106"/>
    </w:p>
    <w:p>
      <w:pPr>
        <w:pStyle w:val="131"/>
        <w:pageBreakBefore w:val="0"/>
        <w:kinsoku/>
        <w:wordWrap/>
        <w:overflowPunct/>
        <w:topLinePunct w:val="0"/>
        <w:autoSpaceDE/>
        <w:autoSpaceDN/>
        <w:bidi w:val="0"/>
        <w:adjustRightInd/>
        <w:snapToGrid/>
        <w:spacing w:after="0" w:line="360" w:lineRule="auto"/>
        <w:ind w:left="0"/>
        <w:rPr>
          <w:rFonts w:hint="eastAsia" w:ascii="Times New Roman" w:hAnsi="Times New Roman" w:eastAsia="宋体" w:cs="宋体"/>
          <w:color w:val="auto"/>
          <w:szCs w:val="24"/>
        </w:rPr>
      </w:pPr>
      <w:r>
        <w:rPr>
          <w:rFonts w:hint="eastAsia" w:ascii="Times New Roman" w:hAnsi="Times New Roman" w:eastAsia="宋体" w:cs="宋体"/>
          <w:color w:val="auto"/>
          <w:szCs w:val="24"/>
        </w:rPr>
        <w:t>按</w:t>
      </w:r>
      <w:r>
        <w:rPr>
          <w:rFonts w:hint="eastAsia" w:ascii="Times New Roman" w:hAnsi="Times New Roman" w:eastAsia="宋体" w:cs="宋体"/>
          <w:color w:val="auto"/>
          <w:szCs w:val="24"/>
          <w:lang w:eastAsia="zh-CN"/>
        </w:rPr>
        <w:t>生态</w:t>
      </w:r>
      <w:r>
        <w:rPr>
          <w:rFonts w:hint="eastAsia" w:ascii="Times New Roman" w:hAnsi="Times New Roman" w:cs="宋体"/>
          <w:color w:val="auto"/>
          <w:szCs w:val="24"/>
          <w:lang w:eastAsia="zh-CN"/>
        </w:rPr>
        <w:t>环</w:t>
      </w:r>
      <w:r>
        <w:rPr>
          <w:rFonts w:hint="eastAsia" w:ascii="Times New Roman" w:hAnsi="Times New Roman" w:eastAsia="宋体" w:cs="宋体"/>
          <w:color w:val="auto"/>
          <w:szCs w:val="24"/>
          <w:lang w:eastAsia="zh-CN"/>
        </w:rPr>
        <w:t>境部</w:t>
      </w:r>
      <w:r>
        <w:rPr>
          <w:rFonts w:hint="eastAsia" w:ascii="Times New Roman" w:hAnsi="Times New Roman" w:eastAsia="宋体" w:cs="宋体"/>
          <w:color w:val="auto"/>
          <w:szCs w:val="24"/>
        </w:rPr>
        <w:t>《环境影响评价公众参与办法》的要求</w:t>
      </w:r>
      <w:r>
        <w:rPr>
          <w:rFonts w:hint="eastAsia" w:ascii="Times New Roman" w:hAnsi="Times New Roman" w:eastAsia="宋体" w:cs="宋体"/>
          <w:color w:val="auto"/>
          <w:szCs w:val="24"/>
          <w:lang w:eastAsia="zh-CN"/>
        </w:rPr>
        <w:t>，本项目在评价期间采取了媒体公示、报纸公示、现场公告、发放公众意见调查表等多种形式，征求当地公众对于本项目建设在环境保护方面的意见和建议。在两次网络公示、报纸公示和现场公告等期间，未收到反馈意见。</w:t>
      </w:r>
      <w:r>
        <w:rPr>
          <w:rFonts w:hint="eastAsia" w:ascii="Times New Roman" w:hAnsi="Times New Roman" w:eastAsia="宋体" w:cs="宋体"/>
          <w:color w:val="auto"/>
          <w:szCs w:val="24"/>
        </w:rPr>
        <w:t>公众调查表格反映，当地民众和对本项目普遍持认同态度，支持本项目建设，调查表调查及</w:t>
      </w:r>
      <w:r>
        <w:rPr>
          <w:rFonts w:hint="eastAsia" w:ascii="Times New Roman" w:hAnsi="Times New Roman" w:eastAsia="宋体" w:cs="宋体"/>
          <w:color w:val="auto"/>
          <w:szCs w:val="24"/>
          <w:lang w:eastAsia="zh-CN"/>
        </w:rPr>
        <w:t>两次网络公示、报纸公示和现场公告等</w:t>
      </w:r>
      <w:r>
        <w:rPr>
          <w:rFonts w:hint="eastAsia" w:ascii="Times New Roman" w:hAnsi="Times New Roman" w:eastAsia="宋体" w:cs="宋体"/>
          <w:color w:val="auto"/>
          <w:szCs w:val="24"/>
        </w:rPr>
        <w:t>过程中未收到反对意见</w:t>
      </w:r>
      <w:r>
        <w:rPr>
          <w:rFonts w:hint="eastAsia" w:ascii="Times New Roman" w:hAnsi="Times New Roman" w:eastAsia="宋体" w:cs="宋体"/>
          <w:color w:val="auto"/>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outlineLvl w:val="9"/>
        <w:rPr>
          <w:rFonts w:hint="eastAsia" w:ascii="Times New Roman" w:hAnsi="Times New Roman" w:eastAsia="宋体" w:cs="宋体"/>
          <w:b w:val="0"/>
          <w:bCs w:val="0"/>
          <w:color w:val="auto"/>
          <w:sz w:val="24"/>
          <w:szCs w:val="24"/>
        </w:rPr>
      </w:pPr>
      <w:bookmarkStart w:id="107" w:name="_Toc20299"/>
      <w:bookmarkStart w:id="108" w:name="_Toc405804008"/>
      <w:bookmarkStart w:id="109" w:name="_Toc30046"/>
      <w:r>
        <w:rPr>
          <w:rFonts w:hint="eastAsia" w:ascii="Times New Roman" w:hAnsi="Times New Roman" w:eastAsia="宋体" w:cs="宋体"/>
          <w:b w:val="0"/>
          <w:bCs w:val="0"/>
          <w:color w:val="auto"/>
          <w:sz w:val="24"/>
          <w:szCs w:val="24"/>
          <w:lang w:val="en-US" w:eastAsia="zh-CN"/>
        </w:rPr>
        <w:t>八、</w:t>
      </w:r>
      <w:r>
        <w:rPr>
          <w:rFonts w:hint="eastAsia" w:ascii="Times New Roman" w:hAnsi="Times New Roman" w:eastAsia="宋体" w:cs="宋体"/>
          <w:b w:val="0"/>
          <w:bCs w:val="0"/>
          <w:color w:val="auto"/>
          <w:sz w:val="24"/>
          <w:szCs w:val="24"/>
        </w:rPr>
        <w:t>环境可行性结论</w:t>
      </w:r>
      <w:bookmarkEnd w:id="107"/>
      <w:bookmarkEnd w:id="108"/>
      <w:bookmarkEnd w:id="109"/>
    </w:p>
    <w:p>
      <w:pPr>
        <w:pageBreakBefore w:val="0"/>
        <w:widowControl w:val="0"/>
        <w:kinsoku/>
        <w:wordWrap/>
        <w:overflowPunct/>
        <w:topLinePunct w:val="0"/>
        <w:autoSpaceDE/>
        <w:autoSpaceDN/>
        <w:bidi w:val="0"/>
        <w:adjustRightInd/>
        <w:snapToGrid/>
        <w:spacing w:line="360" w:lineRule="auto"/>
        <w:ind w:left="0" w:firstLine="555"/>
        <w:textAlignment w:val="auto"/>
        <w:rPr>
          <w:rFonts w:hint="eastAsia" w:ascii="Times New Roman" w:hAnsi="Times New Roman" w:eastAsia="宋体" w:cs="宋体"/>
          <w:color w:val="auto"/>
          <w:sz w:val="24"/>
        </w:rPr>
      </w:pPr>
      <w:r>
        <w:rPr>
          <w:rFonts w:hint="eastAsia" w:ascii="Times New Roman" w:hAnsi="Times New Roman" w:eastAsia="宋体" w:cs="宋体"/>
          <w:color w:val="auto"/>
          <w:sz w:val="24"/>
        </w:rPr>
        <w:t>拟建项目符合国家产业政策及当地相关规划，选址合理可行，填埋场建设规模恰当，处理工艺符合国家现行的技术要求，区域环境质量较好，符合清洁生产原则，符合土地利用政策。工程的建设及运行期不可避免会对环境产生一定的影响，通过环保措施能够减缓对周围环境的影响。</w:t>
      </w:r>
    </w:p>
    <w:p>
      <w:pPr>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Times New Roman" w:hAnsi="Times New Roman" w:eastAsia="宋体" w:cs="宋体"/>
          <w:color w:val="auto"/>
          <w:sz w:val="24"/>
        </w:rPr>
      </w:pPr>
      <w:r>
        <w:rPr>
          <w:rFonts w:hint="eastAsia" w:ascii="Times New Roman" w:hAnsi="Times New Roman" w:eastAsia="宋体" w:cs="宋体"/>
          <w:color w:val="auto"/>
          <w:sz w:val="24"/>
        </w:rPr>
        <w:t>根据评价区环境现状及环境发展趋势，结合工程特点及性质，预测拟建项目对环境的影响，结果表明拟建项目产生的正效益远远大于负影响，负影响在采取相应的环保措施后将影响程度降低在自然与社会环境可承受的限度内。且项目建设可有效解决</w:t>
      </w:r>
      <w:r>
        <w:rPr>
          <w:rFonts w:hint="eastAsia" w:ascii="Times New Roman" w:hAnsi="Times New Roman" w:eastAsia="宋体" w:cs="宋体"/>
          <w:color w:val="auto"/>
          <w:sz w:val="24"/>
          <w:lang w:eastAsia="zh-CN"/>
        </w:rPr>
        <w:t>灵璧县经济开发区</w:t>
      </w:r>
      <w:r>
        <w:rPr>
          <w:rFonts w:hint="eastAsia" w:ascii="Times New Roman" w:hAnsi="Times New Roman" w:eastAsia="宋体" w:cs="宋体"/>
          <w:color w:val="auto"/>
          <w:sz w:val="24"/>
        </w:rPr>
        <w:t>一般工业固废处理处置问题，具有必要性。工程建设可取得良好的社会效益和环境效益。</w:t>
      </w:r>
    </w:p>
    <w:p>
      <w:pPr>
        <w:pStyle w:val="104"/>
        <w:pageBreakBefore w:val="0"/>
        <w:widowControl w:val="0"/>
        <w:kinsoku/>
        <w:wordWrap/>
        <w:overflowPunct/>
        <w:topLinePunct w:val="0"/>
        <w:autoSpaceDE/>
        <w:autoSpaceDN/>
        <w:bidi w:val="0"/>
        <w:adjustRightInd/>
        <w:snapToGrid/>
        <w:spacing w:line="360" w:lineRule="auto"/>
        <w:ind w:left="0" w:firstLine="480"/>
        <w:textAlignment w:val="auto"/>
        <w:rPr>
          <w:rFonts w:ascii="Times New Roman" w:hAnsi="Times New Roman"/>
          <w:color w:val="auto"/>
        </w:rPr>
      </w:pPr>
      <w:r>
        <w:rPr>
          <w:rFonts w:hint="eastAsia" w:ascii="Times New Roman" w:hAnsi="Times New Roman" w:eastAsia="宋体" w:cs="宋体"/>
          <w:color w:val="auto"/>
          <w:sz w:val="24"/>
        </w:rPr>
        <w:t>因此，从环境影响和环境保护角度总体分析，工程建设在环保方面是可行的。</w:t>
      </w:r>
      <w:bookmarkEnd w:id="81"/>
    </w:p>
    <w:p>
      <w:pPr>
        <w:pStyle w:val="6"/>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cs="Times New Roman"/>
          <w:color w:val="auto"/>
        </w:rPr>
      </w:pPr>
      <w:bookmarkStart w:id="110" w:name="_Toc480298100"/>
      <w:bookmarkStart w:id="111" w:name="_Toc23074"/>
      <w:r>
        <w:rPr>
          <w:rFonts w:ascii="Times New Roman" w:hAnsi="Times New Roman" w:cs="Times New Roman"/>
          <w:color w:val="auto"/>
        </w:rPr>
        <w:t>5.2</w:t>
      </w:r>
      <w:bookmarkEnd w:id="75"/>
      <w:bookmarkEnd w:id="110"/>
      <w:bookmarkStart w:id="112" w:name="_Toc495304772"/>
      <w:r>
        <w:rPr>
          <w:rFonts w:ascii="Times New Roman" w:hAnsi="Times New Roman" w:cs="Times New Roman"/>
          <w:color w:val="auto"/>
        </w:rPr>
        <w:t>环境保护局对环评报告的审批意见</w:t>
      </w:r>
      <w:bookmarkEnd w:id="82"/>
      <w:bookmarkEnd w:id="111"/>
      <w:bookmarkEnd w:id="112"/>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color w:val="auto"/>
        </w:rPr>
      </w:pPr>
      <w:r>
        <w:rPr>
          <w:rFonts w:hint="eastAsia" w:ascii="Times New Roman" w:hAnsi="Times New Roman"/>
          <w:color w:val="auto"/>
          <w:lang w:eastAsia="zh-CN"/>
        </w:rPr>
        <w:t>宿州市灵璧县生态环境分局</w:t>
      </w:r>
      <w:r>
        <w:rPr>
          <w:rFonts w:ascii="Times New Roman" w:hAnsi="Times New Roman"/>
          <w:color w:val="auto"/>
        </w:rPr>
        <w:t>对本项目</w:t>
      </w:r>
      <w:r>
        <w:rPr>
          <w:rFonts w:hint="eastAsia" w:ascii="Times New Roman" w:hAnsi="Times New Roman"/>
          <w:color w:val="auto"/>
        </w:rPr>
        <w:t>批复的函</w:t>
      </w:r>
      <w:r>
        <w:rPr>
          <w:rFonts w:ascii="Times New Roman" w:hAnsi="Times New Roman"/>
          <w:color w:val="auto"/>
        </w:rPr>
        <w:t>摘录如下：</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color w:val="auto"/>
          <w:kern w:val="0"/>
          <w:lang w:val="en-US" w:eastAsia="zh-CN"/>
        </w:rPr>
      </w:pPr>
      <w:r>
        <w:rPr>
          <w:rFonts w:ascii="Times New Roman" w:hAnsi="Times New Roman"/>
          <w:color w:val="auto"/>
          <w:kern w:val="0"/>
          <w:lang w:val="zh-CN"/>
        </w:rPr>
        <w:t>一、原则同意《报告书》</w:t>
      </w:r>
      <w:r>
        <w:rPr>
          <w:rFonts w:hint="eastAsia" w:ascii="Times New Roman" w:hAnsi="Times New Roman"/>
          <w:color w:val="auto"/>
          <w:kern w:val="0"/>
          <w:lang w:val="zh-CN"/>
        </w:rPr>
        <w:t>评价</w:t>
      </w:r>
      <w:r>
        <w:rPr>
          <w:rFonts w:ascii="Times New Roman" w:hAnsi="Times New Roman"/>
          <w:color w:val="auto"/>
          <w:kern w:val="0"/>
          <w:lang w:val="zh-CN"/>
        </w:rPr>
        <w:t>结论。</w:t>
      </w:r>
      <w:r>
        <w:rPr>
          <w:rFonts w:hint="eastAsia" w:ascii="Times New Roman" w:hAnsi="Times New Roman"/>
          <w:color w:val="auto"/>
          <w:kern w:val="0"/>
          <w:lang w:val="zh-CN"/>
        </w:rPr>
        <w:t>灵璧县一般工业固废填埋处置工程位于灵璧县虞姬乡三山，填埋库区设计总库容约</w:t>
      </w:r>
      <w:r>
        <w:rPr>
          <w:rFonts w:hint="eastAsia" w:ascii="Times New Roman" w:hAnsi="Times New Roman"/>
          <w:color w:val="auto"/>
          <w:kern w:val="0"/>
          <w:lang w:val="en-US" w:eastAsia="zh-CN"/>
        </w:rPr>
        <w:t>15万立方米，主要用于填埋处理灵璧县境内未能回收利用的Ⅰ、Ⅱ类一般工业固体废物，不包括危险废物和生活垃圾。项目主要建设内容为填埋库区、垃圾坝、防渗系统、雨水及地下水导排系统、渗滤液收集导排系统、填埋气收集导排系统、封场覆盖系统和环境监测系统等。该项目已经灵璧县发展和改革委员会予以审批（灵发改审批【2020】262号），且灵璧县自然资源与规划局同意项目选址。从环境保护角度，我局原则同意该项目按《报告书》中所列建设项目的性质、规模、地点、工艺和拟采取的各项环保措施进行建设。</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color w:val="auto"/>
          <w:kern w:val="0"/>
          <w:lang w:val="en-US" w:eastAsia="zh-CN"/>
        </w:rPr>
      </w:pPr>
      <w:r>
        <w:rPr>
          <w:rFonts w:hint="eastAsia" w:ascii="Times New Roman" w:hAnsi="Times New Roman"/>
          <w:color w:val="auto"/>
          <w:kern w:val="0"/>
          <w:lang w:val="en-US" w:eastAsia="zh-CN"/>
        </w:rPr>
        <w:t>二、在项目设计、建设和环境管理中要认真落实《报告书》提出的各项环保要求，有效地消除或减缓项目建设期及运营期对周围环境造成的不利影响，严格执行环保“三同时”制度，确保各类污染物稳定达标排放。</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color w:val="auto"/>
          <w:kern w:val="0"/>
          <w:lang w:val="en-US" w:eastAsia="zh-CN"/>
        </w:rPr>
      </w:pPr>
      <w:r>
        <w:rPr>
          <w:rFonts w:hint="eastAsia" w:ascii="Times New Roman" w:hAnsi="Times New Roman"/>
          <w:color w:val="auto"/>
          <w:kern w:val="0"/>
          <w:lang w:val="en-US" w:eastAsia="zh-CN"/>
        </w:rPr>
        <w:t>三、项目建设及运营过程中应重点落实以下要求：</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color w:val="auto"/>
          <w:kern w:val="0"/>
          <w:lang w:val="en-US" w:eastAsia="zh-CN"/>
        </w:rPr>
      </w:pPr>
      <w:r>
        <w:rPr>
          <w:rFonts w:hint="eastAsia" w:ascii="Times New Roman" w:hAnsi="Times New Roman"/>
          <w:color w:val="auto"/>
          <w:kern w:val="0"/>
          <w:lang w:val="en-US" w:eastAsia="zh-CN"/>
        </w:rPr>
        <w:t>1、项目施工过程中严格控制施工作业地带，加强施工期的环境保护管理工作，并开展施工期环境监理工作，严格控制施工扬尘、噪声、废水以及固废对周围环境的影响。</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color w:val="auto"/>
          <w:kern w:val="0"/>
          <w:lang w:val="en-US" w:eastAsia="zh-CN"/>
        </w:rPr>
      </w:pPr>
      <w:r>
        <w:rPr>
          <w:rFonts w:hint="eastAsia" w:ascii="Times New Roman" w:hAnsi="Times New Roman"/>
          <w:color w:val="auto"/>
          <w:kern w:val="0"/>
          <w:lang w:val="en-US" w:eastAsia="zh-CN"/>
        </w:rPr>
        <w:t>2、运营期应严格按照《一般工业固体废物贮存、处置场污染控制标准》（GB18599-2013）中一般工业固体废物入场要求控制进场的固体废物；禁止危险废物、生活垃圾进入本项目填埋区填埋，并建立运行台账。</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color w:val="auto"/>
          <w:kern w:val="0"/>
          <w:lang w:val="en-US" w:eastAsia="zh-CN"/>
        </w:rPr>
      </w:pPr>
      <w:r>
        <w:rPr>
          <w:rFonts w:hint="eastAsia" w:ascii="Times New Roman" w:hAnsi="Times New Roman"/>
          <w:color w:val="auto"/>
          <w:kern w:val="0"/>
          <w:lang w:val="en-US" w:eastAsia="zh-CN"/>
        </w:rPr>
        <w:t>3、严格按照环评文件及相关标准和规范要求，做好项目防渗及防洪工程，规范设置地下水监测井，定期检测防渗衬层系统的完整性，如出现渗漏时，应及时采取补救措施。</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color w:val="auto"/>
          <w:kern w:val="0"/>
          <w:lang w:val="en-US" w:eastAsia="zh-CN"/>
        </w:rPr>
      </w:pPr>
      <w:r>
        <w:rPr>
          <w:rFonts w:hint="eastAsia" w:ascii="Times New Roman" w:hAnsi="Times New Roman"/>
          <w:color w:val="auto"/>
          <w:kern w:val="0"/>
          <w:lang w:val="en-US" w:eastAsia="zh-CN"/>
        </w:rPr>
        <w:t>4、严格落实环评中提出的大气污染防治措施，项目环境防护距离为200米，在此范围内不得新建居民、学校及医院等环境敏感目标。</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color w:val="auto"/>
          <w:kern w:val="0"/>
          <w:lang w:val="en-US" w:eastAsia="zh-CN"/>
        </w:rPr>
      </w:pPr>
      <w:r>
        <w:rPr>
          <w:rFonts w:hint="eastAsia" w:ascii="Times New Roman" w:hAnsi="Times New Roman"/>
          <w:color w:val="auto"/>
          <w:kern w:val="0"/>
          <w:lang w:val="en-US" w:eastAsia="zh-CN"/>
        </w:rPr>
        <w:t>5、强化环境风险防范和应急措施，制定环境风险应急预案并定期开展应急演练工作。加强环境管理及监测。建立健全企业内部环境管理机制，制定完善的环保规章制度和企业环境管理体系；严格按照环境监测计划开展监测。</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color w:val="auto"/>
          <w:kern w:val="0"/>
          <w:lang w:val="en-US" w:eastAsia="zh-CN"/>
        </w:rPr>
      </w:pPr>
      <w:r>
        <w:rPr>
          <w:rFonts w:hint="eastAsia" w:ascii="Times New Roman" w:hAnsi="Times New Roman"/>
          <w:color w:val="auto"/>
          <w:kern w:val="0"/>
          <w:lang w:val="en-US" w:eastAsia="zh-CN"/>
        </w:rPr>
        <w:t>6、项目建设及运行过程中，应建立通畅的公众参与平台，满足公众合理的环境保护要求，高度重视并及时回应项目建设与运行可能引起的社会关注，及时采取措施解决公众关注的问题并消除影响。</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color w:val="auto"/>
          <w:kern w:val="0"/>
          <w:szCs w:val="24"/>
          <w:lang w:val="zh-CN"/>
        </w:rPr>
      </w:pPr>
      <w:r>
        <w:rPr>
          <w:rFonts w:hint="eastAsia" w:ascii="Times New Roman" w:hAnsi="Times New Roman"/>
          <w:color w:val="auto"/>
          <w:kern w:val="0"/>
          <w:szCs w:val="24"/>
          <w:lang w:val="zh-CN"/>
        </w:rPr>
        <w:t>四、项目涉及需其他行政部门行政许可的，应同时严格遵守其他行政部门审查审批意见。</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color w:val="auto"/>
          <w:kern w:val="0"/>
          <w:szCs w:val="24"/>
          <w:lang w:val="en-US" w:eastAsia="zh-CN"/>
        </w:rPr>
      </w:pPr>
      <w:r>
        <w:rPr>
          <w:rFonts w:hint="eastAsia" w:ascii="Times New Roman" w:hAnsi="Times New Roman"/>
          <w:color w:val="auto"/>
          <w:kern w:val="0"/>
          <w:szCs w:val="24"/>
          <w:lang w:val="zh-CN"/>
        </w:rPr>
        <w:t>五、建设项目的环评文件经批准后，建设项目的性质、规模、地点、采用的生产工艺或者防治污染、防止生态破坏的措施发生重大变动的，建设单位应当重新报批建设项目的环境影响评价文件。自环评文件批准之日起满</w:t>
      </w:r>
      <w:r>
        <w:rPr>
          <w:rFonts w:hint="eastAsia" w:ascii="Times New Roman" w:hAnsi="Times New Roman"/>
          <w:color w:val="auto"/>
          <w:kern w:val="0"/>
          <w:szCs w:val="24"/>
          <w:lang w:val="en-US" w:eastAsia="zh-CN"/>
        </w:rPr>
        <w:t>5年后方决定开工建设，环评文件应当报我局重新审核。</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color w:val="auto"/>
          <w:kern w:val="0"/>
          <w:szCs w:val="24"/>
          <w:lang w:val="en-US" w:eastAsia="zh-CN"/>
        </w:rPr>
      </w:pPr>
      <w:r>
        <w:rPr>
          <w:rFonts w:hint="eastAsia" w:ascii="Times New Roman" w:hAnsi="Times New Roman"/>
          <w:color w:val="auto"/>
          <w:kern w:val="0"/>
          <w:szCs w:val="24"/>
          <w:lang w:val="en-US" w:eastAsia="zh-CN"/>
        </w:rPr>
        <w:t>六、工程竣工后，你公司须按照规定的程序进行竣工环保验收，经验收合格后方可正式投入运行。</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cs="Times New Roman"/>
          <w:color w:val="auto"/>
          <w:kern w:val="0"/>
          <w:sz w:val="24"/>
          <w:szCs w:val="24"/>
          <w:lang w:val="zh-CN"/>
        </w:rPr>
      </w:pPr>
      <w:r>
        <w:rPr>
          <w:rFonts w:hint="eastAsia" w:ascii="Times New Roman" w:hAnsi="Times New Roman"/>
          <w:color w:val="auto"/>
          <w:kern w:val="0"/>
          <w:szCs w:val="24"/>
          <w:lang w:val="en-US" w:eastAsia="zh-CN"/>
        </w:rPr>
        <w:t>七、按照《建设项目环境保护事中事后监督管理办法（试行）》的要求，灵璧县环境监察大队负责此建设项目建设过程及建成后的现场执法监督管理工作，并将监管过程中出现的重大情况及时上报我局。</w:t>
      </w:r>
    </w:p>
    <w:bookmarkEnd w:id="76"/>
    <w:p>
      <w:pPr>
        <w:pStyle w:val="5"/>
        <w:spacing w:before="156" w:after="156"/>
        <w:jc w:val="center"/>
        <w:rPr>
          <w:rFonts w:ascii="Times New Roman" w:hAnsi="Times New Roman"/>
          <w:color w:val="auto"/>
        </w:rPr>
        <w:sectPr>
          <w:pgSz w:w="11906" w:h="16838"/>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bookmarkStart w:id="113" w:name="_Toc507454877"/>
    </w:p>
    <w:p>
      <w:pPr>
        <w:pStyle w:val="5"/>
        <w:spacing w:before="156" w:after="156"/>
        <w:jc w:val="center"/>
        <w:rPr>
          <w:rFonts w:ascii="Times New Roman" w:hAnsi="Times New Roman"/>
          <w:color w:val="auto"/>
        </w:rPr>
      </w:pPr>
      <w:bookmarkStart w:id="114" w:name="_Toc330"/>
      <w:r>
        <w:rPr>
          <w:rFonts w:hint="eastAsia" w:ascii="Times New Roman" w:hAnsi="Times New Roman"/>
          <w:color w:val="auto"/>
        </w:rPr>
        <w:t>六、验收执行标准</w:t>
      </w:r>
      <w:bookmarkEnd w:id="113"/>
      <w:bookmarkEnd w:id="114"/>
    </w:p>
    <w:p>
      <w:pPr>
        <w:pStyle w:val="104"/>
        <w:pageBreakBefore w:val="0"/>
        <w:widowControl w:val="0"/>
        <w:kinsoku/>
        <w:wordWrap/>
        <w:overflowPunct/>
        <w:topLinePunct w:val="0"/>
        <w:bidi w:val="0"/>
        <w:adjustRightInd/>
        <w:snapToGrid/>
        <w:spacing w:line="360" w:lineRule="auto"/>
        <w:ind w:left="0" w:leftChars="0" w:right="0" w:rightChars="0" w:firstLine="480"/>
        <w:textAlignment w:val="auto"/>
        <w:rPr>
          <w:rFonts w:ascii="Times New Roman" w:hAnsi="Times New Roman"/>
          <w:color w:val="auto"/>
        </w:rPr>
      </w:pPr>
      <w:bookmarkStart w:id="115" w:name="_Toc495589882"/>
      <w:bookmarkStart w:id="116" w:name="_Toc507454879"/>
      <w:r>
        <w:rPr>
          <w:rFonts w:hint="eastAsia" w:ascii="Times New Roman" w:hAnsi="Times New Roman"/>
          <w:color w:val="auto"/>
          <w:szCs w:val="24"/>
        </w:rPr>
        <w:t>根据</w:t>
      </w:r>
      <w:r>
        <w:rPr>
          <w:rFonts w:hint="eastAsia" w:ascii="Times New Roman" w:hAnsi="Times New Roman"/>
          <w:color w:val="auto"/>
          <w:szCs w:val="24"/>
          <w:lang w:eastAsia="zh-CN"/>
        </w:rPr>
        <w:t>宿州市灵璧县生态分局</w:t>
      </w:r>
      <w:r>
        <w:rPr>
          <w:rFonts w:hint="eastAsia" w:ascii="Times New Roman" w:hAnsi="Times New Roman"/>
          <w:color w:val="auto"/>
          <w:szCs w:val="24"/>
        </w:rPr>
        <w:t>“</w:t>
      </w:r>
      <w:r>
        <w:rPr>
          <w:rFonts w:hint="eastAsia" w:ascii="Times New Roman" w:hAnsi="Times New Roman"/>
          <w:color w:val="auto"/>
          <w:szCs w:val="24"/>
          <w:lang w:eastAsia="zh-CN"/>
        </w:rPr>
        <w:t>灵环建</w:t>
      </w:r>
      <w:r>
        <w:rPr>
          <w:rFonts w:hint="eastAsia" w:ascii="Times New Roman" w:hAnsi="Times New Roman"/>
          <w:color w:val="auto"/>
          <w:szCs w:val="24"/>
        </w:rPr>
        <w:t>[20</w:t>
      </w:r>
      <w:r>
        <w:rPr>
          <w:rFonts w:hint="eastAsia" w:ascii="Times New Roman" w:hAnsi="Times New Roman"/>
          <w:color w:val="auto"/>
          <w:szCs w:val="24"/>
          <w:lang w:val="en-US" w:eastAsia="zh-CN"/>
        </w:rPr>
        <w:t>20</w:t>
      </w:r>
      <w:r>
        <w:rPr>
          <w:rFonts w:hint="eastAsia" w:ascii="Times New Roman" w:hAnsi="Times New Roman"/>
          <w:color w:val="auto"/>
          <w:szCs w:val="24"/>
        </w:rPr>
        <w:t>]</w:t>
      </w:r>
      <w:r>
        <w:rPr>
          <w:rFonts w:hint="eastAsia" w:ascii="Times New Roman" w:hAnsi="Times New Roman"/>
          <w:color w:val="auto"/>
          <w:szCs w:val="24"/>
          <w:lang w:val="en-US" w:eastAsia="zh-CN"/>
        </w:rPr>
        <w:t>36</w:t>
      </w:r>
      <w:r>
        <w:rPr>
          <w:rFonts w:hint="eastAsia" w:ascii="Times New Roman" w:hAnsi="Times New Roman"/>
          <w:color w:val="auto"/>
          <w:szCs w:val="24"/>
        </w:rPr>
        <w:t>号”文《</w:t>
      </w:r>
      <w:r>
        <w:rPr>
          <w:rFonts w:ascii="Times New Roman" w:hAnsi="Times New Roman"/>
          <w:color w:val="auto"/>
          <w:szCs w:val="24"/>
        </w:rPr>
        <w:t>关于</w:t>
      </w:r>
      <w:r>
        <w:rPr>
          <w:rFonts w:hint="eastAsia" w:ascii="Times New Roman" w:hAnsi="Times New Roman"/>
          <w:color w:val="auto"/>
          <w:lang w:eastAsia="zh-CN"/>
        </w:rPr>
        <w:t>灵璧县一般工业固废填埋处置工程</w:t>
      </w:r>
      <w:r>
        <w:rPr>
          <w:rFonts w:hint="eastAsia" w:ascii="Times New Roman" w:hAnsi="Times New Roman"/>
          <w:color w:val="auto"/>
        </w:rPr>
        <w:t>环境影响报告书审批意见</w:t>
      </w:r>
      <w:r>
        <w:rPr>
          <w:rFonts w:hint="eastAsia" w:ascii="Times New Roman" w:hAnsi="Times New Roman"/>
          <w:color w:val="auto"/>
          <w:lang w:eastAsia="zh-CN"/>
        </w:rPr>
        <w:t>的函</w:t>
      </w:r>
      <w:r>
        <w:rPr>
          <w:rFonts w:hint="eastAsia" w:ascii="Times New Roman" w:hAnsi="Times New Roman"/>
          <w:color w:val="auto"/>
          <w:szCs w:val="24"/>
        </w:rPr>
        <w:t>》（详见</w:t>
      </w:r>
      <w:r>
        <w:rPr>
          <w:rFonts w:ascii="Times New Roman" w:hAnsi="Times New Roman"/>
          <w:color w:val="auto"/>
          <w:szCs w:val="24"/>
        </w:rPr>
        <w:t>附</w:t>
      </w:r>
      <w:r>
        <w:rPr>
          <w:rFonts w:ascii="Times New Roman" w:hAnsi="Times New Roman"/>
          <w:color w:val="auto"/>
          <w:szCs w:val="24"/>
          <w:highlight w:val="none"/>
        </w:rPr>
        <w:t>件</w:t>
      </w:r>
      <w:r>
        <w:rPr>
          <w:rFonts w:hint="eastAsia" w:ascii="Times New Roman" w:hAnsi="Times New Roman"/>
          <w:color w:val="auto"/>
          <w:szCs w:val="24"/>
          <w:highlight w:val="none"/>
          <w:lang w:val="en-US" w:eastAsia="zh-CN"/>
        </w:rPr>
        <w:t>3</w:t>
      </w:r>
      <w:r>
        <w:rPr>
          <w:rFonts w:hint="eastAsia" w:ascii="Times New Roman" w:hAnsi="Times New Roman"/>
          <w:color w:val="auto"/>
          <w:szCs w:val="24"/>
          <w:highlight w:val="none"/>
        </w:rPr>
        <w:t>）</w:t>
      </w:r>
      <w:r>
        <w:rPr>
          <w:rFonts w:hint="eastAsia" w:ascii="Times New Roman" w:hAnsi="Times New Roman"/>
          <w:color w:val="auto"/>
          <w:szCs w:val="24"/>
        </w:rPr>
        <w:t>，确认本项目污染物排放执行标准如下</w:t>
      </w:r>
      <w:r>
        <w:rPr>
          <w:rFonts w:ascii="Times New Roman" w:hAnsi="Times New Roman"/>
          <w:color w:val="auto"/>
        </w:rPr>
        <w:t>：</w:t>
      </w:r>
    </w:p>
    <w:p>
      <w:pPr>
        <w:pStyle w:val="6"/>
        <w:pageBreakBefore w:val="0"/>
        <w:widowControl w:val="0"/>
        <w:kinsoku/>
        <w:wordWrap/>
        <w:overflowPunct/>
        <w:topLinePunct w:val="0"/>
        <w:bidi w:val="0"/>
        <w:adjustRightInd/>
        <w:snapToGrid/>
        <w:spacing w:before="0" w:after="0" w:line="360" w:lineRule="auto"/>
        <w:ind w:left="0" w:leftChars="0" w:right="0" w:rightChars="0"/>
        <w:textAlignment w:val="auto"/>
        <w:rPr>
          <w:rFonts w:ascii="Times New Roman" w:hAnsi="Times New Roman"/>
          <w:color w:val="auto"/>
        </w:rPr>
      </w:pPr>
      <w:bookmarkStart w:id="117" w:name="_Toc1805"/>
      <w:r>
        <w:rPr>
          <w:rFonts w:hint="eastAsia" w:ascii="Times New Roman" w:hAnsi="Times New Roman"/>
          <w:color w:val="auto"/>
        </w:rPr>
        <w:t>6.1地下水质量标准</w:t>
      </w:r>
      <w:bookmarkEnd w:id="117"/>
    </w:p>
    <w:p>
      <w:pPr>
        <w:pStyle w:val="104"/>
        <w:pageBreakBefore w:val="0"/>
        <w:widowControl w:val="0"/>
        <w:kinsoku/>
        <w:wordWrap/>
        <w:overflowPunct/>
        <w:topLinePunct w:val="0"/>
        <w:bidi w:val="0"/>
        <w:adjustRightInd/>
        <w:snapToGrid/>
        <w:spacing w:line="360" w:lineRule="auto"/>
        <w:ind w:left="0" w:leftChars="0" w:right="0" w:rightChars="0" w:firstLine="480"/>
        <w:textAlignment w:val="auto"/>
        <w:rPr>
          <w:rFonts w:ascii="Times New Roman" w:hAnsi="Times New Roman"/>
          <w:color w:val="auto"/>
          <w:szCs w:val="24"/>
        </w:rPr>
      </w:pPr>
      <w:r>
        <w:rPr>
          <w:rFonts w:hint="eastAsia" w:ascii="Times New Roman" w:hAnsi="Times New Roman"/>
          <w:color w:val="auto"/>
        </w:rPr>
        <w:t>本项目厂区内地下水执行</w:t>
      </w:r>
      <w:r>
        <w:rPr>
          <w:rFonts w:ascii="Times New Roman" w:hAnsi="Times New Roman"/>
          <w:color w:val="auto"/>
        </w:rPr>
        <w:t>《地下水质量标准》（GB/T14848-</w:t>
      </w:r>
      <w:r>
        <w:rPr>
          <w:rFonts w:hint="eastAsia" w:ascii="Times New Roman" w:hAnsi="Times New Roman"/>
          <w:color w:val="auto"/>
        </w:rPr>
        <w:t>2017</w:t>
      </w:r>
      <w:r>
        <w:rPr>
          <w:rFonts w:ascii="Times New Roman" w:hAnsi="Times New Roman"/>
          <w:color w:val="auto"/>
        </w:rPr>
        <w:t>）中Ⅲ类标准，</w:t>
      </w:r>
      <w:r>
        <w:rPr>
          <w:rFonts w:hint="eastAsia" w:ascii="Times New Roman" w:hAnsi="Times New Roman"/>
          <w:color w:val="auto"/>
          <w:szCs w:val="20"/>
        </w:rPr>
        <w:t>具体执行情况详见详见</w:t>
      </w:r>
      <w:r>
        <w:rPr>
          <w:rFonts w:ascii="Times New Roman" w:hAnsi="Times New Roman"/>
          <w:color w:val="auto"/>
          <w:szCs w:val="24"/>
        </w:rPr>
        <w:t>表6.</w:t>
      </w:r>
      <w:r>
        <w:rPr>
          <w:rFonts w:hint="eastAsia" w:ascii="Times New Roman" w:hAnsi="Times New Roman"/>
          <w:color w:val="auto"/>
          <w:szCs w:val="24"/>
          <w:lang w:val="en-US" w:eastAsia="zh-CN"/>
        </w:rPr>
        <w:t>1</w:t>
      </w:r>
      <w:r>
        <w:rPr>
          <w:rFonts w:ascii="Times New Roman" w:hAnsi="Times New Roman"/>
          <w:color w:val="auto"/>
          <w:szCs w:val="24"/>
        </w:rPr>
        <w:t>-1：</w:t>
      </w:r>
    </w:p>
    <w:p>
      <w:pPr>
        <w:pStyle w:val="104"/>
        <w:pageBreakBefore w:val="0"/>
        <w:widowControl w:val="0"/>
        <w:kinsoku/>
        <w:wordWrap/>
        <w:overflowPunct/>
        <w:topLinePunct w:val="0"/>
        <w:bidi w:val="0"/>
        <w:adjustRightInd/>
        <w:snapToGrid/>
        <w:spacing w:line="360" w:lineRule="auto"/>
        <w:ind w:left="0" w:leftChars="0" w:right="0" w:rightChars="0" w:firstLine="422"/>
        <w:jc w:val="center"/>
        <w:textAlignment w:val="auto"/>
        <w:rPr>
          <w:rFonts w:ascii="Times New Roman" w:hAnsi="Times New Roman" w:eastAsiaTheme="minorEastAsia"/>
          <w:b/>
          <w:color w:val="auto"/>
          <w:sz w:val="21"/>
          <w:szCs w:val="21"/>
        </w:rPr>
      </w:pPr>
      <w:r>
        <w:rPr>
          <w:rFonts w:hint="eastAsia" w:ascii="Times New Roman" w:hAnsi="Times New Roman" w:eastAsiaTheme="minorEastAsia"/>
          <w:b/>
          <w:color w:val="auto"/>
          <w:sz w:val="21"/>
          <w:szCs w:val="21"/>
        </w:rPr>
        <w:t>表6.</w:t>
      </w:r>
      <w:r>
        <w:rPr>
          <w:rFonts w:hint="eastAsia" w:ascii="Times New Roman" w:hAnsi="Times New Roman" w:eastAsiaTheme="minorEastAsia"/>
          <w:b/>
          <w:color w:val="auto"/>
          <w:sz w:val="21"/>
          <w:szCs w:val="21"/>
          <w:lang w:val="en-US" w:eastAsia="zh-CN"/>
        </w:rPr>
        <w:t>1</w:t>
      </w:r>
      <w:r>
        <w:rPr>
          <w:rFonts w:hint="eastAsia" w:ascii="Times New Roman" w:hAnsi="Times New Roman" w:eastAsiaTheme="minorEastAsia"/>
          <w:b/>
          <w:color w:val="auto"/>
          <w:sz w:val="21"/>
          <w:szCs w:val="21"/>
        </w:rPr>
        <w:t xml:space="preserve">-1 </w:t>
      </w:r>
      <w:r>
        <w:rPr>
          <w:rFonts w:hint="eastAsia" w:ascii="Times New Roman" w:hAnsi="Times New Roman" w:eastAsiaTheme="minorEastAsia"/>
          <w:b/>
          <w:color w:val="auto"/>
          <w:sz w:val="21"/>
          <w:szCs w:val="21"/>
          <w:lang w:val="en-US" w:eastAsia="zh-CN"/>
        </w:rPr>
        <w:t xml:space="preserve"> </w:t>
      </w:r>
      <w:r>
        <w:rPr>
          <w:rFonts w:hint="eastAsia" w:ascii="Times New Roman" w:hAnsi="Times New Roman" w:eastAsiaTheme="minorEastAsia"/>
          <w:b/>
          <w:color w:val="auto"/>
          <w:sz w:val="21"/>
          <w:szCs w:val="21"/>
        </w:rPr>
        <w:t>地下水质量标准</w:t>
      </w:r>
    </w:p>
    <w:tbl>
      <w:tblPr>
        <w:tblStyle w:val="29"/>
        <w:tblW w:w="4995" w:type="pct"/>
        <w:tblInd w:w="0"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108" w:type="dxa"/>
          <w:bottom w:w="0" w:type="dxa"/>
          <w:right w:w="108" w:type="dxa"/>
        </w:tblCellMar>
      </w:tblPr>
      <w:tblGrid>
        <w:gridCol w:w="841"/>
        <w:gridCol w:w="3172"/>
        <w:gridCol w:w="2860"/>
        <w:gridCol w:w="2518"/>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97" w:hRule="atLeast"/>
          <w:tblHeader/>
        </w:trPr>
        <w:tc>
          <w:tcPr>
            <w:tcW w:w="44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b/>
                <w:color w:val="auto"/>
                <w:szCs w:val="21"/>
              </w:rPr>
            </w:pPr>
            <w:r>
              <w:rPr>
                <w:rFonts w:ascii="Times New Roman" w:hAnsi="Times New Roman"/>
                <w:b/>
                <w:color w:val="auto"/>
                <w:szCs w:val="21"/>
              </w:rPr>
              <w:t>序号</w:t>
            </w:r>
          </w:p>
        </w:tc>
        <w:tc>
          <w:tcPr>
            <w:tcW w:w="168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b/>
                <w:color w:val="auto"/>
                <w:szCs w:val="21"/>
              </w:rPr>
            </w:pPr>
            <w:r>
              <w:rPr>
                <w:rFonts w:ascii="Times New Roman" w:hAnsi="Times New Roman"/>
                <w:b/>
                <w:color w:val="auto"/>
                <w:szCs w:val="21"/>
              </w:rPr>
              <w:t>项 目</w:t>
            </w:r>
          </w:p>
        </w:tc>
        <w:tc>
          <w:tcPr>
            <w:tcW w:w="1522"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b/>
                <w:color w:val="auto"/>
                <w:szCs w:val="21"/>
              </w:rPr>
            </w:pPr>
            <w:r>
              <w:rPr>
                <w:rFonts w:ascii="Times New Roman" w:hAnsi="Times New Roman"/>
                <w:b/>
                <w:color w:val="auto"/>
                <w:szCs w:val="21"/>
              </w:rPr>
              <w:t>标准值（mg/L）</w:t>
            </w:r>
          </w:p>
        </w:tc>
        <w:tc>
          <w:tcPr>
            <w:tcW w:w="134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b/>
                <w:color w:val="auto"/>
                <w:szCs w:val="21"/>
              </w:rPr>
            </w:pPr>
            <w:r>
              <w:rPr>
                <w:rFonts w:ascii="Times New Roman" w:hAnsi="Times New Roman"/>
                <w:b/>
                <w:color w:val="auto"/>
                <w:szCs w:val="21"/>
              </w:rPr>
              <w:t>标准来源</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trPr>
        <w:tc>
          <w:tcPr>
            <w:tcW w:w="44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r>
              <w:rPr>
                <w:rFonts w:ascii="Times New Roman" w:hAnsi="Times New Roman"/>
                <w:color w:val="auto"/>
                <w:szCs w:val="21"/>
              </w:rPr>
              <w:t>1</w:t>
            </w:r>
          </w:p>
        </w:tc>
        <w:tc>
          <w:tcPr>
            <w:tcW w:w="168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r>
              <w:rPr>
                <w:rFonts w:ascii="Times New Roman" w:hAnsi="Times New Roman"/>
                <w:color w:val="auto"/>
                <w:szCs w:val="21"/>
              </w:rPr>
              <w:t>pH</w:t>
            </w:r>
          </w:p>
        </w:tc>
        <w:tc>
          <w:tcPr>
            <w:tcW w:w="1522"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r>
              <w:rPr>
                <w:rFonts w:ascii="Times New Roman" w:hAnsi="Times New Roman"/>
                <w:color w:val="auto"/>
                <w:szCs w:val="21"/>
              </w:rPr>
              <w:t>6.5～8.5</w:t>
            </w:r>
          </w:p>
        </w:tc>
        <w:tc>
          <w:tcPr>
            <w:tcW w:w="134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r>
              <w:rPr>
                <w:rFonts w:ascii="Times New Roman" w:hAnsi="Times New Roman"/>
                <w:color w:val="auto"/>
                <w:szCs w:val="21"/>
              </w:rPr>
              <w:t>《地下水质量标准》（GB/T14848-</w:t>
            </w:r>
            <w:r>
              <w:rPr>
                <w:rFonts w:hint="eastAsia" w:ascii="Times New Roman" w:hAnsi="Times New Roman"/>
                <w:color w:val="auto"/>
                <w:szCs w:val="21"/>
              </w:rPr>
              <w:t>2017</w:t>
            </w:r>
            <w:r>
              <w:rPr>
                <w:rFonts w:ascii="Times New Roman" w:hAnsi="Times New Roman"/>
                <w:color w:val="auto"/>
                <w:szCs w:val="21"/>
              </w:rPr>
              <w:t>）中</w:t>
            </w:r>
            <w:r>
              <w:rPr>
                <w:rFonts w:hint="eastAsia" w:ascii="Times New Roman" w:hAnsi="Times New Roman" w:cs="宋体"/>
                <w:color w:val="auto"/>
                <w:szCs w:val="21"/>
              </w:rPr>
              <w:t>Ⅲ</w:t>
            </w:r>
            <w:r>
              <w:rPr>
                <w:rFonts w:ascii="Times New Roman" w:hAnsi="Times New Roman"/>
                <w:color w:val="auto"/>
                <w:szCs w:val="21"/>
              </w:rPr>
              <w:t>类标准</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trPr>
        <w:tc>
          <w:tcPr>
            <w:tcW w:w="44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Theme="minorEastAsia"/>
                <w:color w:val="auto"/>
                <w:szCs w:val="21"/>
                <w:lang w:eastAsia="zh-CN"/>
              </w:rPr>
            </w:pPr>
            <w:r>
              <w:rPr>
                <w:rFonts w:hint="eastAsia" w:ascii="Times New Roman" w:hAnsi="Times New Roman"/>
                <w:color w:val="auto"/>
                <w:szCs w:val="21"/>
                <w:lang w:val="en-US" w:eastAsia="zh-CN"/>
              </w:rPr>
              <w:t>2</w:t>
            </w:r>
          </w:p>
        </w:tc>
        <w:tc>
          <w:tcPr>
            <w:tcW w:w="168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r>
              <w:rPr>
                <w:rFonts w:hint="eastAsia" w:ascii="Times New Roman" w:hAnsi="Times New Roman"/>
                <w:color w:val="auto"/>
                <w:szCs w:val="21"/>
              </w:rPr>
              <w:t>耗氧量</w:t>
            </w:r>
          </w:p>
        </w:tc>
        <w:tc>
          <w:tcPr>
            <w:tcW w:w="1522"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r>
              <w:rPr>
                <w:rFonts w:ascii="Times New Roman" w:hAnsi="Times New Roman"/>
                <w:color w:val="auto"/>
                <w:szCs w:val="21"/>
              </w:rPr>
              <w:t>≤3.0</w:t>
            </w:r>
          </w:p>
        </w:tc>
        <w:tc>
          <w:tcPr>
            <w:tcW w:w="134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trPr>
        <w:tc>
          <w:tcPr>
            <w:tcW w:w="44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Theme="minorEastAsia"/>
                <w:color w:val="auto"/>
                <w:szCs w:val="21"/>
                <w:lang w:val="en-US" w:eastAsia="zh-CN"/>
              </w:rPr>
            </w:pPr>
            <w:r>
              <w:rPr>
                <w:rFonts w:hint="eastAsia" w:ascii="Times New Roman" w:hAnsi="Times New Roman"/>
                <w:color w:val="auto"/>
                <w:szCs w:val="21"/>
                <w:lang w:val="en-US" w:eastAsia="zh-CN"/>
              </w:rPr>
              <w:t>3</w:t>
            </w:r>
          </w:p>
        </w:tc>
        <w:tc>
          <w:tcPr>
            <w:tcW w:w="1688" w:type="pct"/>
            <w:vAlign w:val="center"/>
          </w:tcPr>
          <w:p>
            <w:pPr>
              <w:spacing w:line="240" w:lineRule="auto"/>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 w:val="21"/>
                <w:szCs w:val="21"/>
                <w:lang w:eastAsia="zh-CN"/>
              </w:rPr>
              <w:t>溶解性总固体</w:t>
            </w:r>
          </w:p>
        </w:tc>
        <w:tc>
          <w:tcPr>
            <w:tcW w:w="1522" w:type="pct"/>
            <w:vAlign w:val="center"/>
          </w:tcPr>
          <w:p>
            <w:pPr>
              <w:spacing w:line="240" w:lineRule="auto"/>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 w:val="21"/>
                <w:szCs w:val="21"/>
              </w:rPr>
              <w:t>≤</w:t>
            </w:r>
            <w:r>
              <w:rPr>
                <w:rFonts w:hint="eastAsia" w:ascii="Times New Roman" w:hAnsi="Times New Roman" w:eastAsia="宋体" w:cs="宋体"/>
                <w:color w:val="auto"/>
                <w:sz w:val="21"/>
                <w:szCs w:val="21"/>
                <w:lang w:val="en-US" w:eastAsia="zh-CN"/>
              </w:rPr>
              <w:t>1000</w:t>
            </w:r>
          </w:p>
        </w:tc>
        <w:tc>
          <w:tcPr>
            <w:tcW w:w="134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trPr>
        <w:tc>
          <w:tcPr>
            <w:tcW w:w="44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Theme="minorEastAsia"/>
                <w:color w:val="auto"/>
                <w:szCs w:val="21"/>
                <w:lang w:eastAsia="zh-CN"/>
              </w:rPr>
            </w:pPr>
            <w:r>
              <w:rPr>
                <w:rFonts w:hint="eastAsia" w:ascii="Times New Roman" w:hAnsi="Times New Roman"/>
                <w:color w:val="auto"/>
                <w:szCs w:val="21"/>
                <w:lang w:val="en-US" w:eastAsia="zh-CN"/>
              </w:rPr>
              <w:t>4</w:t>
            </w:r>
          </w:p>
        </w:tc>
        <w:tc>
          <w:tcPr>
            <w:tcW w:w="168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r>
              <w:rPr>
                <w:rFonts w:ascii="Times New Roman" w:hAnsi="Times New Roman"/>
                <w:color w:val="auto"/>
                <w:szCs w:val="21"/>
              </w:rPr>
              <w:t>氯化物</w:t>
            </w:r>
          </w:p>
        </w:tc>
        <w:tc>
          <w:tcPr>
            <w:tcW w:w="1522"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r>
              <w:rPr>
                <w:rFonts w:ascii="Times New Roman" w:hAnsi="Times New Roman"/>
                <w:color w:val="auto"/>
                <w:szCs w:val="21"/>
              </w:rPr>
              <w:t>≤250</w:t>
            </w:r>
          </w:p>
        </w:tc>
        <w:tc>
          <w:tcPr>
            <w:tcW w:w="134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trPr>
        <w:tc>
          <w:tcPr>
            <w:tcW w:w="44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Theme="minorEastAsia"/>
                <w:color w:val="auto"/>
                <w:szCs w:val="21"/>
                <w:lang w:eastAsia="zh-CN"/>
              </w:rPr>
            </w:pPr>
            <w:r>
              <w:rPr>
                <w:rFonts w:hint="eastAsia" w:ascii="Times New Roman" w:hAnsi="Times New Roman"/>
                <w:color w:val="auto"/>
                <w:szCs w:val="21"/>
                <w:lang w:val="en-US" w:eastAsia="zh-CN"/>
              </w:rPr>
              <w:t>5</w:t>
            </w:r>
          </w:p>
        </w:tc>
        <w:tc>
          <w:tcPr>
            <w:tcW w:w="168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r>
              <w:rPr>
                <w:rFonts w:ascii="Times New Roman" w:hAnsi="Times New Roman"/>
                <w:color w:val="auto"/>
                <w:szCs w:val="21"/>
              </w:rPr>
              <w:t>氟化物</w:t>
            </w:r>
          </w:p>
        </w:tc>
        <w:tc>
          <w:tcPr>
            <w:tcW w:w="1522"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r>
              <w:rPr>
                <w:rFonts w:ascii="Times New Roman" w:hAnsi="Times New Roman"/>
                <w:color w:val="auto"/>
                <w:szCs w:val="21"/>
              </w:rPr>
              <w:t>≤1.0</w:t>
            </w:r>
          </w:p>
        </w:tc>
        <w:tc>
          <w:tcPr>
            <w:tcW w:w="134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trPr>
        <w:tc>
          <w:tcPr>
            <w:tcW w:w="44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Theme="minorEastAsia"/>
                <w:color w:val="auto"/>
                <w:szCs w:val="21"/>
                <w:lang w:eastAsia="zh-CN"/>
              </w:rPr>
            </w:pPr>
            <w:r>
              <w:rPr>
                <w:rFonts w:hint="eastAsia" w:ascii="Times New Roman" w:hAnsi="Times New Roman"/>
                <w:color w:val="auto"/>
                <w:szCs w:val="21"/>
                <w:lang w:val="en-US" w:eastAsia="zh-CN"/>
              </w:rPr>
              <w:t>6</w:t>
            </w:r>
          </w:p>
        </w:tc>
        <w:tc>
          <w:tcPr>
            <w:tcW w:w="168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r>
              <w:rPr>
                <w:rFonts w:ascii="Times New Roman" w:hAnsi="Times New Roman"/>
                <w:color w:val="auto"/>
                <w:szCs w:val="21"/>
              </w:rPr>
              <w:t>总硬度</w:t>
            </w:r>
          </w:p>
        </w:tc>
        <w:tc>
          <w:tcPr>
            <w:tcW w:w="1522"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r>
              <w:rPr>
                <w:rFonts w:ascii="Times New Roman" w:hAnsi="Times New Roman"/>
                <w:color w:val="auto"/>
                <w:szCs w:val="21"/>
              </w:rPr>
              <w:t>≤450</w:t>
            </w:r>
          </w:p>
        </w:tc>
        <w:tc>
          <w:tcPr>
            <w:tcW w:w="134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trPr>
        <w:tc>
          <w:tcPr>
            <w:tcW w:w="44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Theme="minorEastAsia"/>
                <w:color w:val="auto"/>
                <w:szCs w:val="21"/>
                <w:lang w:eastAsia="zh-CN"/>
              </w:rPr>
            </w:pPr>
            <w:r>
              <w:rPr>
                <w:rFonts w:hint="eastAsia" w:ascii="Times New Roman" w:hAnsi="Times New Roman"/>
                <w:color w:val="auto"/>
                <w:szCs w:val="21"/>
                <w:lang w:val="en-US" w:eastAsia="zh-CN"/>
              </w:rPr>
              <w:t>7</w:t>
            </w:r>
          </w:p>
        </w:tc>
        <w:tc>
          <w:tcPr>
            <w:tcW w:w="168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r>
              <w:rPr>
                <w:rFonts w:ascii="Times New Roman" w:hAnsi="Times New Roman"/>
                <w:color w:val="auto"/>
                <w:szCs w:val="21"/>
              </w:rPr>
              <w:t>氨氮</w:t>
            </w:r>
          </w:p>
        </w:tc>
        <w:tc>
          <w:tcPr>
            <w:tcW w:w="1522"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r>
              <w:rPr>
                <w:rFonts w:ascii="Times New Roman" w:hAnsi="Times New Roman"/>
                <w:color w:val="auto"/>
                <w:szCs w:val="21"/>
              </w:rPr>
              <w:t>≤0.</w:t>
            </w:r>
            <w:r>
              <w:rPr>
                <w:rFonts w:hint="eastAsia" w:ascii="Times New Roman" w:hAnsi="Times New Roman"/>
                <w:color w:val="auto"/>
                <w:szCs w:val="21"/>
              </w:rPr>
              <w:t>5</w:t>
            </w:r>
          </w:p>
        </w:tc>
        <w:tc>
          <w:tcPr>
            <w:tcW w:w="134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trPr>
        <w:tc>
          <w:tcPr>
            <w:tcW w:w="44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Theme="minorEastAsia"/>
                <w:color w:val="auto"/>
                <w:szCs w:val="21"/>
                <w:lang w:eastAsia="zh-CN"/>
              </w:rPr>
            </w:pPr>
            <w:r>
              <w:rPr>
                <w:rFonts w:hint="eastAsia" w:ascii="Times New Roman" w:hAnsi="Times New Roman"/>
                <w:color w:val="auto"/>
                <w:szCs w:val="21"/>
                <w:lang w:val="en-US" w:eastAsia="zh-CN"/>
              </w:rPr>
              <w:t>8</w:t>
            </w:r>
          </w:p>
        </w:tc>
        <w:tc>
          <w:tcPr>
            <w:tcW w:w="168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r>
              <w:rPr>
                <w:rFonts w:hint="eastAsia" w:ascii="Times New Roman" w:hAnsi="Times New Roman"/>
                <w:color w:val="auto"/>
                <w:szCs w:val="21"/>
              </w:rPr>
              <w:t>硫酸盐</w:t>
            </w:r>
          </w:p>
        </w:tc>
        <w:tc>
          <w:tcPr>
            <w:tcW w:w="1522"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r>
              <w:rPr>
                <w:rFonts w:ascii="Times New Roman" w:hAnsi="Times New Roman"/>
                <w:color w:val="auto"/>
                <w:szCs w:val="21"/>
              </w:rPr>
              <w:t>≤250</w:t>
            </w:r>
          </w:p>
        </w:tc>
        <w:tc>
          <w:tcPr>
            <w:tcW w:w="134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trPr>
        <w:tc>
          <w:tcPr>
            <w:tcW w:w="44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Theme="minorEastAsia"/>
                <w:color w:val="auto"/>
                <w:szCs w:val="21"/>
                <w:lang w:val="en-US" w:eastAsia="zh-CN"/>
              </w:rPr>
            </w:pPr>
            <w:r>
              <w:rPr>
                <w:rFonts w:hint="eastAsia" w:ascii="Times New Roman" w:hAnsi="Times New Roman"/>
                <w:color w:val="auto"/>
                <w:szCs w:val="21"/>
                <w:lang w:val="en-US" w:eastAsia="zh-CN"/>
              </w:rPr>
              <w:t>9</w:t>
            </w:r>
          </w:p>
        </w:tc>
        <w:tc>
          <w:tcPr>
            <w:tcW w:w="168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r>
              <w:rPr>
                <w:rFonts w:hint="eastAsia" w:ascii="Times New Roman" w:hAnsi="Times New Roman"/>
                <w:color w:val="auto"/>
                <w:szCs w:val="21"/>
              </w:rPr>
              <w:t>硝酸盐</w:t>
            </w:r>
          </w:p>
        </w:tc>
        <w:tc>
          <w:tcPr>
            <w:tcW w:w="1522"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r>
              <w:rPr>
                <w:rFonts w:ascii="Times New Roman" w:hAnsi="Times New Roman"/>
                <w:color w:val="auto"/>
                <w:szCs w:val="21"/>
              </w:rPr>
              <w:t>≤20</w:t>
            </w:r>
          </w:p>
        </w:tc>
        <w:tc>
          <w:tcPr>
            <w:tcW w:w="134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trPr>
        <w:tc>
          <w:tcPr>
            <w:tcW w:w="44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Theme="minorEastAsia"/>
                <w:color w:val="auto"/>
                <w:szCs w:val="21"/>
                <w:lang w:eastAsia="zh-CN"/>
              </w:rPr>
            </w:pPr>
            <w:r>
              <w:rPr>
                <w:rFonts w:ascii="Times New Roman" w:hAnsi="Times New Roman"/>
                <w:color w:val="auto"/>
                <w:szCs w:val="21"/>
              </w:rPr>
              <w:t>1</w:t>
            </w:r>
            <w:r>
              <w:rPr>
                <w:rFonts w:hint="eastAsia" w:ascii="Times New Roman" w:hAnsi="Times New Roman"/>
                <w:color w:val="auto"/>
                <w:szCs w:val="21"/>
                <w:lang w:val="en-US" w:eastAsia="zh-CN"/>
              </w:rPr>
              <w:t>0</w:t>
            </w:r>
          </w:p>
        </w:tc>
        <w:tc>
          <w:tcPr>
            <w:tcW w:w="168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r>
              <w:rPr>
                <w:rFonts w:hint="eastAsia" w:ascii="Times New Roman" w:hAnsi="Times New Roman"/>
                <w:color w:val="auto"/>
                <w:szCs w:val="21"/>
              </w:rPr>
              <w:t>Pb</w:t>
            </w:r>
          </w:p>
        </w:tc>
        <w:tc>
          <w:tcPr>
            <w:tcW w:w="1522"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r>
              <w:rPr>
                <w:rFonts w:ascii="Times New Roman" w:hAnsi="Times New Roman"/>
                <w:color w:val="auto"/>
                <w:szCs w:val="21"/>
              </w:rPr>
              <w:t>≤</w:t>
            </w:r>
            <w:r>
              <w:rPr>
                <w:rFonts w:hint="eastAsia" w:ascii="Times New Roman" w:hAnsi="Times New Roman"/>
                <w:color w:val="auto"/>
                <w:szCs w:val="21"/>
              </w:rPr>
              <w:t>0.01</w:t>
            </w:r>
          </w:p>
        </w:tc>
        <w:tc>
          <w:tcPr>
            <w:tcW w:w="134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trPr>
        <w:tc>
          <w:tcPr>
            <w:tcW w:w="44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Theme="minorEastAsia"/>
                <w:color w:val="auto"/>
                <w:szCs w:val="21"/>
                <w:lang w:eastAsia="zh-CN"/>
              </w:rPr>
            </w:pPr>
            <w:r>
              <w:rPr>
                <w:rFonts w:ascii="Times New Roman" w:hAnsi="Times New Roman"/>
                <w:color w:val="auto"/>
                <w:szCs w:val="21"/>
              </w:rPr>
              <w:t>1</w:t>
            </w:r>
            <w:r>
              <w:rPr>
                <w:rFonts w:hint="eastAsia" w:ascii="Times New Roman" w:hAnsi="Times New Roman"/>
                <w:color w:val="auto"/>
                <w:szCs w:val="21"/>
                <w:lang w:val="en-US" w:eastAsia="zh-CN"/>
              </w:rPr>
              <w:t>1</w:t>
            </w:r>
          </w:p>
        </w:tc>
        <w:tc>
          <w:tcPr>
            <w:tcW w:w="168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r>
              <w:rPr>
                <w:rFonts w:ascii="Times New Roman" w:hAnsi="Times New Roman"/>
                <w:color w:val="auto"/>
                <w:szCs w:val="21"/>
              </w:rPr>
              <w:t>Cu</w:t>
            </w:r>
          </w:p>
        </w:tc>
        <w:tc>
          <w:tcPr>
            <w:tcW w:w="1522"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r>
              <w:rPr>
                <w:rFonts w:ascii="Times New Roman" w:hAnsi="Times New Roman"/>
                <w:color w:val="auto"/>
                <w:szCs w:val="21"/>
              </w:rPr>
              <w:t>≤1</w:t>
            </w:r>
            <w:r>
              <w:rPr>
                <w:rFonts w:hint="eastAsia" w:ascii="Times New Roman" w:hAnsi="Times New Roman"/>
                <w:color w:val="auto"/>
                <w:szCs w:val="21"/>
              </w:rPr>
              <w:t>.00</w:t>
            </w:r>
          </w:p>
        </w:tc>
        <w:tc>
          <w:tcPr>
            <w:tcW w:w="134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trPr>
        <w:tc>
          <w:tcPr>
            <w:tcW w:w="44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Theme="minorEastAsia"/>
                <w:color w:val="auto"/>
                <w:szCs w:val="21"/>
                <w:lang w:eastAsia="zh-CN"/>
              </w:rPr>
            </w:pPr>
            <w:r>
              <w:rPr>
                <w:rFonts w:ascii="Times New Roman" w:hAnsi="Times New Roman"/>
                <w:color w:val="auto"/>
                <w:szCs w:val="21"/>
              </w:rPr>
              <w:t>1</w:t>
            </w:r>
            <w:r>
              <w:rPr>
                <w:rFonts w:hint="eastAsia" w:ascii="Times New Roman" w:hAnsi="Times New Roman"/>
                <w:color w:val="auto"/>
                <w:szCs w:val="21"/>
                <w:lang w:val="en-US" w:eastAsia="zh-CN"/>
              </w:rPr>
              <w:t>2</w:t>
            </w:r>
          </w:p>
        </w:tc>
        <w:tc>
          <w:tcPr>
            <w:tcW w:w="168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r>
              <w:rPr>
                <w:rFonts w:ascii="Times New Roman" w:hAnsi="Times New Roman"/>
                <w:color w:val="auto"/>
                <w:szCs w:val="21"/>
              </w:rPr>
              <w:t>Cr</w:t>
            </w:r>
            <w:r>
              <w:rPr>
                <w:rFonts w:ascii="Times New Roman" w:hAnsi="Times New Roman"/>
                <w:color w:val="auto"/>
                <w:szCs w:val="21"/>
                <w:vertAlign w:val="superscript"/>
              </w:rPr>
              <w:t>6+</w:t>
            </w:r>
          </w:p>
        </w:tc>
        <w:tc>
          <w:tcPr>
            <w:tcW w:w="1522"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r>
              <w:rPr>
                <w:rFonts w:ascii="Times New Roman" w:hAnsi="Times New Roman"/>
                <w:color w:val="auto"/>
                <w:szCs w:val="21"/>
              </w:rPr>
              <w:t>≤0.05</w:t>
            </w:r>
          </w:p>
        </w:tc>
        <w:tc>
          <w:tcPr>
            <w:tcW w:w="134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trPr>
        <w:tc>
          <w:tcPr>
            <w:tcW w:w="44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Theme="minorEastAsia"/>
                <w:color w:val="auto"/>
                <w:szCs w:val="21"/>
                <w:lang w:eastAsia="zh-CN"/>
              </w:rPr>
            </w:pPr>
            <w:r>
              <w:rPr>
                <w:rFonts w:ascii="Times New Roman" w:hAnsi="Times New Roman"/>
                <w:color w:val="auto"/>
                <w:szCs w:val="21"/>
              </w:rPr>
              <w:t>1</w:t>
            </w:r>
            <w:r>
              <w:rPr>
                <w:rFonts w:hint="eastAsia" w:ascii="Times New Roman" w:hAnsi="Times New Roman"/>
                <w:color w:val="auto"/>
                <w:szCs w:val="21"/>
                <w:lang w:val="en-US" w:eastAsia="zh-CN"/>
              </w:rPr>
              <w:t>3</w:t>
            </w:r>
          </w:p>
        </w:tc>
        <w:tc>
          <w:tcPr>
            <w:tcW w:w="168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r>
              <w:rPr>
                <w:rFonts w:ascii="Times New Roman" w:hAnsi="Times New Roman"/>
                <w:color w:val="auto"/>
                <w:szCs w:val="21"/>
              </w:rPr>
              <w:t>Cd</w:t>
            </w:r>
          </w:p>
        </w:tc>
        <w:tc>
          <w:tcPr>
            <w:tcW w:w="1522"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r>
              <w:rPr>
                <w:rFonts w:ascii="Times New Roman" w:hAnsi="Times New Roman"/>
                <w:color w:val="auto"/>
                <w:szCs w:val="21"/>
              </w:rPr>
              <w:t>≤0.0</w:t>
            </w:r>
            <w:r>
              <w:rPr>
                <w:rFonts w:hint="eastAsia" w:ascii="Times New Roman" w:hAnsi="Times New Roman"/>
                <w:color w:val="auto"/>
                <w:szCs w:val="21"/>
              </w:rPr>
              <w:t>05</w:t>
            </w:r>
          </w:p>
        </w:tc>
        <w:tc>
          <w:tcPr>
            <w:tcW w:w="134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trPr>
        <w:tc>
          <w:tcPr>
            <w:tcW w:w="44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Theme="minorEastAsia"/>
                <w:color w:val="auto"/>
                <w:szCs w:val="21"/>
                <w:lang w:eastAsia="zh-CN"/>
              </w:rPr>
            </w:pPr>
            <w:r>
              <w:rPr>
                <w:rFonts w:ascii="Times New Roman" w:hAnsi="Times New Roman"/>
                <w:color w:val="auto"/>
                <w:szCs w:val="21"/>
              </w:rPr>
              <w:t>1</w:t>
            </w:r>
            <w:r>
              <w:rPr>
                <w:rFonts w:hint="eastAsia" w:ascii="Times New Roman" w:hAnsi="Times New Roman"/>
                <w:color w:val="auto"/>
                <w:szCs w:val="21"/>
                <w:lang w:val="en-US" w:eastAsia="zh-CN"/>
              </w:rPr>
              <w:t>4</w:t>
            </w:r>
          </w:p>
        </w:tc>
        <w:tc>
          <w:tcPr>
            <w:tcW w:w="168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r>
              <w:rPr>
                <w:rFonts w:ascii="Times New Roman" w:hAnsi="Times New Roman"/>
                <w:color w:val="auto"/>
                <w:szCs w:val="21"/>
              </w:rPr>
              <w:t>Fe</w:t>
            </w:r>
          </w:p>
        </w:tc>
        <w:tc>
          <w:tcPr>
            <w:tcW w:w="1522"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r>
              <w:rPr>
                <w:rFonts w:ascii="Times New Roman" w:hAnsi="Times New Roman"/>
                <w:color w:val="auto"/>
                <w:szCs w:val="21"/>
              </w:rPr>
              <w:t>≤0.3</w:t>
            </w:r>
          </w:p>
        </w:tc>
        <w:tc>
          <w:tcPr>
            <w:tcW w:w="134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trPr>
        <w:tc>
          <w:tcPr>
            <w:tcW w:w="44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Theme="minorEastAsia"/>
                <w:color w:val="auto"/>
                <w:szCs w:val="21"/>
                <w:lang w:eastAsia="zh-CN"/>
              </w:rPr>
            </w:pPr>
            <w:r>
              <w:rPr>
                <w:rFonts w:ascii="Times New Roman" w:hAnsi="Times New Roman"/>
                <w:color w:val="auto"/>
                <w:szCs w:val="21"/>
              </w:rPr>
              <w:t>1</w:t>
            </w:r>
            <w:r>
              <w:rPr>
                <w:rFonts w:hint="eastAsia" w:ascii="Times New Roman" w:hAnsi="Times New Roman"/>
                <w:color w:val="auto"/>
                <w:szCs w:val="21"/>
                <w:lang w:val="en-US" w:eastAsia="zh-CN"/>
              </w:rPr>
              <w:t>5</w:t>
            </w:r>
          </w:p>
        </w:tc>
        <w:tc>
          <w:tcPr>
            <w:tcW w:w="168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r>
              <w:rPr>
                <w:rFonts w:ascii="Times New Roman" w:hAnsi="Times New Roman"/>
                <w:color w:val="auto"/>
                <w:szCs w:val="21"/>
              </w:rPr>
              <w:t>As</w:t>
            </w:r>
          </w:p>
        </w:tc>
        <w:tc>
          <w:tcPr>
            <w:tcW w:w="1522"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r>
              <w:rPr>
                <w:rFonts w:ascii="Times New Roman" w:hAnsi="Times New Roman"/>
                <w:color w:val="auto"/>
                <w:szCs w:val="21"/>
              </w:rPr>
              <w:t>≤0.0</w:t>
            </w:r>
            <w:r>
              <w:rPr>
                <w:rFonts w:hint="eastAsia" w:ascii="Times New Roman" w:hAnsi="Times New Roman"/>
                <w:color w:val="auto"/>
                <w:szCs w:val="21"/>
              </w:rPr>
              <w:t>1</w:t>
            </w:r>
          </w:p>
        </w:tc>
        <w:tc>
          <w:tcPr>
            <w:tcW w:w="134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trPr>
        <w:tc>
          <w:tcPr>
            <w:tcW w:w="44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Theme="minorEastAsia"/>
                <w:color w:val="auto"/>
                <w:szCs w:val="21"/>
                <w:lang w:val="en-US" w:eastAsia="zh-CN"/>
              </w:rPr>
            </w:pPr>
            <w:r>
              <w:rPr>
                <w:rFonts w:hint="eastAsia" w:ascii="Times New Roman" w:hAnsi="Times New Roman"/>
                <w:color w:val="auto"/>
                <w:szCs w:val="21"/>
                <w:lang w:val="en-US" w:eastAsia="zh-CN"/>
              </w:rPr>
              <w:t>16</w:t>
            </w:r>
          </w:p>
        </w:tc>
        <w:tc>
          <w:tcPr>
            <w:tcW w:w="168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Theme="minorEastAsia"/>
                <w:color w:val="auto"/>
                <w:szCs w:val="21"/>
                <w:lang w:val="en-US" w:eastAsia="zh-CN"/>
              </w:rPr>
            </w:pPr>
            <w:r>
              <w:rPr>
                <w:rFonts w:hint="eastAsia" w:ascii="Times New Roman" w:hAnsi="Times New Roman"/>
                <w:color w:val="auto"/>
                <w:szCs w:val="21"/>
                <w:lang w:val="en-US" w:eastAsia="zh-CN"/>
              </w:rPr>
              <w:t>Zn</w:t>
            </w:r>
          </w:p>
        </w:tc>
        <w:tc>
          <w:tcPr>
            <w:tcW w:w="1522"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Theme="minorEastAsia"/>
                <w:color w:val="auto"/>
                <w:szCs w:val="21"/>
                <w:lang w:val="en-US" w:eastAsia="zh-CN"/>
              </w:rPr>
            </w:pPr>
            <w:r>
              <w:rPr>
                <w:rFonts w:ascii="Times New Roman" w:hAnsi="Times New Roman"/>
                <w:color w:val="auto"/>
                <w:szCs w:val="21"/>
              </w:rPr>
              <w:t>≤</w:t>
            </w:r>
            <w:r>
              <w:rPr>
                <w:rFonts w:hint="eastAsia" w:ascii="Times New Roman" w:hAnsi="Times New Roman"/>
                <w:color w:val="auto"/>
                <w:szCs w:val="21"/>
                <w:lang w:val="en-US" w:eastAsia="zh-CN"/>
              </w:rPr>
              <w:t>1.0</w:t>
            </w:r>
          </w:p>
        </w:tc>
        <w:tc>
          <w:tcPr>
            <w:tcW w:w="134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olor w:val="auto"/>
                <w:szCs w:val="21"/>
              </w:rPr>
            </w:pPr>
          </w:p>
        </w:tc>
      </w:tr>
    </w:tbl>
    <w:p>
      <w:pPr>
        <w:pStyle w:val="6"/>
        <w:pageBreakBefore w:val="0"/>
        <w:widowControl w:val="0"/>
        <w:kinsoku/>
        <w:wordWrap/>
        <w:overflowPunct/>
        <w:topLinePunct w:val="0"/>
        <w:bidi w:val="0"/>
        <w:adjustRightInd/>
        <w:snapToGrid/>
        <w:spacing w:before="0" w:after="0" w:line="360" w:lineRule="auto"/>
        <w:ind w:left="0" w:leftChars="0" w:right="0" w:rightChars="0"/>
        <w:textAlignment w:val="auto"/>
        <w:rPr>
          <w:rFonts w:ascii="Times New Roman" w:hAnsi="Times New Roman"/>
          <w:color w:val="auto"/>
        </w:rPr>
      </w:pPr>
      <w:bookmarkStart w:id="118" w:name="_Toc17021"/>
      <w:r>
        <w:rPr>
          <w:rFonts w:hint="eastAsia" w:ascii="Times New Roman" w:hAnsi="Times New Roman"/>
          <w:color w:val="auto"/>
        </w:rPr>
        <w:t>6.2</w:t>
      </w:r>
      <w:r>
        <w:rPr>
          <w:rFonts w:ascii="Times New Roman" w:hAnsi="Times New Roman"/>
          <w:color w:val="auto"/>
        </w:rPr>
        <w:t>废气排放标准</w:t>
      </w:r>
      <w:bookmarkEnd w:id="115"/>
      <w:bookmarkEnd w:id="116"/>
      <w:bookmarkEnd w:id="118"/>
    </w:p>
    <w:p>
      <w:pPr>
        <w:spacing w:line="360" w:lineRule="auto"/>
        <w:ind w:firstLine="480" w:firstLineChars="200"/>
        <w:rPr>
          <w:rFonts w:hint="eastAsia" w:ascii="Times New Roman" w:hAnsi="Times New Roman" w:eastAsia="宋体" w:cs="宋体"/>
          <w:color w:val="auto"/>
          <w:sz w:val="24"/>
          <w:szCs w:val="24"/>
          <w:lang w:eastAsia="zh-CN"/>
        </w:rPr>
      </w:pPr>
      <w:bookmarkStart w:id="119" w:name="_Toc495589883"/>
      <w:bookmarkStart w:id="120" w:name="_Toc507454880"/>
      <w:r>
        <w:rPr>
          <w:rFonts w:hint="eastAsia" w:ascii="Times New Roman" w:hAnsi="Times New Roman" w:eastAsia="宋体" w:cs="宋体"/>
          <w:color w:val="auto"/>
          <w:kern w:val="2"/>
          <w:sz w:val="24"/>
          <w:szCs w:val="24"/>
          <w:lang w:eastAsia="zh-CN"/>
        </w:rPr>
        <w:t>本项目无组织颗粒物排放执行</w:t>
      </w:r>
      <w:r>
        <w:rPr>
          <w:rFonts w:hint="eastAsia" w:ascii="Times New Roman" w:hAnsi="Times New Roman" w:eastAsia="宋体" w:cs="宋体"/>
          <w:color w:val="auto"/>
          <w:sz w:val="24"/>
          <w:szCs w:val="24"/>
        </w:rPr>
        <w:t>《大气污染物综合排放标准》（GB16297-1996）表2中</w:t>
      </w:r>
      <w:r>
        <w:rPr>
          <w:rFonts w:hint="eastAsia" w:ascii="Times New Roman" w:hAnsi="Times New Roman" w:eastAsia="宋体" w:cs="宋体"/>
          <w:color w:val="auto"/>
          <w:sz w:val="24"/>
          <w:szCs w:val="24"/>
          <w:lang w:eastAsia="zh-CN"/>
        </w:rPr>
        <w:t>无组织排放监控浓度限值标准。</w:t>
      </w:r>
    </w:p>
    <w:p>
      <w:pPr>
        <w:keepNext w:val="0"/>
        <w:keepLines w:val="0"/>
        <w:pageBreakBefore w:val="0"/>
        <w:widowControl w:val="0"/>
        <w:kinsoku/>
        <w:wordWrap/>
        <w:overflowPunct/>
        <w:topLinePunct w:val="0"/>
        <w:autoSpaceDE/>
        <w:autoSpaceDN/>
        <w:bidi w:val="0"/>
        <w:adjustRightInd/>
        <w:snapToGrid/>
        <w:spacing w:line="360" w:lineRule="auto"/>
        <w:ind w:firstLine="0"/>
        <w:jc w:val="center"/>
        <w:textAlignment w:val="auto"/>
        <w:rPr>
          <w:rFonts w:hint="eastAsia" w:ascii="Times New Roman" w:hAnsi="Times New Roman" w:eastAsia="宋体" w:cs="宋体"/>
          <w:b/>
          <w:bCs/>
          <w:color w:val="auto"/>
          <w:spacing w:val="4"/>
          <w:sz w:val="21"/>
          <w:szCs w:val="21"/>
          <w:vertAlign w:val="superscript"/>
          <w:lang w:eastAsia="zh-CN"/>
        </w:rPr>
      </w:pPr>
      <w:r>
        <w:rPr>
          <w:rFonts w:hint="eastAsia" w:ascii="Times New Roman" w:hAnsi="Times New Roman" w:eastAsia="宋体" w:cs="宋体"/>
          <w:b/>
          <w:bCs/>
          <w:color w:val="auto"/>
          <w:sz w:val="21"/>
          <w:szCs w:val="21"/>
        </w:rPr>
        <w:t>表</w:t>
      </w:r>
      <w:r>
        <w:rPr>
          <w:rFonts w:hint="eastAsia" w:ascii="Times New Roman" w:hAnsi="Times New Roman" w:eastAsia="宋体" w:cs="宋体"/>
          <w:b/>
          <w:bCs/>
          <w:color w:val="auto"/>
          <w:sz w:val="21"/>
          <w:szCs w:val="21"/>
          <w:lang w:val="en-US" w:eastAsia="zh-CN"/>
        </w:rPr>
        <w:t xml:space="preserve">6.2-1  </w:t>
      </w:r>
      <w:r>
        <w:rPr>
          <w:rFonts w:hint="eastAsia" w:ascii="Times New Roman" w:hAnsi="Times New Roman" w:eastAsia="宋体" w:cs="宋体"/>
          <w:b/>
          <w:bCs/>
          <w:color w:val="auto"/>
          <w:sz w:val="21"/>
          <w:szCs w:val="21"/>
          <w:lang w:eastAsia="zh-CN"/>
        </w:rPr>
        <w:t>污染物排放标准</w:t>
      </w:r>
    </w:p>
    <w:tbl>
      <w:tblPr>
        <w:tblStyle w:val="29"/>
        <w:tblW w:w="4995"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3209"/>
        <w:gridCol w:w="3053"/>
        <w:gridCol w:w="312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08" w:type="pct"/>
            <w:tcBorders>
              <w:tl2br w:val="nil"/>
              <w:tr2bl w:val="nil"/>
            </w:tcBorders>
            <w:noWrap w:val="0"/>
            <w:vAlign w:val="center"/>
          </w:tcPr>
          <w:p>
            <w:pPr>
              <w:spacing w:line="240" w:lineRule="auto"/>
              <w:jc w:val="center"/>
              <w:rPr>
                <w:rFonts w:hint="eastAsia" w:ascii="Times New Roman" w:hAnsi="Times New Roman" w:eastAsia="宋体" w:cs="宋体"/>
                <w:b/>
                <w:bCs/>
                <w:color w:val="auto"/>
                <w:spacing w:val="4"/>
                <w:sz w:val="21"/>
                <w:szCs w:val="21"/>
              </w:rPr>
            </w:pPr>
            <w:r>
              <w:rPr>
                <w:rFonts w:hint="eastAsia" w:ascii="Times New Roman" w:hAnsi="Times New Roman" w:eastAsia="宋体" w:cs="宋体"/>
                <w:b/>
                <w:bCs/>
                <w:color w:val="auto"/>
                <w:spacing w:val="4"/>
                <w:sz w:val="21"/>
                <w:szCs w:val="21"/>
              </w:rPr>
              <w:t>污染物项目</w:t>
            </w:r>
          </w:p>
        </w:tc>
        <w:tc>
          <w:tcPr>
            <w:tcW w:w="1625" w:type="pct"/>
            <w:tcBorders>
              <w:tl2br w:val="nil"/>
              <w:tr2bl w:val="nil"/>
            </w:tcBorders>
            <w:noWrap w:val="0"/>
            <w:vAlign w:val="center"/>
          </w:tcPr>
          <w:p>
            <w:pPr>
              <w:spacing w:line="240" w:lineRule="auto"/>
              <w:jc w:val="center"/>
              <w:rPr>
                <w:rFonts w:hint="eastAsia" w:ascii="Times New Roman" w:hAnsi="Times New Roman" w:eastAsia="宋体" w:cs="宋体"/>
                <w:b/>
                <w:bCs/>
                <w:color w:val="auto"/>
                <w:spacing w:val="4"/>
                <w:sz w:val="21"/>
                <w:szCs w:val="21"/>
              </w:rPr>
            </w:pPr>
            <w:r>
              <w:rPr>
                <w:rFonts w:hint="eastAsia" w:ascii="Times New Roman" w:hAnsi="Times New Roman" w:eastAsia="宋体" w:cs="宋体"/>
                <w:b/>
                <w:bCs/>
                <w:color w:val="auto"/>
                <w:sz w:val="21"/>
                <w:szCs w:val="21"/>
              </w:rPr>
              <w:t>厂界监控点浓度限值（mg/</w:t>
            </w:r>
            <w:r>
              <w:rPr>
                <w:rFonts w:hint="eastAsia" w:ascii="Times New Roman" w:hAnsi="Times New Roman" w:eastAsia="宋体" w:cs="宋体"/>
                <w:b/>
                <w:bCs/>
                <w:color w:val="auto"/>
                <w:sz w:val="21"/>
                <w:szCs w:val="21"/>
                <w:lang w:val="en-US" w:eastAsia="zh-CN"/>
              </w:rPr>
              <w:t>m</w:t>
            </w:r>
            <w:r>
              <w:rPr>
                <w:rFonts w:hint="eastAsia" w:ascii="Times New Roman" w:hAnsi="Times New Roman" w:eastAsia="宋体" w:cs="宋体"/>
                <w:b/>
                <w:bCs/>
                <w:color w:val="auto"/>
                <w:sz w:val="21"/>
                <w:szCs w:val="21"/>
                <w:vertAlign w:val="superscript"/>
                <w:lang w:val="en-US" w:eastAsia="zh-CN"/>
              </w:rPr>
              <w:t>3</w:t>
            </w:r>
            <w:r>
              <w:rPr>
                <w:rFonts w:hint="eastAsia" w:ascii="Times New Roman" w:hAnsi="Times New Roman" w:eastAsia="宋体" w:cs="宋体"/>
                <w:b/>
                <w:bCs/>
                <w:color w:val="auto"/>
                <w:sz w:val="21"/>
                <w:szCs w:val="21"/>
              </w:rPr>
              <w:t>）</w:t>
            </w:r>
          </w:p>
        </w:tc>
        <w:tc>
          <w:tcPr>
            <w:tcW w:w="1665" w:type="pct"/>
            <w:tcBorders>
              <w:tl2br w:val="nil"/>
              <w:tr2bl w:val="nil"/>
            </w:tcBorders>
            <w:noWrap w:val="0"/>
            <w:vAlign w:val="center"/>
          </w:tcPr>
          <w:p>
            <w:pPr>
              <w:spacing w:line="240" w:lineRule="auto"/>
              <w:jc w:val="center"/>
              <w:rPr>
                <w:rFonts w:hint="default" w:ascii="Times New Roman" w:hAnsi="Times New Roman" w:eastAsia="宋体" w:cs="宋体"/>
                <w:b/>
                <w:bCs/>
                <w:color w:val="auto"/>
                <w:sz w:val="21"/>
                <w:szCs w:val="21"/>
                <w:lang w:val="en-US" w:eastAsia="zh-CN"/>
              </w:rPr>
            </w:pPr>
            <w:r>
              <w:rPr>
                <w:rFonts w:hint="eastAsia" w:ascii="Times New Roman" w:hAnsi="Times New Roman" w:eastAsia="宋体" w:cs="宋体"/>
                <w:b/>
                <w:bCs/>
                <w:color w:val="auto"/>
                <w:sz w:val="21"/>
                <w:szCs w:val="21"/>
                <w:lang w:val="en-US" w:eastAsia="zh-CN"/>
              </w:rPr>
              <w:t>执行标准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08" w:type="pct"/>
            <w:tcBorders>
              <w:tl2br w:val="nil"/>
              <w:tr2bl w:val="nil"/>
            </w:tcBorders>
            <w:noWrap w:val="0"/>
            <w:vAlign w:val="center"/>
          </w:tcPr>
          <w:p>
            <w:pPr>
              <w:spacing w:line="240" w:lineRule="auto"/>
              <w:jc w:val="center"/>
              <w:rPr>
                <w:rFonts w:hint="eastAsia" w:ascii="Times New Roman" w:hAnsi="Times New Roman" w:eastAsia="宋体" w:cs="宋体"/>
                <w:color w:val="auto"/>
                <w:spacing w:val="4"/>
                <w:sz w:val="21"/>
                <w:szCs w:val="21"/>
                <w:lang w:eastAsia="zh-CN"/>
              </w:rPr>
            </w:pPr>
            <w:r>
              <w:rPr>
                <w:rFonts w:hint="eastAsia" w:ascii="Times New Roman" w:hAnsi="Times New Roman" w:eastAsia="宋体" w:cs="宋体"/>
                <w:color w:val="auto"/>
                <w:spacing w:val="4"/>
                <w:sz w:val="21"/>
                <w:szCs w:val="21"/>
                <w:lang w:eastAsia="zh-CN"/>
              </w:rPr>
              <w:t>颗粒物</w:t>
            </w:r>
          </w:p>
        </w:tc>
        <w:tc>
          <w:tcPr>
            <w:tcW w:w="1625" w:type="pct"/>
            <w:tcBorders>
              <w:tl2br w:val="nil"/>
              <w:tr2bl w:val="nil"/>
            </w:tcBorders>
            <w:noWrap w:val="0"/>
            <w:vAlign w:val="center"/>
          </w:tcPr>
          <w:p>
            <w:pPr>
              <w:spacing w:line="240" w:lineRule="auto"/>
              <w:jc w:val="center"/>
              <w:rPr>
                <w:rFonts w:hint="eastAsia" w:ascii="Times New Roman" w:hAnsi="Times New Roman" w:eastAsia="宋体" w:cs="宋体"/>
                <w:color w:val="auto"/>
                <w:spacing w:val="4"/>
                <w:sz w:val="21"/>
                <w:szCs w:val="21"/>
              </w:rPr>
            </w:pPr>
            <w:r>
              <w:rPr>
                <w:rFonts w:hint="eastAsia" w:ascii="Times New Roman" w:hAnsi="Times New Roman" w:eastAsia="宋体" w:cs="宋体"/>
                <w:color w:val="auto"/>
                <w:spacing w:val="4"/>
                <w:sz w:val="21"/>
                <w:szCs w:val="21"/>
                <w:lang w:val="en-US" w:eastAsia="zh-CN"/>
              </w:rPr>
              <w:t>1.0</w:t>
            </w:r>
          </w:p>
        </w:tc>
        <w:tc>
          <w:tcPr>
            <w:tcW w:w="1665" w:type="pct"/>
            <w:tcBorders>
              <w:tl2br w:val="nil"/>
              <w:tr2bl w:val="nil"/>
            </w:tcBorders>
            <w:noWrap w:val="0"/>
            <w:vAlign w:val="center"/>
          </w:tcPr>
          <w:p>
            <w:pPr>
              <w:spacing w:line="240" w:lineRule="auto"/>
              <w:jc w:val="center"/>
              <w:rPr>
                <w:rFonts w:hint="eastAsia" w:ascii="Times New Roman" w:hAnsi="Times New Roman" w:eastAsia="宋体" w:cs="宋体"/>
                <w:color w:val="auto"/>
                <w:spacing w:val="4"/>
                <w:sz w:val="21"/>
                <w:szCs w:val="21"/>
                <w:lang w:val="en-US" w:eastAsia="zh-CN"/>
              </w:rPr>
            </w:pPr>
            <w:r>
              <w:rPr>
                <w:rFonts w:hint="eastAsia" w:ascii="Times New Roman" w:hAnsi="Times New Roman" w:eastAsia="宋体" w:cs="宋体"/>
                <w:color w:val="auto"/>
                <w:spacing w:val="4"/>
                <w:sz w:val="21"/>
                <w:szCs w:val="21"/>
                <w:lang w:val="en-US" w:eastAsia="zh-CN"/>
              </w:rPr>
              <w:t>《大气污染物综合排放标准》（GB16297-1996）表2</w:t>
            </w:r>
          </w:p>
        </w:tc>
      </w:tr>
    </w:tbl>
    <w:p>
      <w:pPr>
        <w:pStyle w:val="6"/>
        <w:pageBreakBefore w:val="0"/>
        <w:widowControl w:val="0"/>
        <w:kinsoku/>
        <w:wordWrap/>
        <w:overflowPunct/>
        <w:topLinePunct w:val="0"/>
        <w:bidi w:val="0"/>
        <w:adjustRightInd/>
        <w:snapToGrid/>
        <w:spacing w:before="0" w:after="0" w:line="360" w:lineRule="auto"/>
        <w:ind w:left="0" w:leftChars="0" w:right="0" w:rightChars="0"/>
        <w:textAlignment w:val="auto"/>
        <w:rPr>
          <w:rFonts w:ascii="Times New Roman" w:hAnsi="Times New Roman"/>
          <w:color w:val="auto"/>
        </w:rPr>
      </w:pPr>
      <w:bookmarkStart w:id="121" w:name="_Toc11953"/>
      <w:r>
        <w:rPr>
          <w:rFonts w:ascii="Times New Roman" w:hAnsi="Times New Roman"/>
          <w:color w:val="auto"/>
        </w:rPr>
        <w:t>6</w:t>
      </w:r>
      <w:r>
        <w:rPr>
          <w:rFonts w:hint="eastAsia" w:ascii="Times New Roman" w:hAnsi="Times New Roman"/>
          <w:color w:val="auto"/>
        </w:rPr>
        <w:t>.3</w:t>
      </w:r>
      <w:r>
        <w:rPr>
          <w:rFonts w:ascii="Times New Roman" w:hAnsi="Times New Roman"/>
          <w:color w:val="auto"/>
        </w:rPr>
        <w:t>噪声</w:t>
      </w:r>
      <w:r>
        <w:rPr>
          <w:rFonts w:hint="eastAsia" w:ascii="Times New Roman" w:hAnsi="Times New Roman"/>
          <w:color w:val="auto"/>
        </w:rPr>
        <w:t>排放标准</w:t>
      </w:r>
      <w:bookmarkEnd w:id="119"/>
      <w:bookmarkEnd w:id="120"/>
      <w:bookmarkEnd w:id="121"/>
    </w:p>
    <w:p>
      <w:pPr>
        <w:pStyle w:val="104"/>
        <w:pageBreakBefore w:val="0"/>
        <w:widowControl w:val="0"/>
        <w:kinsoku/>
        <w:wordWrap/>
        <w:overflowPunct/>
        <w:topLinePunct w:val="0"/>
        <w:bidi w:val="0"/>
        <w:adjustRightInd/>
        <w:snapToGrid/>
        <w:spacing w:line="360" w:lineRule="auto"/>
        <w:ind w:left="0" w:leftChars="0" w:right="0" w:rightChars="0" w:firstLine="480"/>
        <w:textAlignment w:val="auto"/>
        <w:rPr>
          <w:rFonts w:ascii="Times New Roman" w:hAnsi="Times New Roman"/>
          <w:color w:val="auto"/>
          <w:szCs w:val="20"/>
        </w:rPr>
      </w:pPr>
      <w:r>
        <w:rPr>
          <w:rFonts w:hint="eastAsia" w:ascii="Times New Roman" w:hAnsi="Times New Roman"/>
          <w:color w:val="auto"/>
        </w:rPr>
        <w:t>本项目</w:t>
      </w:r>
      <w:r>
        <w:rPr>
          <w:rFonts w:ascii="Times New Roman" w:hAnsi="Times New Roman"/>
          <w:color w:val="auto"/>
        </w:rPr>
        <w:t>营运期厂界</w:t>
      </w:r>
      <w:r>
        <w:rPr>
          <w:rFonts w:hint="eastAsia" w:ascii="Times New Roman" w:hAnsi="Times New Roman"/>
          <w:color w:val="auto"/>
        </w:rPr>
        <w:t>昼夜间</w:t>
      </w:r>
      <w:r>
        <w:rPr>
          <w:rFonts w:ascii="Times New Roman" w:hAnsi="Times New Roman"/>
          <w:color w:val="auto"/>
        </w:rPr>
        <w:t>噪声排放执行《工业企业厂界环境噪声排放标准》</w:t>
      </w:r>
      <w:r>
        <w:rPr>
          <w:rFonts w:hint="eastAsia" w:ascii="Times New Roman" w:hAnsi="Times New Roman"/>
          <w:color w:val="auto"/>
        </w:rPr>
        <w:t>（</w:t>
      </w:r>
      <w:r>
        <w:rPr>
          <w:rFonts w:ascii="Times New Roman" w:hAnsi="Times New Roman"/>
          <w:color w:val="auto"/>
        </w:rPr>
        <w:t>GB12348-2008</w:t>
      </w:r>
      <w:r>
        <w:rPr>
          <w:rFonts w:hint="eastAsia" w:ascii="Times New Roman" w:hAnsi="Times New Roman"/>
          <w:color w:val="auto"/>
        </w:rPr>
        <w:t>）</w:t>
      </w:r>
      <w:r>
        <w:rPr>
          <w:rFonts w:ascii="Times New Roman" w:hAnsi="Times New Roman"/>
          <w:color w:val="auto"/>
        </w:rPr>
        <w:t>中</w:t>
      </w:r>
      <w:r>
        <w:rPr>
          <w:rFonts w:hint="eastAsia" w:ascii="Times New Roman" w:hAnsi="Times New Roman"/>
          <w:color w:val="auto"/>
          <w:lang w:val="en-US" w:eastAsia="zh-CN"/>
        </w:rPr>
        <w:t>2</w:t>
      </w:r>
      <w:r>
        <w:rPr>
          <w:rFonts w:ascii="Times New Roman" w:hAnsi="Times New Roman"/>
          <w:color w:val="auto"/>
        </w:rPr>
        <w:t>类排放标准，</w:t>
      </w:r>
      <w:r>
        <w:rPr>
          <w:rFonts w:hint="eastAsia" w:ascii="Times New Roman" w:hAnsi="Times New Roman"/>
          <w:color w:val="auto"/>
          <w:szCs w:val="20"/>
        </w:rPr>
        <w:t>详见表6.3-1：</w:t>
      </w:r>
    </w:p>
    <w:p>
      <w:pPr>
        <w:pageBreakBefore w:val="0"/>
        <w:widowControl w:val="0"/>
        <w:kinsoku/>
        <w:wordWrap/>
        <w:overflowPunct/>
        <w:topLinePunct w:val="0"/>
        <w:autoSpaceDE w:val="0"/>
        <w:autoSpaceDN w:val="0"/>
        <w:bidi w:val="0"/>
        <w:adjustRightInd/>
        <w:snapToGrid/>
        <w:spacing w:line="360" w:lineRule="auto"/>
        <w:ind w:left="0" w:leftChars="0" w:right="0" w:rightChars="0"/>
        <w:jc w:val="center"/>
        <w:textAlignment w:val="auto"/>
        <w:rPr>
          <w:rFonts w:ascii="Times New Roman" w:hAnsi="Times New Roman"/>
          <w:b/>
          <w:color w:val="auto"/>
          <w:szCs w:val="21"/>
        </w:rPr>
      </w:pPr>
      <w:r>
        <w:rPr>
          <w:rFonts w:ascii="Times New Roman" w:hAnsi="Times New Roman"/>
          <w:b/>
          <w:color w:val="auto"/>
          <w:szCs w:val="21"/>
        </w:rPr>
        <w:t>表6.</w:t>
      </w:r>
      <w:r>
        <w:rPr>
          <w:rFonts w:hint="eastAsia" w:ascii="Times New Roman" w:hAnsi="Times New Roman"/>
          <w:b/>
          <w:color w:val="auto"/>
          <w:szCs w:val="21"/>
        </w:rPr>
        <w:t>3-</w:t>
      </w:r>
      <w:r>
        <w:rPr>
          <w:rFonts w:ascii="Times New Roman" w:hAnsi="Times New Roman"/>
          <w:b/>
          <w:color w:val="auto"/>
          <w:szCs w:val="21"/>
        </w:rPr>
        <w:t>1 噪声排放标准限值</w:t>
      </w:r>
    </w:p>
    <w:tbl>
      <w:tblPr>
        <w:tblStyle w:val="29"/>
        <w:tblW w:w="4999"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3136"/>
        <w:gridCol w:w="2895"/>
        <w:gridCol w:w="3367"/>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668"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s="Times New Roman"/>
                <w:b/>
                <w:color w:val="auto"/>
                <w:szCs w:val="21"/>
              </w:rPr>
            </w:pPr>
            <w:r>
              <w:rPr>
                <w:rFonts w:ascii="Times New Roman" w:hAnsi="Times New Roman" w:cs="Times New Roman"/>
                <w:b/>
                <w:color w:val="auto"/>
                <w:szCs w:val="21"/>
              </w:rPr>
              <w:t>标准</w:t>
            </w:r>
          </w:p>
        </w:tc>
        <w:tc>
          <w:tcPr>
            <w:tcW w:w="3331"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s="Times New Roman"/>
                <w:b/>
                <w:color w:val="auto"/>
                <w:szCs w:val="21"/>
              </w:rPr>
            </w:pPr>
            <w:r>
              <w:rPr>
                <w:rFonts w:ascii="Times New Roman" w:hAnsi="Times New Roman" w:cs="Times New Roman"/>
                <w:b/>
                <w:color w:val="auto"/>
                <w:szCs w:val="21"/>
              </w:rPr>
              <w:t>标准值（dB（A））</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668"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s="Times New Roman"/>
                <w:b/>
                <w:color w:val="auto"/>
                <w:szCs w:val="21"/>
              </w:rPr>
            </w:pPr>
          </w:p>
        </w:tc>
        <w:tc>
          <w:tcPr>
            <w:tcW w:w="154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s="Times New Roman"/>
                <w:b/>
                <w:color w:val="auto"/>
                <w:szCs w:val="21"/>
              </w:rPr>
            </w:pPr>
            <w:r>
              <w:rPr>
                <w:rFonts w:ascii="Times New Roman" w:hAnsi="Times New Roman" w:cs="Times New Roman"/>
                <w:b/>
                <w:color w:val="auto"/>
                <w:szCs w:val="21"/>
              </w:rPr>
              <w:t>昼间</w:t>
            </w:r>
          </w:p>
        </w:tc>
        <w:tc>
          <w:tcPr>
            <w:tcW w:w="179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s="Times New Roman"/>
                <w:b/>
                <w:color w:val="auto"/>
                <w:szCs w:val="21"/>
              </w:rPr>
            </w:pPr>
            <w:r>
              <w:rPr>
                <w:rFonts w:ascii="Times New Roman" w:hAnsi="Times New Roman" w:cs="Times New Roman"/>
                <w:b/>
                <w:color w:val="auto"/>
                <w:szCs w:val="21"/>
              </w:rPr>
              <w:t>夜间</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66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cs="Times New Roman"/>
                <w:color w:val="auto"/>
                <w:szCs w:val="21"/>
              </w:rPr>
            </w:pPr>
            <w:r>
              <w:rPr>
                <w:rFonts w:ascii="Times New Roman" w:hAnsi="Times New Roman" w:cs="Times New Roman"/>
                <w:color w:val="auto"/>
              </w:rPr>
              <w:t>GB12348-2008</w:t>
            </w:r>
            <w:r>
              <w:rPr>
                <w:rFonts w:hint="eastAsia" w:ascii="Times New Roman" w:hAnsi="Times New Roman" w:cs="Times New Roman"/>
                <w:color w:val="auto"/>
              </w:rPr>
              <w:t>中</w:t>
            </w:r>
            <w:r>
              <w:rPr>
                <w:rFonts w:hint="eastAsia" w:ascii="Times New Roman" w:hAnsi="Times New Roman" w:cs="Times New Roman"/>
                <w:color w:val="auto"/>
                <w:szCs w:val="21"/>
                <w:lang w:val="en-US" w:eastAsia="zh-CN"/>
              </w:rPr>
              <w:t>2</w:t>
            </w:r>
            <w:r>
              <w:rPr>
                <w:rFonts w:ascii="Times New Roman" w:hAnsi="Times New Roman" w:cs="Times New Roman"/>
                <w:color w:val="auto"/>
                <w:szCs w:val="21"/>
              </w:rPr>
              <w:t>类区标准</w:t>
            </w:r>
          </w:p>
        </w:tc>
        <w:tc>
          <w:tcPr>
            <w:tcW w:w="154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cs="Times New Roman" w:eastAsiaTheme="minorEastAsia"/>
                <w:color w:val="auto"/>
                <w:szCs w:val="21"/>
                <w:lang w:eastAsia="zh-CN"/>
              </w:rPr>
            </w:pPr>
            <w:r>
              <w:rPr>
                <w:rFonts w:ascii="Times New Roman" w:hAnsi="Times New Roman" w:cs="Times New Roman"/>
                <w:color w:val="auto"/>
                <w:szCs w:val="21"/>
              </w:rPr>
              <w:t>6</w:t>
            </w:r>
            <w:r>
              <w:rPr>
                <w:rFonts w:hint="eastAsia" w:ascii="Times New Roman" w:hAnsi="Times New Roman" w:cs="Times New Roman"/>
                <w:color w:val="auto"/>
                <w:szCs w:val="21"/>
                <w:lang w:val="en-US" w:eastAsia="zh-CN"/>
              </w:rPr>
              <w:t>0</w:t>
            </w:r>
          </w:p>
        </w:tc>
        <w:tc>
          <w:tcPr>
            <w:tcW w:w="179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cs="Times New Roman" w:eastAsiaTheme="minorEastAsia"/>
                <w:color w:val="auto"/>
                <w:szCs w:val="21"/>
                <w:lang w:eastAsia="zh-CN"/>
              </w:rPr>
            </w:pPr>
            <w:r>
              <w:rPr>
                <w:rFonts w:ascii="Times New Roman" w:hAnsi="Times New Roman" w:cs="Times New Roman"/>
                <w:color w:val="auto"/>
                <w:szCs w:val="21"/>
              </w:rPr>
              <w:t>5</w:t>
            </w:r>
            <w:r>
              <w:rPr>
                <w:rFonts w:hint="eastAsia" w:ascii="Times New Roman" w:hAnsi="Times New Roman" w:cs="Times New Roman"/>
                <w:color w:val="auto"/>
                <w:szCs w:val="21"/>
                <w:lang w:val="en-US" w:eastAsia="zh-CN"/>
              </w:rPr>
              <w:t>0</w:t>
            </w:r>
          </w:p>
        </w:tc>
      </w:tr>
    </w:tbl>
    <w:p>
      <w:pPr>
        <w:pStyle w:val="6"/>
        <w:pageBreakBefore w:val="0"/>
        <w:widowControl w:val="0"/>
        <w:kinsoku/>
        <w:wordWrap/>
        <w:overflowPunct/>
        <w:topLinePunct w:val="0"/>
        <w:bidi w:val="0"/>
        <w:adjustRightInd/>
        <w:snapToGrid/>
        <w:spacing w:before="0" w:after="0" w:line="360" w:lineRule="auto"/>
        <w:ind w:left="0" w:leftChars="0" w:right="0" w:rightChars="0"/>
        <w:textAlignment w:val="auto"/>
        <w:rPr>
          <w:rFonts w:ascii="Times New Roman" w:hAnsi="Times New Roman"/>
          <w:color w:val="auto"/>
        </w:rPr>
      </w:pPr>
      <w:bookmarkStart w:id="122" w:name="_Toc16506"/>
      <w:bookmarkStart w:id="123" w:name="_Toc495589884"/>
      <w:bookmarkStart w:id="124" w:name="_Toc507454881"/>
      <w:r>
        <w:rPr>
          <w:rFonts w:ascii="Times New Roman" w:hAnsi="Times New Roman"/>
          <w:color w:val="auto"/>
        </w:rPr>
        <w:t>6</w:t>
      </w:r>
      <w:r>
        <w:rPr>
          <w:rFonts w:hint="eastAsia" w:ascii="Times New Roman" w:hAnsi="Times New Roman"/>
          <w:color w:val="auto"/>
        </w:rPr>
        <w:t>.4固废控制标准</w:t>
      </w:r>
      <w:bookmarkEnd w:id="122"/>
      <w:bookmarkEnd w:id="123"/>
      <w:bookmarkEnd w:id="124"/>
    </w:p>
    <w:p>
      <w:pPr>
        <w:pStyle w:val="104"/>
        <w:pageBreakBefore w:val="0"/>
        <w:widowControl w:val="0"/>
        <w:kinsoku/>
        <w:wordWrap/>
        <w:overflowPunct/>
        <w:topLinePunct w:val="0"/>
        <w:bidi w:val="0"/>
        <w:adjustRightInd/>
        <w:snapToGrid/>
        <w:spacing w:line="360" w:lineRule="auto"/>
        <w:ind w:left="0" w:leftChars="0" w:right="0" w:rightChars="0" w:firstLine="480"/>
        <w:textAlignment w:val="auto"/>
        <w:rPr>
          <w:rFonts w:ascii="Times New Roman" w:hAnsi="Times New Roman"/>
          <w:color w:val="auto"/>
        </w:rPr>
        <w:sectPr>
          <w:pgSz w:w="11906" w:h="16838"/>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r>
        <w:rPr>
          <w:rFonts w:ascii="Times New Roman" w:hAnsi="Times New Roman"/>
          <w:color w:val="auto"/>
        </w:rPr>
        <w:t>一般固体废物</w:t>
      </w:r>
      <w:r>
        <w:rPr>
          <w:rFonts w:hint="eastAsia" w:ascii="Times New Roman" w:hAnsi="Times New Roman"/>
          <w:color w:val="auto"/>
        </w:rPr>
        <w:t>贮存、处置</w:t>
      </w:r>
      <w:r>
        <w:rPr>
          <w:rFonts w:ascii="Times New Roman" w:hAnsi="Times New Roman"/>
          <w:color w:val="auto"/>
        </w:rPr>
        <w:t>执行《一般工业固体废物贮存、处置场污染控制标准》</w:t>
      </w:r>
      <w:r>
        <w:rPr>
          <w:rFonts w:hint="eastAsia" w:ascii="Times New Roman" w:hAnsi="Times New Roman"/>
          <w:color w:val="auto"/>
        </w:rPr>
        <w:t>（</w:t>
      </w:r>
      <w:r>
        <w:rPr>
          <w:rFonts w:ascii="Times New Roman" w:hAnsi="Times New Roman"/>
          <w:color w:val="auto"/>
        </w:rPr>
        <w:t> GB18599-2001</w:t>
      </w:r>
      <w:r>
        <w:rPr>
          <w:rFonts w:hint="eastAsia" w:ascii="Times New Roman" w:hAnsi="Times New Roman"/>
          <w:color w:val="auto"/>
        </w:rPr>
        <w:t>）</w:t>
      </w:r>
      <w:r>
        <w:rPr>
          <w:rFonts w:ascii="Times New Roman" w:hAnsi="Times New Roman"/>
          <w:color w:val="auto"/>
        </w:rPr>
        <w:t>及 2013 年修改清单中的规定。</w:t>
      </w:r>
    </w:p>
    <w:p>
      <w:pPr>
        <w:pStyle w:val="5"/>
        <w:pageBreakBefore w:val="0"/>
        <w:widowControl w:val="0"/>
        <w:kinsoku/>
        <w:wordWrap/>
        <w:overflowPunct/>
        <w:topLinePunct w:val="0"/>
        <w:autoSpaceDE/>
        <w:autoSpaceDN/>
        <w:bidi w:val="0"/>
        <w:adjustRightInd/>
        <w:snapToGrid/>
        <w:spacing w:beforeLines="0" w:afterLines="0" w:line="360" w:lineRule="auto"/>
        <w:jc w:val="center"/>
        <w:textAlignment w:val="auto"/>
        <w:rPr>
          <w:rFonts w:ascii="Times New Roman" w:hAnsi="Times New Roman"/>
          <w:color w:val="auto"/>
        </w:rPr>
      </w:pPr>
      <w:bookmarkStart w:id="125" w:name="_Toc12832"/>
      <w:bookmarkStart w:id="126" w:name="_Toc507454882"/>
      <w:r>
        <w:rPr>
          <w:rFonts w:hint="eastAsia" w:ascii="Times New Roman" w:hAnsi="Times New Roman"/>
          <w:color w:val="auto"/>
        </w:rPr>
        <w:t>七、验收监测内容</w:t>
      </w:r>
      <w:bookmarkEnd w:id="125"/>
      <w:bookmarkEnd w:id="126"/>
    </w:p>
    <w:p>
      <w:pPr>
        <w:pStyle w:val="6"/>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color w:val="auto"/>
        </w:rPr>
      </w:pPr>
      <w:bookmarkStart w:id="127" w:name="_Toc10650"/>
      <w:bookmarkStart w:id="128" w:name="_Toc507454883"/>
      <w:bookmarkStart w:id="129" w:name="_Toc495589887"/>
      <w:r>
        <w:rPr>
          <w:rFonts w:hint="eastAsia" w:ascii="Times New Roman" w:hAnsi="Times New Roman"/>
          <w:color w:val="auto"/>
        </w:rPr>
        <w:t>7</w:t>
      </w:r>
      <w:r>
        <w:rPr>
          <w:rFonts w:ascii="Times New Roman" w:hAnsi="Times New Roman"/>
          <w:color w:val="auto"/>
        </w:rPr>
        <w:t>.1</w:t>
      </w:r>
      <w:r>
        <w:rPr>
          <w:rFonts w:hint="eastAsia" w:ascii="Times New Roman" w:hAnsi="Times New Roman"/>
          <w:color w:val="auto"/>
        </w:rPr>
        <w:t>环境保护设施调试运行效果</w:t>
      </w:r>
      <w:bookmarkEnd w:id="127"/>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color w:val="auto"/>
          <w:szCs w:val="20"/>
        </w:rPr>
      </w:pPr>
      <w:r>
        <w:rPr>
          <w:rFonts w:hint="eastAsia" w:ascii="Times New Roman" w:hAnsi="Times New Roman"/>
          <w:color w:val="auto"/>
        </w:rPr>
        <w:t>通过对废气、噪声及其</w:t>
      </w:r>
      <w:r>
        <w:rPr>
          <w:rFonts w:ascii="Times New Roman" w:hAnsi="Times New Roman"/>
          <w:color w:val="auto"/>
        </w:rPr>
        <w:t>治理</w:t>
      </w:r>
      <w:r>
        <w:rPr>
          <w:rFonts w:hint="eastAsia" w:ascii="Times New Roman" w:hAnsi="Times New Roman"/>
          <w:color w:val="auto"/>
        </w:rPr>
        <w:t>设施处理效率的</w:t>
      </w:r>
      <w:r>
        <w:rPr>
          <w:rFonts w:ascii="Times New Roman" w:hAnsi="Times New Roman"/>
          <w:color w:val="auto"/>
        </w:rPr>
        <w:t>监测，</w:t>
      </w:r>
      <w:r>
        <w:rPr>
          <w:rFonts w:hint="eastAsia" w:ascii="Times New Roman" w:hAnsi="Times New Roman"/>
          <w:color w:val="auto"/>
        </w:rPr>
        <w:t>来说明</w:t>
      </w:r>
      <w:r>
        <w:rPr>
          <w:rFonts w:ascii="Times New Roman" w:hAnsi="Times New Roman"/>
          <w:color w:val="auto"/>
        </w:rPr>
        <w:t>环境保护</w:t>
      </w:r>
      <w:r>
        <w:rPr>
          <w:rFonts w:hint="eastAsia" w:ascii="Times New Roman" w:hAnsi="Times New Roman"/>
          <w:color w:val="auto"/>
        </w:rPr>
        <w:t>设施调试运行效果及污染物达标排放情况，具体监测内容如下：</w:t>
      </w:r>
    </w:p>
    <w:bookmarkEnd w:id="128"/>
    <w:bookmarkEnd w:id="129"/>
    <w:p>
      <w:pPr>
        <w:pStyle w:val="7"/>
        <w:pageBreakBefore w:val="0"/>
        <w:widowControl w:val="0"/>
        <w:kinsoku/>
        <w:wordWrap/>
        <w:overflowPunct/>
        <w:topLinePunct w:val="0"/>
        <w:autoSpaceDE/>
        <w:autoSpaceDN/>
        <w:bidi w:val="0"/>
        <w:adjustRightInd/>
        <w:snapToGrid/>
        <w:spacing w:line="360" w:lineRule="auto"/>
        <w:textAlignment w:val="auto"/>
        <w:rPr>
          <w:rFonts w:ascii="Times New Roman" w:hAnsi="Times New Roman"/>
          <w:color w:val="auto"/>
        </w:rPr>
      </w:pPr>
      <w:bookmarkStart w:id="130" w:name="_Toc48659637"/>
      <w:bookmarkStart w:id="131" w:name="_Toc53502016"/>
      <w:bookmarkStart w:id="132" w:name="_Toc22940"/>
      <w:r>
        <w:rPr>
          <w:rFonts w:ascii="Times New Roman" w:hAnsi="Times New Roman"/>
          <w:color w:val="auto"/>
        </w:rPr>
        <w:t>7.1.</w:t>
      </w:r>
      <w:r>
        <w:rPr>
          <w:rFonts w:hint="eastAsia" w:ascii="Times New Roman" w:hAnsi="Times New Roman"/>
          <w:color w:val="auto"/>
        </w:rPr>
        <w:t>1</w:t>
      </w:r>
      <w:bookmarkEnd w:id="130"/>
      <w:bookmarkEnd w:id="131"/>
      <w:bookmarkStart w:id="133" w:name="_Toc48659638"/>
      <w:bookmarkStart w:id="134" w:name="_Toc53502017"/>
      <w:r>
        <w:rPr>
          <w:rFonts w:ascii="Times New Roman" w:hAnsi="Times New Roman"/>
          <w:color w:val="auto"/>
        </w:rPr>
        <w:t>无组织废气监测</w:t>
      </w:r>
      <w:bookmarkEnd w:id="132"/>
      <w:bookmarkEnd w:id="133"/>
      <w:bookmarkEnd w:id="134"/>
    </w:p>
    <w:p>
      <w:pPr>
        <w:pStyle w:val="105"/>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color w:val="auto"/>
          <w:szCs w:val="44"/>
        </w:rPr>
      </w:pPr>
      <w:r>
        <w:rPr>
          <w:rFonts w:hint="eastAsia" w:ascii="Times New Roman" w:hAnsi="Times New Roman"/>
          <w:color w:val="auto"/>
        </w:rPr>
        <w:t>无组织废气</w:t>
      </w:r>
      <w:r>
        <w:rPr>
          <w:rFonts w:ascii="Times New Roman" w:hAnsi="Times New Roman"/>
          <w:color w:val="auto"/>
        </w:rPr>
        <w:t>监测点位、监测因子和频次，详见表7</w:t>
      </w:r>
      <w:r>
        <w:rPr>
          <w:rFonts w:hint="eastAsia" w:ascii="Times New Roman" w:hAnsi="Times New Roman"/>
          <w:color w:val="auto"/>
        </w:rPr>
        <w:t>.1</w:t>
      </w:r>
      <w:r>
        <w:rPr>
          <w:rFonts w:ascii="Times New Roman" w:hAnsi="Times New Roman"/>
          <w:color w:val="auto"/>
        </w:rPr>
        <w:t>-</w:t>
      </w:r>
      <w:r>
        <w:rPr>
          <w:rFonts w:hint="eastAsia" w:ascii="Times New Roman" w:hAnsi="Times New Roman"/>
          <w:color w:val="auto"/>
          <w:szCs w:val="44"/>
          <w:lang w:val="en-US" w:eastAsia="zh-CN"/>
        </w:rPr>
        <w:t>1</w:t>
      </w:r>
      <w:r>
        <w:rPr>
          <w:rFonts w:ascii="Times New Roman" w:hAnsi="Times New Roman"/>
          <w:color w:val="auto"/>
          <w:szCs w:val="44"/>
        </w:rPr>
        <w:t>。</w:t>
      </w:r>
    </w:p>
    <w:p>
      <w:pPr>
        <w:pageBreakBefore w:val="0"/>
        <w:widowControl w:val="0"/>
        <w:kinsoku/>
        <w:wordWrap/>
        <w:overflowPunct/>
        <w:topLinePunct w:val="0"/>
        <w:autoSpaceDE/>
        <w:autoSpaceDN/>
        <w:bidi w:val="0"/>
        <w:adjustRightInd/>
        <w:snapToGrid/>
        <w:spacing w:line="360" w:lineRule="auto"/>
        <w:jc w:val="center"/>
        <w:textAlignment w:val="auto"/>
        <w:rPr>
          <w:rFonts w:ascii="Times New Roman" w:hAnsi="Times New Roman"/>
          <w:b/>
          <w:color w:val="auto"/>
        </w:rPr>
      </w:pPr>
      <w:r>
        <w:rPr>
          <w:rFonts w:ascii="Times New Roman" w:hAnsi="Times New Roman"/>
          <w:b/>
          <w:color w:val="auto"/>
        </w:rPr>
        <w:t>表7.1-</w:t>
      </w:r>
      <w:r>
        <w:rPr>
          <w:rFonts w:hint="eastAsia" w:ascii="Times New Roman" w:hAnsi="Times New Roman"/>
          <w:b/>
          <w:color w:val="auto"/>
          <w:lang w:val="en-US" w:eastAsia="zh-CN"/>
        </w:rPr>
        <w:t>1</w:t>
      </w:r>
      <w:r>
        <w:rPr>
          <w:rFonts w:ascii="Times New Roman" w:hAnsi="Times New Roman"/>
          <w:b/>
          <w:color w:val="auto"/>
        </w:rPr>
        <w:t xml:space="preserve"> </w:t>
      </w:r>
      <w:r>
        <w:rPr>
          <w:rFonts w:hint="eastAsia" w:ascii="Times New Roman" w:hAnsi="Times New Roman"/>
          <w:b/>
          <w:color w:val="auto"/>
          <w:lang w:val="en-US" w:eastAsia="zh-CN"/>
        </w:rPr>
        <w:t xml:space="preserve"> </w:t>
      </w:r>
      <w:r>
        <w:rPr>
          <w:rFonts w:ascii="Times New Roman" w:hAnsi="Times New Roman"/>
          <w:b/>
          <w:color w:val="auto"/>
        </w:rPr>
        <w:t>无组织废气监测点位、项目、频次一览表</w:t>
      </w:r>
    </w:p>
    <w:tbl>
      <w:tblPr>
        <w:tblStyle w:val="29"/>
        <w:tblW w:w="4995"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57"/>
        <w:gridCol w:w="1152"/>
        <w:gridCol w:w="3091"/>
        <w:gridCol w:w="2614"/>
        <w:gridCol w:w="137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6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b/>
                <w:bCs/>
                <w:color w:val="auto"/>
                <w:sz w:val="21"/>
                <w:szCs w:val="21"/>
              </w:rPr>
            </w:pPr>
            <w:r>
              <w:rPr>
                <w:rFonts w:ascii="Times New Roman" w:hAnsi="Times New Roman"/>
                <w:b/>
                <w:bCs/>
                <w:color w:val="auto"/>
                <w:sz w:val="21"/>
                <w:szCs w:val="21"/>
              </w:rPr>
              <w:t>类别</w:t>
            </w:r>
          </w:p>
        </w:tc>
        <w:tc>
          <w:tcPr>
            <w:tcW w:w="61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b/>
                <w:bCs/>
                <w:color w:val="auto"/>
                <w:sz w:val="21"/>
                <w:szCs w:val="21"/>
                <w:lang w:eastAsia="zh-CN"/>
              </w:rPr>
            </w:pPr>
            <w:r>
              <w:rPr>
                <w:rFonts w:hint="eastAsia" w:ascii="Times New Roman" w:hAnsi="Times New Roman"/>
                <w:b/>
                <w:bCs/>
                <w:color w:val="auto"/>
                <w:sz w:val="21"/>
                <w:szCs w:val="21"/>
                <w:lang w:eastAsia="zh-CN"/>
              </w:rPr>
              <w:t>污染源</w:t>
            </w:r>
          </w:p>
        </w:tc>
        <w:tc>
          <w:tcPr>
            <w:tcW w:w="164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b/>
                <w:bCs/>
                <w:color w:val="auto"/>
                <w:sz w:val="21"/>
                <w:szCs w:val="21"/>
              </w:rPr>
            </w:pPr>
            <w:r>
              <w:rPr>
                <w:rFonts w:ascii="Times New Roman" w:hAnsi="Times New Roman"/>
                <w:b/>
                <w:bCs/>
                <w:color w:val="auto"/>
                <w:sz w:val="21"/>
                <w:szCs w:val="21"/>
              </w:rPr>
              <w:t>监测点位</w:t>
            </w:r>
          </w:p>
        </w:tc>
        <w:tc>
          <w:tcPr>
            <w:tcW w:w="13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86" w:firstLineChars="45"/>
              <w:jc w:val="center"/>
              <w:textAlignment w:val="auto"/>
              <w:rPr>
                <w:rFonts w:hint="eastAsia" w:ascii="Times New Roman" w:hAnsi="Times New Roman" w:eastAsiaTheme="minorEastAsia"/>
                <w:b/>
                <w:bCs/>
                <w:color w:val="auto"/>
                <w:sz w:val="21"/>
                <w:szCs w:val="21"/>
                <w:lang w:eastAsia="zh-CN"/>
              </w:rPr>
            </w:pPr>
            <w:r>
              <w:rPr>
                <w:rFonts w:hint="eastAsia" w:ascii="Times New Roman" w:hAnsi="Times New Roman"/>
                <w:b/>
                <w:bCs/>
                <w:color w:val="auto"/>
                <w:spacing w:val="-10"/>
                <w:sz w:val="21"/>
                <w:szCs w:val="21"/>
                <w:lang w:eastAsia="zh-CN"/>
              </w:rPr>
              <w:t>监测因子</w:t>
            </w:r>
          </w:p>
        </w:tc>
        <w:tc>
          <w:tcPr>
            <w:tcW w:w="7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95" w:firstLineChars="45"/>
              <w:jc w:val="center"/>
              <w:textAlignment w:val="auto"/>
              <w:rPr>
                <w:rFonts w:ascii="Times New Roman" w:hAnsi="Times New Roman"/>
                <w:b/>
                <w:bCs/>
                <w:color w:val="auto"/>
                <w:sz w:val="21"/>
                <w:szCs w:val="21"/>
              </w:rPr>
            </w:pPr>
            <w:r>
              <w:rPr>
                <w:rFonts w:ascii="Times New Roman" w:hAnsi="Times New Roman"/>
                <w:b/>
                <w:bCs/>
                <w:color w:val="auto"/>
                <w:sz w:val="21"/>
                <w:szCs w:val="21"/>
              </w:rPr>
              <w:t>监测频次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6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rPr>
            </w:pPr>
            <w:r>
              <w:rPr>
                <w:rFonts w:ascii="Times New Roman" w:hAnsi="Times New Roman"/>
                <w:color w:val="auto"/>
                <w:sz w:val="21"/>
                <w:szCs w:val="21"/>
              </w:rPr>
              <w:t>无组织废气</w:t>
            </w:r>
          </w:p>
        </w:tc>
        <w:tc>
          <w:tcPr>
            <w:tcW w:w="61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color w:val="auto"/>
                <w:sz w:val="21"/>
                <w:szCs w:val="21"/>
                <w:lang w:val="en-US" w:eastAsia="zh-CN"/>
              </w:rPr>
              <w:t>/</w:t>
            </w:r>
          </w:p>
        </w:tc>
        <w:tc>
          <w:tcPr>
            <w:tcW w:w="164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rPr>
            </w:pPr>
            <w:r>
              <w:rPr>
                <w:rFonts w:hint="eastAsia" w:ascii="Times New Roman" w:hAnsi="Times New Roman"/>
                <w:color w:val="auto"/>
                <w:sz w:val="21"/>
                <w:szCs w:val="21"/>
              </w:rPr>
              <w:t>上风向设1个点，下风向设置3个监控点</w:t>
            </w:r>
          </w:p>
        </w:tc>
        <w:tc>
          <w:tcPr>
            <w:tcW w:w="13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rPr>
            </w:pPr>
            <w:r>
              <w:rPr>
                <w:rFonts w:hint="eastAsia" w:ascii="Times New Roman" w:hAnsi="Times New Roman"/>
                <w:color w:val="auto"/>
                <w:sz w:val="21"/>
                <w:szCs w:val="21"/>
              </w:rPr>
              <w:t>颗粒物</w:t>
            </w:r>
            <w:r>
              <w:rPr>
                <w:rFonts w:hint="eastAsia" w:ascii="Times New Roman" w:hAnsi="Times New Roman"/>
                <w:color w:val="auto"/>
                <w:sz w:val="21"/>
                <w:szCs w:val="21"/>
                <w:lang w:eastAsia="zh-CN"/>
              </w:rPr>
              <w:t>，</w:t>
            </w:r>
            <w:r>
              <w:rPr>
                <w:rFonts w:ascii="Times New Roman" w:hAnsi="Times New Roman"/>
                <w:color w:val="auto"/>
                <w:sz w:val="21"/>
                <w:szCs w:val="21"/>
              </w:rPr>
              <w:t>同步气象因子（气温、气压、风向、风力）</w:t>
            </w:r>
          </w:p>
        </w:tc>
        <w:tc>
          <w:tcPr>
            <w:tcW w:w="7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rPr>
            </w:pPr>
            <w:r>
              <w:rPr>
                <w:rFonts w:ascii="Times New Roman" w:hAnsi="Times New Roman"/>
                <w:color w:val="auto"/>
                <w:sz w:val="21"/>
                <w:szCs w:val="21"/>
              </w:rPr>
              <w:t>4次/天</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rPr>
            </w:pPr>
            <w:r>
              <w:rPr>
                <w:rFonts w:ascii="Times New Roman" w:hAnsi="Times New Roman"/>
                <w:color w:val="auto"/>
                <w:sz w:val="21"/>
                <w:szCs w:val="21"/>
              </w:rPr>
              <w:t>2天</w:t>
            </w:r>
          </w:p>
        </w:tc>
      </w:tr>
    </w:tbl>
    <w:p>
      <w:pPr>
        <w:pStyle w:val="2"/>
        <w:pageBreakBefore w:val="0"/>
        <w:widowControl w:val="0"/>
        <w:kinsoku/>
        <w:wordWrap/>
        <w:overflowPunct/>
        <w:topLinePunct w:val="0"/>
        <w:autoSpaceDE/>
        <w:autoSpaceDN/>
        <w:bidi w:val="0"/>
        <w:adjustRightInd/>
        <w:snapToGrid/>
        <w:spacing w:after="0" w:line="360" w:lineRule="auto"/>
        <w:ind w:left="0" w:leftChars="0"/>
        <w:textAlignment w:val="auto"/>
        <w:rPr>
          <w:rFonts w:ascii="Times New Roman" w:hAnsi="Times New Roman"/>
          <w:color w:val="auto"/>
        </w:rPr>
      </w:pPr>
    </w:p>
    <w:p>
      <w:pPr>
        <w:pStyle w:val="7"/>
        <w:pageBreakBefore w:val="0"/>
        <w:widowControl w:val="0"/>
        <w:kinsoku/>
        <w:wordWrap/>
        <w:overflowPunct/>
        <w:topLinePunct w:val="0"/>
        <w:autoSpaceDE/>
        <w:autoSpaceDN/>
        <w:bidi w:val="0"/>
        <w:adjustRightInd/>
        <w:snapToGrid/>
        <w:spacing w:line="360" w:lineRule="auto"/>
        <w:ind w:left="0" w:leftChars="0"/>
        <w:textAlignment w:val="auto"/>
        <w:rPr>
          <w:rFonts w:ascii="Times New Roman" w:hAnsi="Times New Roman"/>
          <w:color w:val="auto"/>
        </w:rPr>
      </w:pPr>
      <w:bookmarkStart w:id="135" w:name="_Toc21306"/>
      <w:bookmarkStart w:id="136" w:name="_Toc507454884"/>
      <w:bookmarkStart w:id="137" w:name="_Toc48659639"/>
      <w:bookmarkStart w:id="138" w:name="_Toc53502018"/>
      <w:bookmarkStart w:id="139" w:name="_Toc495589888"/>
      <w:r>
        <w:rPr>
          <w:rFonts w:ascii="Times New Roman" w:hAnsi="Times New Roman"/>
          <w:color w:val="auto"/>
        </w:rPr>
        <w:t>7.1.</w:t>
      </w:r>
      <w:r>
        <w:rPr>
          <w:rFonts w:hint="eastAsia" w:ascii="Times New Roman" w:hAnsi="Times New Roman"/>
          <w:color w:val="auto"/>
          <w:lang w:val="en-US" w:eastAsia="zh-CN"/>
        </w:rPr>
        <w:t>2</w:t>
      </w:r>
      <w:r>
        <w:rPr>
          <w:rFonts w:ascii="Times New Roman" w:hAnsi="Times New Roman"/>
          <w:color w:val="auto"/>
        </w:rPr>
        <w:t>噪声监测</w:t>
      </w:r>
      <w:bookmarkEnd w:id="135"/>
      <w:bookmarkEnd w:id="136"/>
      <w:bookmarkEnd w:id="137"/>
      <w:bookmarkEnd w:id="138"/>
      <w:bookmarkEnd w:id="139"/>
    </w:p>
    <w:p>
      <w:pPr>
        <w:pStyle w:val="105"/>
        <w:pageBreakBefore w:val="0"/>
        <w:widowControl w:val="0"/>
        <w:kinsoku/>
        <w:wordWrap/>
        <w:overflowPunct/>
        <w:topLinePunct w:val="0"/>
        <w:autoSpaceDE/>
        <w:autoSpaceDN/>
        <w:bidi w:val="0"/>
        <w:adjustRightInd/>
        <w:snapToGrid/>
        <w:spacing w:line="360" w:lineRule="auto"/>
        <w:ind w:left="0" w:leftChars="0" w:firstLine="480"/>
        <w:textAlignment w:val="auto"/>
        <w:rPr>
          <w:rFonts w:ascii="Times New Roman" w:hAnsi="Times New Roman"/>
          <w:color w:val="auto"/>
        </w:rPr>
      </w:pPr>
      <w:r>
        <w:rPr>
          <w:rFonts w:ascii="Times New Roman" w:hAnsi="Times New Roman"/>
          <w:color w:val="auto"/>
        </w:rPr>
        <w:t>噪声监测的点位、项目、频次。详见表7</w:t>
      </w:r>
      <w:r>
        <w:rPr>
          <w:rFonts w:hint="eastAsia" w:ascii="Times New Roman" w:hAnsi="Times New Roman"/>
          <w:color w:val="auto"/>
        </w:rPr>
        <w:t>.1</w:t>
      </w:r>
      <w:r>
        <w:rPr>
          <w:rFonts w:ascii="Times New Roman" w:hAnsi="Times New Roman"/>
          <w:color w:val="auto"/>
        </w:rPr>
        <w:t>-</w:t>
      </w:r>
      <w:r>
        <w:rPr>
          <w:rFonts w:hint="eastAsia" w:ascii="Times New Roman" w:hAnsi="Times New Roman"/>
          <w:color w:val="auto"/>
          <w:lang w:val="en-US" w:eastAsia="zh-CN"/>
        </w:rPr>
        <w:t>2</w:t>
      </w:r>
      <w:r>
        <w:rPr>
          <w:rFonts w:ascii="Times New Roman" w:hAnsi="Times New Roman"/>
          <w:color w:val="auto"/>
        </w:rPr>
        <w:t>。</w:t>
      </w:r>
    </w:p>
    <w:p>
      <w:pPr>
        <w:pStyle w:val="105"/>
        <w:pageBreakBefore w:val="0"/>
        <w:widowControl w:val="0"/>
        <w:kinsoku/>
        <w:wordWrap/>
        <w:overflowPunct/>
        <w:topLinePunct w:val="0"/>
        <w:autoSpaceDE/>
        <w:autoSpaceDN/>
        <w:bidi w:val="0"/>
        <w:adjustRightInd/>
        <w:snapToGrid/>
        <w:spacing w:line="360" w:lineRule="auto"/>
        <w:ind w:left="0" w:leftChars="0" w:firstLine="422"/>
        <w:jc w:val="center"/>
        <w:textAlignment w:val="auto"/>
        <w:rPr>
          <w:rFonts w:ascii="Times New Roman" w:hAnsi="Times New Roman"/>
          <w:b/>
          <w:color w:val="auto"/>
          <w:sz w:val="21"/>
          <w:szCs w:val="21"/>
        </w:rPr>
      </w:pPr>
      <w:bookmarkStart w:id="140" w:name="OLE_LINK8"/>
      <w:bookmarkStart w:id="141" w:name="OLE_LINK5"/>
      <w:bookmarkStart w:id="142" w:name="OLE_LINK7"/>
      <w:bookmarkStart w:id="143" w:name="OLE_LINK6"/>
      <w:bookmarkStart w:id="144" w:name="OLE_LINK10"/>
      <w:r>
        <w:rPr>
          <w:rFonts w:ascii="Times New Roman" w:hAnsi="Times New Roman"/>
          <w:b/>
          <w:color w:val="auto"/>
          <w:sz w:val="21"/>
          <w:szCs w:val="21"/>
        </w:rPr>
        <w:t>表7</w:t>
      </w:r>
      <w:r>
        <w:rPr>
          <w:rFonts w:hint="eastAsia" w:ascii="Times New Roman" w:hAnsi="Times New Roman"/>
          <w:b/>
          <w:color w:val="auto"/>
          <w:sz w:val="21"/>
          <w:szCs w:val="21"/>
        </w:rPr>
        <w:t>.1</w:t>
      </w:r>
      <w:r>
        <w:rPr>
          <w:rFonts w:ascii="Times New Roman" w:hAnsi="Times New Roman"/>
          <w:b/>
          <w:color w:val="auto"/>
          <w:sz w:val="21"/>
          <w:szCs w:val="21"/>
        </w:rPr>
        <w:t>-</w:t>
      </w:r>
      <w:r>
        <w:rPr>
          <w:rFonts w:hint="eastAsia" w:ascii="Times New Roman" w:hAnsi="Times New Roman"/>
          <w:b/>
          <w:color w:val="auto"/>
          <w:sz w:val="21"/>
          <w:szCs w:val="21"/>
          <w:lang w:val="en-US" w:eastAsia="zh-CN"/>
        </w:rPr>
        <w:t>2</w:t>
      </w:r>
      <w:r>
        <w:rPr>
          <w:rFonts w:ascii="Times New Roman" w:hAnsi="Times New Roman"/>
          <w:b/>
          <w:color w:val="auto"/>
          <w:sz w:val="21"/>
          <w:szCs w:val="21"/>
        </w:rPr>
        <w:t xml:space="preserve"> </w:t>
      </w:r>
      <w:r>
        <w:rPr>
          <w:rFonts w:hint="eastAsia" w:ascii="Times New Roman" w:hAnsi="Times New Roman"/>
          <w:b/>
          <w:color w:val="auto"/>
          <w:sz w:val="21"/>
          <w:szCs w:val="21"/>
          <w:lang w:val="en-US" w:eastAsia="zh-CN"/>
        </w:rPr>
        <w:t xml:space="preserve"> </w:t>
      </w:r>
      <w:r>
        <w:rPr>
          <w:rFonts w:ascii="Times New Roman" w:hAnsi="Times New Roman"/>
          <w:b/>
          <w:color w:val="auto"/>
          <w:sz w:val="21"/>
          <w:szCs w:val="21"/>
        </w:rPr>
        <w:t>噪声监测点位、项目、频次一览表</w:t>
      </w:r>
    </w:p>
    <w:bookmarkEnd w:id="140"/>
    <w:bookmarkEnd w:id="141"/>
    <w:bookmarkEnd w:id="142"/>
    <w:bookmarkEnd w:id="143"/>
    <w:bookmarkEnd w:id="144"/>
    <w:tbl>
      <w:tblPr>
        <w:tblStyle w:val="29"/>
        <w:tblW w:w="4998"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032"/>
        <w:gridCol w:w="1375"/>
        <w:gridCol w:w="2749"/>
        <w:gridCol w:w="2903"/>
        <w:gridCol w:w="1337"/>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blHeader/>
        </w:trPr>
        <w:tc>
          <w:tcPr>
            <w:tcW w:w="549" w:type="pct"/>
            <w:vAlign w:val="center"/>
          </w:tcPr>
          <w:p>
            <w:pPr>
              <w:jc w:val="center"/>
              <w:rPr>
                <w:rFonts w:ascii="Times New Roman" w:hAnsi="Times New Roman" w:cs="Times New Roman"/>
                <w:b/>
                <w:color w:val="auto"/>
                <w:szCs w:val="21"/>
              </w:rPr>
            </w:pPr>
            <w:r>
              <w:rPr>
                <w:rFonts w:ascii="Times New Roman" w:hAnsi="Times New Roman" w:cs="Times New Roman"/>
                <w:b/>
                <w:color w:val="auto"/>
                <w:szCs w:val="21"/>
              </w:rPr>
              <w:t>分类</w:t>
            </w:r>
          </w:p>
        </w:tc>
        <w:tc>
          <w:tcPr>
            <w:tcW w:w="731" w:type="pct"/>
            <w:vAlign w:val="center"/>
          </w:tcPr>
          <w:p>
            <w:pPr>
              <w:jc w:val="center"/>
              <w:rPr>
                <w:rFonts w:ascii="Times New Roman" w:hAnsi="Times New Roman" w:cs="Times New Roman"/>
                <w:b/>
                <w:color w:val="auto"/>
                <w:szCs w:val="21"/>
              </w:rPr>
            </w:pPr>
            <w:r>
              <w:rPr>
                <w:rFonts w:ascii="Times New Roman" w:hAnsi="Times New Roman" w:cs="Times New Roman"/>
                <w:b/>
                <w:color w:val="auto"/>
                <w:szCs w:val="21"/>
              </w:rPr>
              <w:t>点位编号</w:t>
            </w:r>
          </w:p>
        </w:tc>
        <w:tc>
          <w:tcPr>
            <w:tcW w:w="1462" w:type="pct"/>
            <w:vAlign w:val="center"/>
          </w:tcPr>
          <w:p>
            <w:pPr>
              <w:jc w:val="center"/>
              <w:rPr>
                <w:rFonts w:ascii="Times New Roman" w:hAnsi="Times New Roman" w:cs="Times New Roman"/>
                <w:b/>
                <w:color w:val="auto"/>
                <w:szCs w:val="21"/>
              </w:rPr>
            </w:pPr>
            <w:r>
              <w:rPr>
                <w:rFonts w:ascii="Times New Roman" w:hAnsi="Times New Roman" w:cs="Times New Roman"/>
                <w:b/>
                <w:color w:val="auto"/>
                <w:szCs w:val="21"/>
              </w:rPr>
              <w:t>监测点位</w:t>
            </w:r>
          </w:p>
        </w:tc>
        <w:tc>
          <w:tcPr>
            <w:tcW w:w="1544" w:type="pct"/>
            <w:vAlign w:val="center"/>
          </w:tcPr>
          <w:p>
            <w:pPr>
              <w:jc w:val="center"/>
              <w:rPr>
                <w:rFonts w:ascii="Times New Roman" w:hAnsi="Times New Roman" w:cs="Times New Roman"/>
                <w:b/>
                <w:color w:val="auto"/>
                <w:szCs w:val="21"/>
              </w:rPr>
            </w:pPr>
            <w:r>
              <w:rPr>
                <w:rFonts w:ascii="Times New Roman" w:hAnsi="Times New Roman" w:cs="Times New Roman"/>
                <w:b/>
                <w:color w:val="auto"/>
                <w:szCs w:val="21"/>
              </w:rPr>
              <w:t>监测因子</w:t>
            </w:r>
          </w:p>
        </w:tc>
        <w:tc>
          <w:tcPr>
            <w:tcW w:w="711" w:type="pct"/>
            <w:vAlign w:val="center"/>
          </w:tcPr>
          <w:p>
            <w:pPr>
              <w:jc w:val="center"/>
              <w:rPr>
                <w:rFonts w:ascii="Times New Roman" w:hAnsi="Times New Roman" w:cs="Times New Roman"/>
                <w:b/>
                <w:color w:val="auto"/>
                <w:szCs w:val="21"/>
              </w:rPr>
            </w:pPr>
            <w:r>
              <w:rPr>
                <w:rFonts w:ascii="Times New Roman" w:hAnsi="Times New Roman" w:cs="Times New Roman"/>
                <w:b/>
                <w:color w:val="auto"/>
                <w:szCs w:val="21"/>
              </w:rPr>
              <w:t>监测频次</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549" w:type="pct"/>
            <w:vMerge w:val="restart"/>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厂界</w:t>
            </w:r>
          </w:p>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噪声</w:t>
            </w:r>
          </w:p>
        </w:tc>
        <w:tc>
          <w:tcPr>
            <w:tcW w:w="731" w:type="pct"/>
            <w:vAlign w:val="center"/>
          </w:tcPr>
          <w:p>
            <w:pPr>
              <w:jc w:val="center"/>
              <w:rPr>
                <w:rFonts w:ascii="Times New Roman" w:hAnsi="Times New Roman" w:cs="Times New Roman"/>
                <w:color w:val="auto"/>
                <w:szCs w:val="21"/>
              </w:rPr>
            </w:pPr>
            <w:r>
              <w:rPr>
                <w:rFonts w:ascii="Times New Roman" w:hAnsi="Times New Roman" w:eastAsia="宋体" w:cs="Times New Roman"/>
                <w:color w:val="auto"/>
                <w:szCs w:val="21"/>
              </w:rPr>
              <w:t>▲</w:t>
            </w:r>
            <w:r>
              <w:rPr>
                <w:rFonts w:ascii="Times New Roman" w:hAnsi="Times New Roman" w:cs="Times New Roman"/>
                <w:color w:val="auto"/>
                <w:szCs w:val="21"/>
              </w:rPr>
              <w:t>N1</w:t>
            </w:r>
          </w:p>
        </w:tc>
        <w:tc>
          <w:tcPr>
            <w:tcW w:w="1462" w:type="pct"/>
            <w:vAlign w:val="center"/>
          </w:tcPr>
          <w:p>
            <w:pPr>
              <w:jc w:val="center"/>
              <w:rPr>
                <w:rFonts w:ascii="Times New Roman" w:hAnsi="Times New Roman" w:cs="Times New Roman"/>
                <w:color w:val="auto"/>
                <w:szCs w:val="21"/>
              </w:rPr>
            </w:pPr>
            <w:r>
              <w:rPr>
                <w:rFonts w:ascii="Times New Roman" w:hAnsi="Times New Roman" w:cs="Times New Roman"/>
                <w:color w:val="auto"/>
                <w:szCs w:val="21"/>
              </w:rPr>
              <w:t>项目区东厂界</w:t>
            </w:r>
          </w:p>
        </w:tc>
        <w:tc>
          <w:tcPr>
            <w:tcW w:w="1544" w:type="pct"/>
            <w:vMerge w:val="restart"/>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昼间噪声、夜间噪声</w:t>
            </w:r>
          </w:p>
        </w:tc>
        <w:tc>
          <w:tcPr>
            <w:tcW w:w="711" w:type="pct"/>
            <w:vMerge w:val="restart"/>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每天1次</w:t>
            </w:r>
            <w:r>
              <w:rPr>
                <w:rFonts w:hint="eastAsia" w:ascii="Times New Roman" w:hAnsi="Times New Roman" w:cs="Times New Roman"/>
                <w:color w:val="auto"/>
                <w:szCs w:val="21"/>
              </w:rPr>
              <w:t>，</w:t>
            </w:r>
            <w:r>
              <w:rPr>
                <w:rFonts w:ascii="Times New Roman" w:hAnsi="Times New Roman" w:cs="Times New Roman"/>
                <w:color w:val="auto"/>
                <w:szCs w:val="21"/>
              </w:rPr>
              <w:t>监测2天</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549" w:type="pct"/>
            <w:vMerge w:val="continue"/>
            <w:vAlign w:val="center"/>
          </w:tcPr>
          <w:p>
            <w:pPr>
              <w:spacing w:line="360" w:lineRule="exact"/>
              <w:jc w:val="center"/>
              <w:rPr>
                <w:rFonts w:ascii="Times New Roman" w:hAnsi="Times New Roman" w:cs="Times New Roman"/>
                <w:color w:val="auto"/>
                <w:szCs w:val="21"/>
              </w:rPr>
            </w:pPr>
          </w:p>
        </w:tc>
        <w:tc>
          <w:tcPr>
            <w:tcW w:w="731" w:type="pct"/>
            <w:vAlign w:val="center"/>
          </w:tcPr>
          <w:p>
            <w:pPr>
              <w:jc w:val="center"/>
              <w:rPr>
                <w:rFonts w:ascii="Times New Roman" w:hAnsi="Times New Roman" w:cs="Times New Roman"/>
                <w:color w:val="auto"/>
                <w:szCs w:val="21"/>
              </w:rPr>
            </w:pPr>
            <w:r>
              <w:rPr>
                <w:rFonts w:ascii="Times New Roman" w:hAnsi="Times New Roman" w:eastAsia="宋体" w:cs="Times New Roman"/>
                <w:color w:val="auto"/>
                <w:szCs w:val="21"/>
              </w:rPr>
              <w:t>▲</w:t>
            </w:r>
            <w:r>
              <w:rPr>
                <w:rFonts w:ascii="Times New Roman" w:hAnsi="Times New Roman" w:cs="Times New Roman"/>
                <w:color w:val="auto"/>
                <w:szCs w:val="21"/>
              </w:rPr>
              <w:t>N2</w:t>
            </w:r>
          </w:p>
        </w:tc>
        <w:tc>
          <w:tcPr>
            <w:tcW w:w="1462" w:type="pct"/>
            <w:vAlign w:val="center"/>
          </w:tcPr>
          <w:p>
            <w:pPr>
              <w:jc w:val="center"/>
              <w:rPr>
                <w:rFonts w:ascii="Times New Roman" w:hAnsi="Times New Roman" w:cs="Times New Roman"/>
                <w:color w:val="auto"/>
                <w:szCs w:val="21"/>
              </w:rPr>
            </w:pPr>
            <w:r>
              <w:rPr>
                <w:rFonts w:ascii="Times New Roman" w:hAnsi="Times New Roman" w:cs="Times New Roman"/>
                <w:color w:val="auto"/>
                <w:szCs w:val="21"/>
              </w:rPr>
              <w:t>项目区南厂界</w:t>
            </w:r>
          </w:p>
        </w:tc>
        <w:tc>
          <w:tcPr>
            <w:tcW w:w="1544" w:type="pct"/>
            <w:vMerge w:val="continue"/>
            <w:vAlign w:val="center"/>
          </w:tcPr>
          <w:p>
            <w:pPr>
              <w:spacing w:line="360" w:lineRule="exact"/>
              <w:jc w:val="center"/>
              <w:rPr>
                <w:rFonts w:ascii="Times New Roman" w:hAnsi="Times New Roman" w:cs="Times New Roman"/>
                <w:color w:val="auto"/>
                <w:szCs w:val="21"/>
              </w:rPr>
            </w:pPr>
          </w:p>
        </w:tc>
        <w:tc>
          <w:tcPr>
            <w:tcW w:w="711" w:type="pct"/>
            <w:vMerge w:val="continue"/>
            <w:vAlign w:val="center"/>
          </w:tcPr>
          <w:p>
            <w:pPr>
              <w:spacing w:line="360" w:lineRule="exact"/>
              <w:jc w:val="center"/>
              <w:rPr>
                <w:rFonts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549" w:type="pct"/>
            <w:vMerge w:val="continue"/>
            <w:vAlign w:val="center"/>
          </w:tcPr>
          <w:p>
            <w:pPr>
              <w:spacing w:line="360" w:lineRule="exact"/>
              <w:jc w:val="center"/>
              <w:rPr>
                <w:rFonts w:ascii="Times New Roman" w:hAnsi="Times New Roman" w:cs="Times New Roman"/>
                <w:color w:val="auto"/>
                <w:szCs w:val="21"/>
              </w:rPr>
            </w:pPr>
          </w:p>
        </w:tc>
        <w:tc>
          <w:tcPr>
            <w:tcW w:w="731" w:type="pct"/>
            <w:vAlign w:val="center"/>
          </w:tcPr>
          <w:p>
            <w:pPr>
              <w:jc w:val="center"/>
              <w:rPr>
                <w:rFonts w:ascii="Times New Roman" w:hAnsi="Times New Roman" w:cs="Times New Roman"/>
                <w:color w:val="auto"/>
                <w:szCs w:val="21"/>
              </w:rPr>
            </w:pPr>
            <w:r>
              <w:rPr>
                <w:rFonts w:ascii="Times New Roman" w:hAnsi="Times New Roman" w:eastAsia="宋体" w:cs="Times New Roman"/>
                <w:color w:val="auto"/>
                <w:szCs w:val="21"/>
              </w:rPr>
              <w:t>▲</w:t>
            </w:r>
            <w:r>
              <w:rPr>
                <w:rFonts w:ascii="Times New Roman" w:hAnsi="Times New Roman" w:cs="Times New Roman"/>
                <w:color w:val="auto"/>
                <w:szCs w:val="21"/>
              </w:rPr>
              <w:t>N3</w:t>
            </w:r>
          </w:p>
        </w:tc>
        <w:tc>
          <w:tcPr>
            <w:tcW w:w="1462" w:type="pct"/>
            <w:vAlign w:val="center"/>
          </w:tcPr>
          <w:p>
            <w:pPr>
              <w:jc w:val="center"/>
              <w:rPr>
                <w:rFonts w:ascii="Times New Roman" w:hAnsi="Times New Roman" w:cs="Times New Roman"/>
                <w:color w:val="auto"/>
                <w:szCs w:val="21"/>
              </w:rPr>
            </w:pPr>
            <w:r>
              <w:rPr>
                <w:rFonts w:ascii="Times New Roman" w:hAnsi="Times New Roman" w:cs="Times New Roman"/>
                <w:color w:val="auto"/>
                <w:szCs w:val="21"/>
              </w:rPr>
              <w:t>项目区西厂界</w:t>
            </w:r>
          </w:p>
        </w:tc>
        <w:tc>
          <w:tcPr>
            <w:tcW w:w="1544" w:type="pct"/>
            <w:vMerge w:val="continue"/>
            <w:vAlign w:val="center"/>
          </w:tcPr>
          <w:p>
            <w:pPr>
              <w:spacing w:line="360" w:lineRule="exact"/>
              <w:jc w:val="center"/>
              <w:rPr>
                <w:rFonts w:ascii="Times New Roman" w:hAnsi="Times New Roman" w:cs="Times New Roman"/>
                <w:color w:val="auto"/>
                <w:szCs w:val="21"/>
              </w:rPr>
            </w:pPr>
          </w:p>
        </w:tc>
        <w:tc>
          <w:tcPr>
            <w:tcW w:w="711" w:type="pct"/>
            <w:vMerge w:val="continue"/>
            <w:vAlign w:val="center"/>
          </w:tcPr>
          <w:p>
            <w:pPr>
              <w:spacing w:line="360" w:lineRule="exact"/>
              <w:jc w:val="center"/>
              <w:rPr>
                <w:rFonts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549" w:type="pct"/>
            <w:vMerge w:val="continue"/>
            <w:vAlign w:val="center"/>
          </w:tcPr>
          <w:p>
            <w:pPr>
              <w:spacing w:line="360" w:lineRule="exact"/>
              <w:jc w:val="center"/>
              <w:rPr>
                <w:rFonts w:ascii="Times New Roman" w:hAnsi="Times New Roman" w:cs="Times New Roman"/>
                <w:color w:val="auto"/>
                <w:szCs w:val="21"/>
              </w:rPr>
            </w:pPr>
          </w:p>
        </w:tc>
        <w:tc>
          <w:tcPr>
            <w:tcW w:w="731" w:type="pct"/>
            <w:vAlign w:val="center"/>
          </w:tcPr>
          <w:p>
            <w:pPr>
              <w:jc w:val="center"/>
              <w:rPr>
                <w:rFonts w:ascii="Times New Roman" w:hAnsi="Times New Roman" w:cs="Times New Roman"/>
                <w:color w:val="auto"/>
                <w:szCs w:val="21"/>
              </w:rPr>
            </w:pPr>
            <w:r>
              <w:rPr>
                <w:rFonts w:ascii="Times New Roman" w:hAnsi="Times New Roman" w:eastAsia="宋体" w:cs="Times New Roman"/>
                <w:color w:val="auto"/>
                <w:szCs w:val="21"/>
              </w:rPr>
              <w:t>▲</w:t>
            </w:r>
            <w:r>
              <w:rPr>
                <w:rFonts w:ascii="Times New Roman" w:hAnsi="Times New Roman" w:cs="Times New Roman"/>
                <w:color w:val="auto"/>
                <w:szCs w:val="21"/>
              </w:rPr>
              <w:t>N4</w:t>
            </w:r>
          </w:p>
        </w:tc>
        <w:tc>
          <w:tcPr>
            <w:tcW w:w="1462" w:type="pct"/>
            <w:vAlign w:val="center"/>
          </w:tcPr>
          <w:p>
            <w:pPr>
              <w:jc w:val="center"/>
              <w:rPr>
                <w:rFonts w:ascii="Times New Roman" w:hAnsi="Times New Roman" w:cs="Times New Roman"/>
                <w:color w:val="auto"/>
                <w:szCs w:val="21"/>
              </w:rPr>
            </w:pPr>
            <w:r>
              <w:rPr>
                <w:rFonts w:ascii="Times New Roman" w:hAnsi="Times New Roman" w:cs="Times New Roman"/>
                <w:color w:val="auto"/>
                <w:szCs w:val="21"/>
              </w:rPr>
              <w:t>项目区北厂界</w:t>
            </w:r>
          </w:p>
        </w:tc>
        <w:tc>
          <w:tcPr>
            <w:tcW w:w="1544" w:type="pct"/>
            <w:vMerge w:val="continue"/>
            <w:vAlign w:val="center"/>
          </w:tcPr>
          <w:p>
            <w:pPr>
              <w:spacing w:line="360" w:lineRule="exact"/>
              <w:jc w:val="center"/>
              <w:rPr>
                <w:rFonts w:ascii="Times New Roman" w:hAnsi="Times New Roman" w:cs="Times New Roman"/>
                <w:color w:val="auto"/>
                <w:szCs w:val="21"/>
              </w:rPr>
            </w:pPr>
          </w:p>
        </w:tc>
        <w:tc>
          <w:tcPr>
            <w:tcW w:w="711" w:type="pct"/>
            <w:vMerge w:val="continue"/>
            <w:vAlign w:val="center"/>
          </w:tcPr>
          <w:p>
            <w:pPr>
              <w:spacing w:line="360" w:lineRule="exact"/>
              <w:jc w:val="center"/>
              <w:rPr>
                <w:rFonts w:ascii="Times New Roman" w:hAnsi="Times New Roman" w:cs="Times New Roman"/>
                <w:color w:val="auto"/>
                <w:szCs w:val="21"/>
              </w:rPr>
            </w:pPr>
          </w:p>
        </w:tc>
      </w:tr>
    </w:tbl>
    <w:p>
      <w:pPr>
        <w:pStyle w:val="6"/>
        <w:pageBreakBefore w:val="0"/>
        <w:widowControl w:val="0"/>
        <w:kinsoku/>
        <w:wordWrap/>
        <w:overflowPunct/>
        <w:topLinePunct w:val="0"/>
        <w:bidi w:val="0"/>
        <w:adjustRightInd/>
        <w:snapToGrid/>
        <w:spacing w:before="0" w:after="0" w:line="360" w:lineRule="auto"/>
        <w:textAlignment w:val="auto"/>
        <w:rPr>
          <w:rFonts w:ascii="Times New Roman" w:hAnsi="Times New Roman"/>
          <w:color w:val="auto"/>
        </w:rPr>
      </w:pPr>
      <w:bookmarkStart w:id="145" w:name="_Toc8866"/>
      <w:bookmarkStart w:id="146" w:name="_Toc507454885"/>
      <w:r>
        <w:rPr>
          <w:rFonts w:ascii="Times New Roman" w:hAnsi="Times New Roman"/>
          <w:color w:val="auto"/>
        </w:rPr>
        <w:t>7</w:t>
      </w:r>
      <w:r>
        <w:rPr>
          <w:rFonts w:hint="eastAsia" w:ascii="Times New Roman" w:hAnsi="Times New Roman"/>
          <w:color w:val="auto"/>
        </w:rPr>
        <w:t>.</w:t>
      </w:r>
      <w:r>
        <w:rPr>
          <w:rFonts w:ascii="Times New Roman" w:hAnsi="Times New Roman"/>
          <w:color w:val="auto"/>
        </w:rPr>
        <w:t>2</w:t>
      </w:r>
      <w:bookmarkStart w:id="147" w:name="_Toc534902868"/>
      <w:r>
        <w:rPr>
          <w:rFonts w:hint="eastAsia" w:ascii="Times New Roman" w:hAnsi="Times New Roman"/>
          <w:color w:val="auto"/>
        </w:rPr>
        <w:t>环境质量监测</w:t>
      </w:r>
      <w:bookmarkEnd w:id="145"/>
      <w:bookmarkEnd w:id="147"/>
    </w:p>
    <w:p>
      <w:pPr>
        <w:pStyle w:val="7"/>
        <w:pageBreakBefore w:val="0"/>
        <w:widowControl w:val="0"/>
        <w:kinsoku/>
        <w:wordWrap/>
        <w:overflowPunct/>
        <w:topLinePunct w:val="0"/>
        <w:bidi w:val="0"/>
        <w:adjustRightInd/>
        <w:snapToGrid/>
        <w:spacing w:line="360" w:lineRule="auto"/>
        <w:textAlignment w:val="auto"/>
        <w:rPr>
          <w:rFonts w:ascii="Times New Roman" w:hAnsi="Times New Roman"/>
          <w:color w:val="auto"/>
        </w:rPr>
      </w:pPr>
      <w:bookmarkStart w:id="148" w:name="_Toc48659641"/>
      <w:bookmarkStart w:id="149" w:name="_Toc53502020"/>
      <w:bookmarkStart w:id="150" w:name="_Toc13331"/>
      <w:r>
        <w:rPr>
          <w:rFonts w:ascii="Times New Roman" w:hAnsi="Times New Roman"/>
          <w:color w:val="auto"/>
        </w:rPr>
        <w:t>7.</w:t>
      </w:r>
      <w:r>
        <w:rPr>
          <w:rFonts w:hint="eastAsia" w:ascii="Times New Roman" w:hAnsi="Times New Roman"/>
          <w:color w:val="auto"/>
        </w:rPr>
        <w:t>2.</w:t>
      </w:r>
      <w:r>
        <w:rPr>
          <w:rFonts w:ascii="Times New Roman" w:hAnsi="Times New Roman"/>
          <w:color w:val="auto"/>
        </w:rPr>
        <w:t>1</w:t>
      </w:r>
      <w:r>
        <w:rPr>
          <w:rFonts w:hint="eastAsia" w:ascii="Times New Roman" w:hAnsi="Times New Roman"/>
          <w:color w:val="auto"/>
        </w:rPr>
        <w:t>地下水</w:t>
      </w:r>
      <w:r>
        <w:rPr>
          <w:rFonts w:ascii="Times New Roman" w:hAnsi="Times New Roman"/>
          <w:color w:val="auto"/>
        </w:rPr>
        <w:t>监测</w:t>
      </w:r>
      <w:bookmarkEnd w:id="148"/>
      <w:bookmarkEnd w:id="149"/>
      <w:bookmarkEnd w:id="150"/>
    </w:p>
    <w:p>
      <w:pPr>
        <w:pStyle w:val="104"/>
        <w:pageBreakBefore w:val="0"/>
        <w:widowControl w:val="0"/>
        <w:kinsoku/>
        <w:wordWrap/>
        <w:overflowPunct/>
        <w:topLinePunct w:val="0"/>
        <w:bidi w:val="0"/>
        <w:adjustRightInd/>
        <w:snapToGrid/>
        <w:spacing w:line="360" w:lineRule="auto"/>
        <w:ind w:firstLine="480"/>
        <w:textAlignment w:val="auto"/>
        <w:rPr>
          <w:rFonts w:ascii="Times New Roman" w:hAnsi="Times New Roman"/>
          <w:color w:val="auto"/>
          <w:szCs w:val="20"/>
        </w:rPr>
      </w:pPr>
      <w:r>
        <w:rPr>
          <w:rFonts w:hint="eastAsia" w:ascii="Times New Roman" w:hAnsi="Times New Roman"/>
          <w:color w:val="auto"/>
        </w:rPr>
        <w:t>地下水</w:t>
      </w:r>
      <w:r>
        <w:rPr>
          <w:rFonts w:ascii="Times New Roman" w:hAnsi="Times New Roman"/>
          <w:color w:val="auto"/>
        </w:rPr>
        <w:t>监测的点位、项目、频次。详见</w:t>
      </w:r>
      <w:r>
        <w:rPr>
          <w:rFonts w:ascii="Times New Roman" w:hAnsi="Times New Roman"/>
          <w:color w:val="auto"/>
          <w:szCs w:val="20"/>
        </w:rPr>
        <w:t>表</w:t>
      </w:r>
      <w:r>
        <w:rPr>
          <w:rFonts w:hint="eastAsia" w:ascii="Times New Roman" w:hAnsi="Times New Roman"/>
          <w:color w:val="auto"/>
          <w:szCs w:val="20"/>
        </w:rPr>
        <w:t>7.2</w:t>
      </w:r>
      <w:r>
        <w:rPr>
          <w:rFonts w:ascii="Times New Roman" w:hAnsi="Times New Roman"/>
          <w:color w:val="auto"/>
          <w:szCs w:val="20"/>
        </w:rPr>
        <w:t>-1</w:t>
      </w:r>
      <w:r>
        <w:rPr>
          <w:rFonts w:hint="eastAsia" w:ascii="Times New Roman" w:hAnsi="Times New Roman"/>
          <w:color w:val="auto"/>
          <w:szCs w:val="20"/>
        </w:rPr>
        <w:t>：</w:t>
      </w:r>
    </w:p>
    <w:p>
      <w:pPr>
        <w:pageBreakBefore w:val="0"/>
        <w:widowControl w:val="0"/>
        <w:kinsoku/>
        <w:wordWrap/>
        <w:overflowPunct/>
        <w:topLinePunct w:val="0"/>
        <w:autoSpaceDE w:val="0"/>
        <w:autoSpaceDN w:val="0"/>
        <w:bidi w:val="0"/>
        <w:adjustRightInd/>
        <w:snapToGrid/>
        <w:spacing w:line="360" w:lineRule="auto"/>
        <w:jc w:val="center"/>
        <w:textAlignment w:val="auto"/>
        <w:rPr>
          <w:rFonts w:ascii="Times New Roman" w:hAnsi="Times New Roman"/>
          <w:b/>
          <w:color w:val="auto"/>
          <w:szCs w:val="21"/>
        </w:rPr>
      </w:pPr>
      <w:r>
        <w:rPr>
          <w:rFonts w:ascii="Times New Roman" w:hAnsi="Times New Roman"/>
          <w:b/>
          <w:color w:val="auto"/>
          <w:szCs w:val="21"/>
        </w:rPr>
        <w:t>表7.</w:t>
      </w:r>
      <w:r>
        <w:rPr>
          <w:rFonts w:hint="eastAsia" w:ascii="Times New Roman" w:hAnsi="Times New Roman"/>
          <w:b/>
          <w:color w:val="auto"/>
          <w:szCs w:val="21"/>
        </w:rPr>
        <w:t>2-</w:t>
      </w:r>
      <w:r>
        <w:rPr>
          <w:rFonts w:ascii="Times New Roman" w:hAnsi="Times New Roman"/>
          <w:b/>
          <w:color w:val="auto"/>
          <w:szCs w:val="21"/>
        </w:rPr>
        <w:t>1</w:t>
      </w:r>
      <w:r>
        <w:rPr>
          <w:rFonts w:hint="eastAsia" w:ascii="Times New Roman" w:hAnsi="Times New Roman"/>
          <w:b/>
          <w:color w:val="auto"/>
          <w:szCs w:val="21"/>
        </w:rPr>
        <w:t xml:space="preserve"> </w:t>
      </w:r>
      <w:r>
        <w:rPr>
          <w:rFonts w:hint="eastAsia" w:ascii="Times New Roman" w:hAnsi="Times New Roman"/>
          <w:b/>
          <w:color w:val="auto"/>
          <w:szCs w:val="21"/>
          <w:lang w:val="en-US" w:eastAsia="zh-CN"/>
        </w:rPr>
        <w:t xml:space="preserve"> </w:t>
      </w:r>
      <w:r>
        <w:rPr>
          <w:rFonts w:hint="eastAsia" w:ascii="Times New Roman" w:hAnsi="Times New Roman"/>
          <w:b/>
          <w:color w:val="auto"/>
          <w:szCs w:val="21"/>
        </w:rPr>
        <w:t>地下水</w:t>
      </w:r>
      <w:r>
        <w:rPr>
          <w:rFonts w:ascii="Times New Roman" w:hAnsi="Times New Roman"/>
          <w:b/>
          <w:color w:val="auto"/>
          <w:szCs w:val="21"/>
        </w:rPr>
        <w:t>监测点位、项目、频次一览表</w:t>
      </w:r>
    </w:p>
    <w:tbl>
      <w:tblPr>
        <w:tblStyle w:val="29"/>
        <w:tblW w:w="4995"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065"/>
        <w:gridCol w:w="1336"/>
        <w:gridCol w:w="1710"/>
        <w:gridCol w:w="4111"/>
        <w:gridCol w:w="116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67" w:type="pct"/>
            <w:tcBorders>
              <w:tl2br w:val="nil"/>
              <w:tr2bl w:val="nil"/>
            </w:tcBorders>
            <w:vAlign w:val="center"/>
          </w:tcPr>
          <w:p>
            <w:pPr>
              <w:spacing w:line="240" w:lineRule="exact"/>
              <w:jc w:val="center"/>
              <w:rPr>
                <w:rFonts w:hint="eastAsia" w:ascii="Times New Roman" w:hAnsi="Times New Roman" w:eastAsia="宋体"/>
                <w:b/>
                <w:bCs/>
                <w:color w:val="auto"/>
                <w:szCs w:val="21"/>
                <w:lang w:eastAsia="zh-CN"/>
              </w:rPr>
            </w:pPr>
            <w:r>
              <w:rPr>
                <w:rFonts w:hint="eastAsia" w:ascii="Times New Roman" w:hAnsi="Times New Roman"/>
                <w:b/>
                <w:bCs/>
                <w:color w:val="auto"/>
                <w:szCs w:val="21"/>
                <w:lang w:eastAsia="zh-CN"/>
              </w:rPr>
              <w:t>类别</w:t>
            </w:r>
          </w:p>
        </w:tc>
        <w:tc>
          <w:tcPr>
            <w:tcW w:w="711" w:type="pct"/>
            <w:tcBorders>
              <w:tl2br w:val="nil"/>
              <w:tr2bl w:val="nil"/>
            </w:tcBorders>
            <w:vAlign w:val="center"/>
          </w:tcPr>
          <w:p>
            <w:pPr>
              <w:spacing w:line="240" w:lineRule="exact"/>
              <w:jc w:val="center"/>
              <w:rPr>
                <w:rFonts w:hint="eastAsia" w:ascii="Times New Roman" w:hAnsi="Times New Roman"/>
                <w:b/>
                <w:bCs/>
                <w:color w:val="auto"/>
                <w:szCs w:val="21"/>
                <w:lang w:eastAsia="zh-CN"/>
              </w:rPr>
            </w:pPr>
            <w:r>
              <w:rPr>
                <w:rFonts w:hint="eastAsia" w:ascii="Times New Roman" w:hAnsi="Times New Roman"/>
                <w:b/>
                <w:bCs/>
                <w:color w:val="auto"/>
                <w:szCs w:val="21"/>
                <w:lang w:eastAsia="zh-CN"/>
              </w:rPr>
              <w:t>点位编号</w:t>
            </w:r>
          </w:p>
        </w:tc>
        <w:tc>
          <w:tcPr>
            <w:tcW w:w="910" w:type="pct"/>
            <w:tcBorders>
              <w:tl2br w:val="nil"/>
              <w:tr2bl w:val="nil"/>
            </w:tcBorders>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监测点位</w:t>
            </w:r>
          </w:p>
        </w:tc>
        <w:tc>
          <w:tcPr>
            <w:tcW w:w="2188" w:type="pct"/>
            <w:tcBorders>
              <w:tl2br w:val="nil"/>
              <w:tr2bl w:val="nil"/>
            </w:tcBorders>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监测项目</w:t>
            </w:r>
          </w:p>
        </w:tc>
        <w:tc>
          <w:tcPr>
            <w:tcW w:w="622" w:type="pct"/>
            <w:tcBorders>
              <w:tl2br w:val="nil"/>
              <w:tr2bl w:val="nil"/>
            </w:tcBorders>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监测频次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67" w:type="pct"/>
            <w:vMerge w:val="restart"/>
            <w:tcBorders>
              <w:tl2br w:val="nil"/>
              <w:tr2bl w:val="nil"/>
            </w:tcBorders>
            <w:vAlign w:val="center"/>
          </w:tcPr>
          <w:p>
            <w:pPr>
              <w:spacing w:line="240" w:lineRule="exact"/>
              <w:jc w:val="center"/>
              <w:rPr>
                <w:rFonts w:hint="eastAsia" w:ascii="Times New Roman" w:hAnsi="Times New Roman"/>
                <w:color w:val="auto"/>
                <w:szCs w:val="21"/>
                <w:lang w:val="en-US" w:eastAsia="zh-CN"/>
              </w:rPr>
            </w:pPr>
            <w:r>
              <w:rPr>
                <w:rFonts w:hint="eastAsia" w:ascii="Times New Roman" w:hAnsi="Times New Roman"/>
                <w:color w:val="auto"/>
                <w:szCs w:val="21"/>
                <w:lang w:val="en-US" w:eastAsia="zh-CN"/>
              </w:rPr>
              <w:t>地下水</w:t>
            </w:r>
          </w:p>
        </w:tc>
        <w:tc>
          <w:tcPr>
            <w:tcW w:w="711" w:type="pct"/>
            <w:tcBorders>
              <w:tl2br w:val="nil"/>
              <w:tr2bl w:val="nil"/>
            </w:tcBorders>
            <w:vAlign w:val="center"/>
          </w:tcPr>
          <w:p>
            <w:pPr>
              <w:jc w:val="center"/>
              <w:rPr>
                <w:rFonts w:hint="eastAsia" w:ascii="Times New Roman" w:hAnsi="Times New Roman" w:cs="Times New Roman" w:eastAsiaTheme="minorEastAsia"/>
                <w:color w:val="auto"/>
                <w:kern w:val="2"/>
                <w:sz w:val="21"/>
                <w:szCs w:val="21"/>
                <w:lang w:val="en-US" w:eastAsia="zh-CN" w:bidi="ar-SA"/>
              </w:rPr>
            </w:pPr>
            <w:r>
              <w:rPr>
                <w:rFonts w:ascii="Times New Roman" w:hAnsi="Times New Roman" w:cs="Times New Roman"/>
                <w:color w:val="auto"/>
                <w:szCs w:val="21"/>
              </w:rPr>
              <w:t>☆D1</w:t>
            </w:r>
          </w:p>
        </w:tc>
        <w:tc>
          <w:tcPr>
            <w:tcW w:w="910" w:type="pct"/>
            <w:tcBorders>
              <w:tl2br w:val="nil"/>
              <w:tr2bl w:val="nil"/>
            </w:tcBorders>
            <w:vAlign w:val="center"/>
          </w:tcPr>
          <w:p>
            <w:pPr>
              <w:adjustRightInd w:val="0"/>
              <w:snapToGrid w:val="0"/>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Cs w:val="21"/>
              </w:rPr>
              <w:t>填埋库区上游40m处</w:t>
            </w:r>
            <w:r>
              <w:rPr>
                <w:rFonts w:hint="eastAsia" w:ascii="Times New Roman" w:hAnsi="Times New Roman" w:eastAsia="宋体" w:cs="宋体"/>
                <w:color w:val="auto"/>
                <w:szCs w:val="21"/>
                <w:lang w:eastAsia="zh-CN"/>
              </w:rPr>
              <w:t>监测井</w:t>
            </w:r>
          </w:p>
        </w:tc>
        <w:tc>
          <w:tcPr>
            <w:tcW w:w="2188" w:type="pct"/>
            <w:tcBorders>
              <w:tl2br w:val="nil"/>
              <w:tr2bl w:val="nil"/>
            </w:tcBorders>
            <w:vAlign w:val="center"/>
          </w:tcPr>
          <w:p>
            <w:pPr>
              <w:spacing w:line="240" w:lineRule="exact"/>
              <w:jc w:val="center"/>
              <w:rPr>
                <w:rFonts w:hint="eastAsia" w:ascii="Times New Roman" w:hAnsi="Times New Roman" w:eastAsia="宋体"/>
                <w:color w:val="auto"/>
                <w:szCs w:val="21"/>
                <w:lang w:val="en-US" w:eastAsia="zh-CN"/>
              </w:rPr>
            </w:pPr>
            <w:r>
              <w:rPr>
                <w:rFonts w:hint="eastAsia" w:ascii="Times New Roman" w:hAnsi="Times New Roman" w:eastAsia="宋体" w:cs="宋体"/>
                <w:color w:val="auto"/>
                <w:szCs w:val="21"/>
                <w:lang w:val="en-US" w:eastAsia="zh-CN"/>
              </w:rPr>
              <w:t>pH、耗氧量、氯化物、总硬度、溶解性总固体、硫酸盐、氨氮、硝酸盐、氟化物、铬、铁、铜、锌、镉、砷、铅</w:t>
            </w:r>
          </w:p>
        </w:tc>
        <w:tc>
          <w:tcPr>
            <w:tcW w:w="622" w:type="pct"/>
            <w:vMerge w:val="restart"/>
            <w:tcBorders>
              <w:tl2br w:val="nil"/>
              <w:tr2bl w:val="nil"/>
            </w:tcBorders>
            <w:vAlign w:val="center"/>
          </w:tcPr>
          <w:p>
            <w:pPr>
              <w:spacing w:line="240" w:lineRule="exact"/>
              <w:jc w:val="center"/>
              <w:rPr>
                <w:rFonts w:hint="eastAsia" w:ascii="Times New Roman" w:hAnsi="Times New Roman"/>
                <w:color w:val="auto"/>
                <w:szCs w:val="21"/>
              </w:rPr>
            </w:pPr>
            <w:r>
              <w:rPr>
                <w:rFonts w:hint="eastAsia" w:ascii="Times New Roman" w:hAnsi="Times New Roman"/>
                <w:color w:val="auto"/>
                <w:szCs w:val="21"/>
                <w:lang w:val="en-US" w:eastAsia="zh-CN"/>
              </w:rPr>
              <w:t>2</w:t>
            </w:r>
            <w:r>
              <w:rPr>
                <w:rFonts w:ascii="Times New Roman" w:hAnsi="Times New Roman"/>
                <w:color w:val="auto"/>
                <w:szCs w:val="21"/>
              </w:rPr>
              <w:t>次/天，</w:t>
            </w:r>
            <w:r>
              <w:rPr>
                <w:rFonts w:hint="eastAsia" w:ascii="Times New Roman" w:hAnsi="Times New Roman"/>
                <w:color w:val="auto"/>
                <w:szCs w:val="21"/>
                <w:lang w:val="en-US" w:eastAsia="zh-CN"/>
              </w:rPr>
              <w:t>2</w:t>
            </w:r>
            <w:r>
              <w:rPr>
                <w:rFonts w:ascii="Times New Roman" w:hAnsi="Times New Roman"/>
                <w:color w:val="auto"/>
                <w:szCs w:val="21"/>
              </w:rPr>
              <w:t>天</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67" w:type="pct"/>
            <w:vMerge w:val="continue"/>
            <w:tcBorders>
              <w:tl2br w:val="nil"/>
              <w:tr2bl w:val="nil"/>
            </w:tcBorders>
            <w:vAlign w:val="center"/>
          </w:tcPr>
          <w:p>
            <w:pPr>
              <w:spacing w:line="240" w:lineRule="exact"/>
              <w:jc w:val="center"/>
              <w:rPr>
                <w:rFonts w:hint="eastAsia" w:ascii="Times New Roman" w:hAnsi="Times New Roman"/>
                <w:color w:val="auto"/>
                <w:szCs w:val="21"/>
                <w:lang w:val="en-US" w:eastAsia="zh-CN"/>
              </w:rPr>
            </w:pPr>
          </w:p>
        </w:tc>
        <w:tc>
          <w:tcPr>
            <w:tcW w:w="711" w:type="pct"/>
            <w:tcBorders>
              <w:tl2br w:val="nil"/>
              <w:tr2bl w:val="nil"/>
            </w:tcBorders>
            <w:vAlign w:val="center"/>
          </w:tcPr>
          <w:p>
            <w:pPr>
              <w:jc w:val="center"/>
              <w:rPr>
                <w:rFonts w:hint="default" w:ascii="Times New Roman" w:hAnsi="Times New Roman" w:cs="Times New Roman" w:eastAsiaTheme="minorEastAsia"/>
                <w:color w:val="auto"/>
                <w:kern w:val="2"/>
                <w:sz w:val="21"/>
                <w:szCs w:val="21"/>
                <w:lang w:val="en-US" w:eastAsia="zh-CN" w:bidi="ar-SA"/>
              </w:rPr>
            </w:pPr>
            <w:r>
              <w:rPr>
                <w:rFonts w:ascii="Times New Roman" w:hAnsi="Times New Roman" w:cs="Times New Roman"/>
                <w:color w:val="auto"/>
                <w:szCs w:val="21"/>
              </w:rPr>
              <w:t>☆D2</w:t>
            </w:r>
            <w:r>
              <w:rPr>
                <w:rFonts w:hint="eastAsia" w:ascii="Times New Roman" w:hAnsi="Times New Roman" w:cs="Times New Roman"/>
                <w:color w:val="auto"/>
                <w:szCs w:val="21"/>
                <w:lang w:eastAsia="zh-CN"/>
              </w:rPr>
              <w:t>、</w:t>
            </w:r>
            <w:r>
              <w:rPr>
                <w:rFonts w:ascii="Times New Roman" w:hAnsi="Times New Roman" w:cs="Times New Roman"/>
                <w:color w:val="auto"/>
                <w:szCs w:val="21"/>
              </w:rPr>
              <w:t>☆D</w:t>
            </w:r>
            <w:r>
              <w:rPr>
                <w:rFonts w:hint="eastAsia" w:ascii="Times New Roman" w:hAnsi="Times New Roman" w:cs="Times New Roman"/>
                <w:color w:val="auto"/>
                <w:szCs w:val="21"/>
                <w:lang w:val="en-US" w:eastAsia="zh-CN"/>
              </w:rPr>
              <w:t>3</w:t>
            </w:r>
          </w:p>
        </w:tc>
        <w:tc>
          <w:tcPr>
            <w:tcW w:w="910" w:type="pct"/>
            <w:tcBorders>
              <w:tl2br w:val="nil"/>
              <w:tr2bl w:val="nil"/>
            </w:tcBorders>
            <w:vAlign w:val="center"/>
          </w:tcPr>
          <w:p>
            <w:pPr>
              <w:adjustRightInd w:val="0"/>
              <w:snapToGrid w:val="0"/>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Cs w:val="21"/>
                <w:lang w:eastAsia="zh-CN"/>
              </w:rPr>
              <w:t>填埋库区两侧监测井</w:t>
            </w:r>
          </w:p>
        </w:tc>
        <w:tc>
          <w:tcPr>
            <w:tcW w:w="2188" w:type="pct"/>
            <w:tcBorders>
              <w:tl2br w:val="nil"/>
              <w:tr2bl w:val="nil"/>
            </w:tcBorders>
            <w:vAlign w:val="center"/>
          </w:tcPr>
          <w:p>
            <w:pPr>
              <w:spacing w:line="240" w:lineRule="exact"/>
              <w:jc w:val="center"/>
              <w:rPr>
                <w:rFonts w:hint="eastAsia" w:ascii="Times New Roman" w:hAnsi="Times New Roman"/>
                <w:color w:val="auto"/>
                <w:szCs w:val="21"/>
                <w:lang w:val="en-US" w:eastAsia="zh-CN"/>
              </w:rPr>
            </w:pPr>
            <w:r>
              <w:rPr>
                <w:rFonts w:hint="eastAsia" w:ascii="Times New Roman" w:hAnsi="Times New Roman" w:eastAsia="宋体" w:cs="宋体"/>
                <w:color w:val="auto"/>
                <w:szCs w:val="21"/>
                <w:lang w:val="en-US" w:eastAsia="zh-CN"/>
              </w:rPr>
              <w:t>pH、耗氧量、氯化物、总硬度、溶解性总固体、硫酸盐、氨氮、硝酸盐、氟化物、铬、铁、铜、锌、镉、砷、铅</w:t>
            </w:r>
          </w:p>
        </w:tc>
        <w:tc>
          <w:tcPr>
            <w:tcW w:w="622" w:type="pct"/>
            <w:vMerge w:val="continue"/>
            <w:tcBorders>
              <w:tl2br w:val="nil"/>
              <w:tr2bl w:val="nil"/>
            </w:tcBorders>
            <w:vAlign w:val="center"/>
          </w:tcPr>
          <w:p>
            <w:pPr>
              <w:spacing w:line="240" w:lineRule="exact"/>
              <w:jc w:val="center"/>
              <w:rPr>
                <w:rFonts w:hint="eastAsia" w:ascii="Times New Roman" w:hAnsi="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67" w:type="pct"/>
            <w:vMerge w:val="continue"/>
            <w:tcBorders>
              <w:tl2br w:val="nil"/>
              <w:tr2bl w:val="nil"/>
            </w:tcBorders>
            <w:vAlign w:val="center"/>
          </w:tcPr>
          <w:p>
            <w:pPr>
              <w:spacing w:line="240" w:lineRule="exact"/>
              <w:jc w:val="center"/>
              <w:rPr>
                <w:rFonts w:hint="eastAsia" w:ascii="Times New Roman" w:hAnsi="Times New Roman"/>
                <w:color w:val="auto"/>
                <w:szCs w:val="21"/>
                <w:lang w:val="en-US" w:eastAsia="zh-CN"/>
              </w:rPr>
            </w:pPr>
          </w:p>
        </w:tc>
        <w:tc>
          <w:tcPr>
            <w:tcW w:w="711" w:type="pct"/>
            <w:tcBorders>
              <w:tl2br w:val="nil"/>
              <w:tr2bl w:val="nil"/>
            </w:tcBorders>
            <w:vAlign w:val="center"/>
          </w:tcPr>
          <w:p>
            <w:pPr>
              <w:jc w:val="center"/>
              <w:rPr>
                <w:rFonts w:hint="eastAsia" w:ascii="Times New Roman" w:hAnsi="Times New Roman" w:cs="Times New Roman" w:eastAsiaTheme="minorEastAsia"/>
                <w:color w:val="auto"/>
                <w:kern w:val="2"/>
                <w:sz w:val="21"/>
                <w:szCs w:val="21"/>
                <w:lang w:val="en-US" w:eastAsia="zh-CN" w:bidi="ar-SA"/>
              </w:rPr>
            </w:pPr>
            <w:r>
              <w:rPr>
                <w:rFonts w:ascii="Times New Roman" w:hAnsi="Times New Roman" w:cs="Times New Roman"/>
                <w:color w:val="auto"/>
                <w:szCs w:val="21"/>
              </w:rPr>
              <w:t>☆D</w:t>
            </w:r>
            <w:r>
              <w:rPr>
                <w:rFonts w:hint="eastAsia" w:ascii="Times New Roman" w:hAnsi="Times New Roman" w:cs="Times New Roman"/>
                <w:color w:val="auto"/>
                <w:szCs w:val="21"/>
                <w:lang w:val="en-US" w:eastAsia="zh-CN"/>
              </w:rPr>
              <w:t>4</w:t>
            </w:r>
          </w:p>
        </w:tc>
        <w:tc>
          <w:tcPr>
            <w:tcW w:w="910" w:type="pct"/>
            <w:tcBorders>
              <w:tl2br w:val="nil"/>
              <w:tr2bl w:val="nil"/>
            </w:tcBorders>
            <w:vAlign w:val="center"/>
          </w:tcPr>
          <w:p>
            <w:pPr>
              <w:adjustRightInd w:val="0"/>
              <w:snapToGrid w:val="0"/>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Cs w:val="21"/>
                <w:lang w:eastAsia="zh-CN"/>
              </w:rPr>
              <w:t>填埋库区</w:t>
            </w:r>
            <w:r>
              <w:rPr>
                <w:rFonts w:hint="eastAsia" w:ascii="Times New Roman" w:hAnsi="Times New Roman" w:eastAsia="宋体" w:cs="宋体"/>
                <w:color w:val="auto"/>
                <w:szCs w:val="21"/>
              </w:rPr>
              <w:t>下游</w:t>
            </w:r>
            <w:r>
              <w:rPr>
                <w:rFonts w:hint="eastAsia" w:ascii="Times New Roman" w:hAnsi="Times New Roman" w:eastAsia="宋体" w:cs="宋体"/>
                <w:color w:val="auto"/>
                <w:szCs w:val="21"/>
                <w:lang w:val="en-US" w:eastAsia="zh-CN"/>
              </w:rPr>
              <w:t>3</w:t>
            </w:r>
            <w:r>
              <w:rPr>
                <w:rFonts w:hint="eastAsia" w:ascii="Times New Roman" w:hAnsi="Times New Roman" w:eastAsia="宋体" w:cs="宋体"/>
                <w:color w:val="auto"/>
                <w:szCs w:val="21"/>
              </w:rPr>
              <w:t>0m处</w:t>
            </w:r>
            <w:r>
              <w:rPr>
                <w:rFonts w:hint="eastAsia" w:ascii="Times New Roman" w:hAnsi="Times New Roman" w:eastAsia="宋体" w:cs="宋体"/>
                <w:color w:val="auto"/>
                <w:szCs w:val="21"/>
                <w:lang w:eastAsia="zh-CN"/>
              </w:rPr>
              <w:t>监测井</w:t>
            </w:r>
          </w:p>
        </w:tc>
        <w:tc>
          <w:tcPr>
            <w:tcW w:w="2188" w:type="pct"/>
            <w:tcBorders>
              <w:tl2br w:val="nil"/>
              <w:tr2bl w:val="nil"/>
            </w:tcBorders>
            <w:vAlign w:val="center"/>
          </w:tcPr>
          <w:p>
            <w:pPr>
              <w:spacing w:line="240" w:lineRule="exact"/>
              <w:jc w:val="center"/>
              <w:rPr>
                <w:rFonts w:hint="eastAsia" w:ascii="Times New Roman" w:hAnsi="Times New Roman"/>
                <w:color w:val="auto"/>
                <w:szCs w:val="21"/>
                <w:lang w:val="en-US" w:eastAsia="zh-CN"/>
              </w:rPr>
            </w:pPr>
            <w:r>
              <w:rPr>
                <w:rFonts w:hint="eastAsia" w:ascii="Times New Roman" w:hAnsi="Times New Roman" w:eastAsia="宋体" w:cs="宋体"/>
                <w:color w:val="auto"/>
                <w:szCs w:val="21"/>
                <w:lang w:val="en-US" w:eastAsia="zh-CN"/>
              </w:rPr>
              <w:t>pH、耗氧量、氯化物、总硬度、溶解性总固体、硫酸盐、氨氮、硝酸盐、氟化物、铬、铁、铜、锌、镉、砷、铅</w:t>
            </w:r>
          </w:p>
        </w:tc>
        <w:tc>
          <w:tcPr>
            <w:tcW w:w="622" w:type="pct"/>
            <w:vMerge w:val="continue"/>
            <w:tcBorders>
              <w:tl2br w:val="nil"/>
              <w:tr2bl w:val="nil"/>
            </w:tcBorders>
            <w:vAlign w:val="center"/>
          </w:tcPr>
          <w:p>
            <w:pPr>
              <w:spacing w:line="240" w:lineRule="exact"/>
              <w:jc w:val="center"/>
              <w:rPr>
                <w:rFonts w:hint="eastAsia" w:ascii="Times New Roman" w:hAnsi="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67" w:type="pct"/>
            <w:vMerge w:val="continue"/>
            <w:tcBorders>
              <w:tl2br w:val="nil"/>
              <w:tr2bl w:val="nil"/>
            </w:tcBorders>
            <w:vAlign w:val="center"/>
          </w:tcPr>
          <w:p>
            <w:pPr>
              <w:spacing w:line="240" w:lineRule="exact"/>
              <w:jc w:val="center"/>
              <w:rPr>
                <w:rFonts w:hint="eastAsia" w:ascii="Times New Roman" w:hAnsi="Times New Roman"/>
                <w:color w:val="auto"/>
                <w:szCs w:val="21"/>
                <w:lang w:val="en-US" w:eastAsia="zh-CN"/>
              </w:rPr>
            </w:pPr>
          </w:p>
        </w:tc>
        <w:tc>
          <w:tcPr>
            <w:tcW w:w="711" w:type="pct"/>
            <w:tcBorders>
              <w:tl2br w:val="nil"/>
              <w:tr2bl w:val="nil"/>
            </w:tcBorders>
            <w:vAlign w:val="center"/>
          </w:tcPr>
          <w:p>
            <w:pPr>
              <w:jc w:val="center"/>
              <w:rPr>
                <w:rFonts w:hint="eastAsia" w:ascii="Times New Roman" w:hAnsi="Times New Roman" w:cs="Times New Roman" w:eastAsiaTheme="minorEastAsia"/>
                <w:color w:val="auto"/>
                <w:kern w:val="2"/>
                <w:sz w:val="21"/>
                <w:szCs w:val="21"/>
                <w:lang w:val="en-US" w:eastAsia="zh-CN" w:bidi="ar-SA"/>
              </w:rPr>
            </w:pPr>
            <w:r>
              <w:rPr>
                <w:rFonts w:ascii="Times New Roman" w:hAnsi="Times New Roman" w:cs="Times New Roman"/>
                <w:color w:val="auto"/>
                <w:szCs w:val="21"/>
              </w:rPr>
              <w:t>☆D</w:t>
            </w:r>
            <w:r>
              <w:rPr>
                <w:rFonts w:hint="eastAsia" w:ascii="Times New Roman" w:hAnsi="Times New Roman" w:cs="Times New Roman"/>
                <w:color w:val="auto"/>
                <w:szCs w:val="21"/>
                <w:lang w:val="en-US" w:eastAsia="zh-CN"/>
              </w:rPr>
              <w:t>5</w:t>
            </w:r>
          </w:p>
        </w:tc>
        <w:tc>
          <w:tcPr>
            <w:tcW w:w="910" w:type="pct"/>
            <w:tcBorders>
              <w:tl2br w:val="nil"/>
              <w:tr2bl w:val="nil"/>
            </w:tcBorders>
            <w:vAlign w:val="center"/>
          </w:tcPr>
          <w:p>
            <w:pPr>
              <w:adjustRightInd w:val="0"/>
              <w:snapToGrid w:val="0"/>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Cs w:val="21"/>
                <w:lang w:eastAsia="zh-CN"/>
              </w:rPr>
              <w:t>填埋库区</w:t>
            </w:r>
            <w:r>
              <w:rPr>
                <w:rFonts w:hint="eastAsia" w:ascii="Times New Roman" w:hAnsi="Times New Roman" w:eastAsia="宋体" w:cs="宋体"/>
                <w:color w:val="auto"/>
                <w:szCs w:val="21"/>
              </w:rPr>
              <w:t>下游</w:t>
            </w:r>
            <w:r>
              <w:rPr>
                <w:rFonts w:hint="eastAsia" w:ascii="Times New Roman" w:hAnsi="Times New Roman" w:eastAsia="宋体" w:cs="宋体"/>
                <w:color w:val="auto"/>
                <w:szCs w:val="21"/>
                <w:lang w:val="en-US" w:eastAsia="zh-CN"/>
              </w:rPr>
              <w:t>5</w:t>
            </w:r>
            <w:r>
              <w:rPr>
                <w:rFonts w:hint="eastAsia" w:ascii="Times New Roman" w:hAnsi="Times New Roman" w:eastAsia="宋体" w:cs="宋体"/>
                <w:color w:val="auto"/>
                <w:szCs w:val="21"/>
              </w:rPr>
              <w:t>0m处</w:t>
            </w:r>
            <w:r>
              <w:rPr>
                <w:rFonts w:hint="eastAsia" w:ascii="Times New Roman" w:hAnsi="Times New Roman" w:eastAsia="宋体" w:cs="宋体"/>
                <w:color w:val="auto"/>
                <w:szCs w:val="21"/>
                <w:lang w:eastAsia="zh-CN"/>
              </w:rPr>
              <w:t>监测井</w:t>
            </w:r>
          </w:p>
        </w:tc>
        <w:tc>
          <w:tcPr>
            <w:tcW w:w="2188" w:type="pct"/>
            <w:tcBorders>
              <w:tl2br w:val="nil"/>
              <w:tr2bl w:val="nil"/>
            </w:tcBorders>
            <w:vAlign w:val="center"/>
          </w:tcPr>
          <w:p>
            <w:pPr>
              <w:spacing w:line="240" w:lineRule="exact"/>
              <w:jc w:val="center"/>
              <w:rPr>
                <w:rFonts w:hint="eastAsia" w:ascii="Times New Roman" w:hAnsi="Times New Roman"/>
                <w:color w:val="auto"/>
                <w:szCs w:val="21"/>
                <w:lang w:val="en-US" w:eastAsia="zh-CN"/>
              </w:rPr>
            </w:pPr>
            <w:r>
              <w:rPr>
                <w:rFonts w:hint="eastAsia" w:ascii="Times New Roman" w:hAnsi="Times New Roman" w:eastAsia="宋体" w:cs="宋体"/>
                <w:color w:val="auto"/>
                <w:szCs w:val="21"/>
                <w:lang w:val="en-US" w:eastAsia="zh-CN"/>
              </w:rPr>
              <w:t>pH、耗氧量、氯化物、总硬度、溶解性总固体、硫酸盐、氨氮、硝酸盐、氟化物、铬、铁、铜、锌、镉、砷、铅</w:t>
            </w:r>
          </w:p>
        </w:tc>
        <w:tc>
          <w:tcPr>
            <w:tcW w:w="622" w:type="pct"/>
            <w:vMerge w:val="continue"/>
            <w:tcBorders>
              <w:tl2br w:val="nil"/>
              <w:tr2bl w:val="nil"/>
            </w:tcBorders>
            <w:vAlign w:val="center"/>
          </w:tcPr>
          <w:p>
            <w:pPr>
              <w:spacing w:line="240" w:lineRule="exact"/>
              <w:jc w:val="center"/>
              <w:rPr>
                <w:rFonts w:hint="eastAsia" w:ascii="Times New Roman" w:hAnsi="Times New Roman"/>
                <w:color w:val="auto"/>
                <w:szCs w:val="21"/>
              </w:rPr>
            </w:pPr>
          </w:p>
        </w:tc>
      </w:tr>
    </w:tbl>
    <w:p>
      <w:pPr>
        <w:pStyle w:val="146"/>
        <w:rPr>
          <w:rFonts w:ascii="Times New Roman" w:hAnsi="Times New Roman"/>
          <w:color w:val="auto"/>
        </w:rPr>
      </w:pPr>
    </w:p>
    <w:p>
      <w:pPr>
        <w:pStyle w:val="6"/>
        <w:spacing w:beforeLines="50" w:afterLines="50" w:line="400" w:lineRule="exact"/>
        <w:rPr>
          <w:rFonts w:ascii="Times New Roman" w:hAnsi="Times New Roman"/>
          <w:color w:val="auto"/>
        </w:rPr>
      </w:pPr>
      <w:bookmarkStart w:id="151" w:name="_Toc9078"/>
      <w:r>
        <w:rPr>
          <w:rFonts w:hint="eastAsia" w:ascii="Times New Roman" w:hAnsi="Times New Roman"/>
          <w:color w:val="auto"/>
        </w:rPr>
        <w:t>7.3监测布点图</w:t>
      </w:r>
      <w:bookmarkEnd w:id="146"/>
      <w:bookmarkEnd w:id="151"/>
    </w:p>
    <w:p>
      <w:pPr>
        <w:pStyle w:val="104"/>
        <w:ind w:firstLine="480"/>
        <w:rPr>
          <w:rFonts w:ascii="Times New Roman" w:hAnsi="Times New Roman"/>
          <w:b/>
          <w:color w:val="auto"/>
          <w:szCs w:val="21"/>
        </w:rPr>
        <w:sectPr>
          <w:pgSz w:w="11906" w:h="16838"/>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r>
        <w:rPr>
          <w:rFonts w:hint="eastAsia" w:ascii="Times New Roman" w:hAnsi="Times New Roman"/>
          <w:color w:val="auto"/>
        </w:rPr>
        <w:t>监测布点情况详见图7.3-1：</w:t>
      </w:r>
      <w:r>
        <w:rPr>
          <w:rFonts w:ascii="Times New Roman" w:hAnsi="Times New Roman"/>
          <w:b/>
          <w:color w:val="auto"/>
          <w:szCs w:val="21"/>
        </w:rPr>
        <w:t xml:space="preserve"> </w:t>
      </w:r>
    </w:p>
    <w:p>
      <w:pPr>
        <w:pStyle w:val="104"/>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ascii="Times New Roman" w:hAnsi="Times New Roman"/>
          <w:color w:val="auto"/>
        </w:rPr>
      </w:pPr>
      <w:r>
        <w:rPr>
          <w:rFonts w:ascii="Times New Roman" w:hAnsi="Times New Roman"/>
          <w:color w:val="auto"/>
          <w:sz w:val="24"/>
        </w:rPr>
        <mc:AlternateContent>
          <mc:Choice Requires="wps">
            <w:drawing>
              <wp:anchor distT="0" distB="0" distL="114300" distR="114300" simplePos="0" relativeHeight="251698176" behindDoc="0" locked="0" layoutInCell="1" allowOverlap="1">
                <wp:simplePos x="0" y="0"/>
                <wp:positionH relativeFrom="column">
                  <wp:posOffset>3024505</wp:posOffset>
                </wp:positionH>
                <wp:positionV relativeFrom="paragraph">
                  <wp:posOffset>535940</wp:posOffset>
                </wp:positionV>
                <wp:extent cx="571500" cy="495300"/>
                <wp:effectExtent l="0" t="0" r="0" b="0"/>
                <wp:wrapNone/>
                <wp:docPr id="65" name="文本框 1520"/>
                <wp:cNvGraphicFramePr/>
                <a:graphic xmlns:a="http://schemas.openxmlformats.org/drawingml/2006/main">
                  <a:graphicData uri="http://schemas.microsoft.com/office/word/2010/wordprocessingShape">
                    <wps:wsp>
                      <wps:cNvSpPr txBox="1"/>
                      <wps:spPr>
                        <a:xfrm>
                          <a:off x="0" y="0"/>
                          <a:ext cx="571500" cy="495300"/>
                        </a:xfrm>
                        <a:prstGeom prst="rect">
                          <a:avLst/>
                        </a:prstGeom>
                        <a:noFill/>
                        <a:ln>
                          <a:noFill/>
                        </a:ln>
                      </wps:spPr>
                      <wps:txbx>
                        <w:txbxContent>
                          <w:p>
                            <w:pPr>
                              <w:rPr>
                                <w:rFonts w:hint="default" w:ascii="Times New Roman" w:hAnsi="Times New Roman" w:eastAsia="宋体" w:cs="宋体"/>
                                <w:color w:val="FF0000"/>
                                <w:lang w:val="en-US" w:eastAsia="zh-CN"/>
                              </w:rPr>
                            </w:pPr>
                            <w:r>
                              <w:rPr>
                                <w:rFonts w:hint="eastAsia" w:ascii="Times New Roman" w:hAnsi="Times New Roman" w:eastAsia="宋体" w:cs="宋体"/>
                                <w:color w:val="FF0000"/>
                                <w:lang w:val="en-US" w:eastAsia="zh-CN"/>
                              </w:rPr>
                              <w:t>D2</w:t>
                            </w:r>
                          </w:p>
                        </w:txbxContent>
                      </wps:txbx>
                      <wps:bodyPr upright="1"/>
                    </wps:wsp>
                  </a:graphicData>
                </a:graphic>
              </wp:anchor>
            </w:drawing>
          </mc:Choice>
          <mc:Fallback>
            <w:pict>
              <v:shape id="文本框 1520" o:spid="_x0000_s1026" o:spt="202" type="#_x0000_t202" style="position:absolute;left:0pt;margin-left:238.15pt;margin-top:42.2pt;height:39pt;width:45pt;z-index:251698176;mso-width-relative:page;mso-height-relative:page;" filled="f" stroked="f" coordsize="21600,21600" o:gfxdata="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KmA+VDWAAAA&#10;CgEAAA8AAAAAAAAAAQAgAAAAIgAAAGRycy9kb3ducmV2LnhtbFBLAQIUABQAAAAIAIdO4kCJCF6j&#10;rQEAAFEDAAAOAAAAAAAAAAEAIAAAACUBAABkcnMvZTJvRG9jLnhtbFBLBQYAAAAABgAGAFkBAABE&#10;BQAAAAA=&#10;">
                <v:fill on="f" focussize="0,0"/>
                <v:stroke on="f"/>
                <v:imagedata o:title=""/>
                <o:lock v:ext="edit" aspectratio="f"/>
                <v:textbox>
                  <w:txbxContent>
                    <w:p>
                      <w:pPr>
                        <w:rPr>
                          <w:rFonts w:hint="default" w:ascii="Times New Roman" w:hAnsi="Times New Roman" w:eastAsia="宋体" w:cs="宋体"/>
                          <w:color w:val="FF0000"/>
                          <w:lang w:val="en-US" w:eastAsia="zh-CN"/>
                        </w:rPr>
                      </w:pPr>
                      <w:r>
                        <w:rPr>
                          <w:rFonts w:hint="eastAsia" w:ascii="Times New Roman" w:hAnsi="Times New Roman" w:eastAsia="宋体" w:cs="宋体"/>
                          <w:color w:val="FF0000"/>
                          <w:lang w:val="en-US" w:eastAsia="zh-CN"/>
                        </w:rPr>
                        <w:t>D2</w:t>
                      </w:r>
                    </w:p>
                  </w:txbxContent>
                </v:textbox>
              </v:shape>
            </w:pict>
          </mc:Fallback>
        </mc:AlternateContent>
      </w:r>
      <w:r>
        <w:rPr>
          <w:rFonts w:ascii="Times New Roman" w:hAnsi="Times New Roman"/>
          <w:color w:val="auto"/>
          <w:sz w:val="24"/>
        </w:rPr>
        <mc:AlternateContent>
          <mc:Choice Requires="wps">
            <w:drawing>
              <wp:anchor distT="0" distB="0" distL="114300" distR="114300" simplePos="0" relativeHeight="251696128" behindDoc="0" locked="0" layoutInCell="1" allowOverlap="1">
                <wp:simplePos x="0" y="0"/>
                <wp:positionH relativeFrom="column">
                  <wp:posOffset>3338830</wp:posOffset>
                </wp:positionH>
                <wp:positionV relativeFrom="paragraph">
                  <wp:posOffset>607695</wp:posOffset>
                </wp:positionV>
                <wp:extent cx="107950" cy="107950"/>
                <wp:effectExtent l="13970" t="15875" r="30480" b="28575"/>
                <wp:wrapNone/>
                <wp:docPr id="63" name="自选图形 1518"/>
                <wp:cNvGraphicFramePr/>
                <a:graphic xmlns:a="http://schemas.openxmlformats.org/drawingml/2006/main">
                  <a:graphicData uri="http://schemas.microsoft.com/office/word/2010/wordprocessingShape">
                    <wps:wsp>
                      <wps:cNvSpPr/>
                      <wps:spPr>
                        <a:xfrm>
                          <a:off x="0" y="0"/>
                          <a:ext cx="107950" cy="107950"/>
                        </a:xfrm>
                        <a:prstGeom prst="star5">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自选图形 1518" o:spid="_x0000_s1026" style="position:absolute;left:0pt;margin-left:262.9pt;margin-top:47.85pt;height:8.5pt;width:8.5pt;z-index:251696128;mso-width-relative:page;mso-height-relative:page;" fillcolor="#FF0000" filled="t" stroked="t" coordsize="107950,107950" o:gfxdata="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eJ9Nr9gAAAAKAQAADwAAAAAAAAABACAAAAAiAAAAZHJz&#10;L2Rvd25yZXYueG1sUEsBAhQAFAAAAAgAh07iQDtVDl8EAgAAKAQAAA4AAAAAAAAAAQAgAAAAJwEA&#10;AGRycy9lMm9Eb2MueG1sUEsFBgAAAAAGAAYAWQEAAJ0FAAAAAA==&#10;" path="m0,41233l41233,41233,53975,0,66716,41233,107949,41233,74591,66716,87333,107949,53975,82465,20616,107949,33358,66716xe">
                <v:path o:connectlocs="53975,0;0,41233;20616,107949;87333,107949;107949,41233" o:connectangles="247,164,82,82,0"/>
                <v:fill on="t" focussize="0,0"/>
                <v:stroke color="#FF0000" joinstyle="miter"/>
                <v:imagedata o:title=""/>
                <o:lock v:ext="edit" aspectratio="f"/>
              </v:shape>
            </w:pict>
          </mc:Fallback>
        </mc:AlternateContent>
      </w:r>
      <w:r>
        <w:rPr>
          <w:rFonts w:ascii="Times New Roman" w:hAnsi="Times New Roman"/>
          <w:color w:val="auto"/>
          <w:sz w:val="24"/>
        </w:rPr>
        <mc:AlternateContent>
          <mc:Choice Requires="wps">
            <w:drawing>
              <wp:anchor distT="0" distB="0" distL="114300" distR="114300" simplePos="0" relativeHeight="251702272" behindDoc="0" locked="0" layoutInCell="1" allowOverlap="1">
                <wp:simplePos x="0" y="0"/>
                <wp:positionH relativeFrom="column">
                  <wp:posOffset>1691005</wp:posOffset>
                </wp:positionH>
                <wp:positionV relativeFrom="paragraph">
                  <wp:posOffset>5066665</wp:posOffset>
                </wp:positionV>
                <wp:extent cx="107950" cy="107950"/>
                <wp:effectExtent l="13970" t="15875" r="30480" b="28575"/>
                <wp:wrapNone/>
                <wp:docPr id="69" name="自选图形 1524"/>
                <wp:cNvGraphicFramePr/>
                <a:graphic xmlns:a="http://schemas.openxmlformats.org/drawingml/2006/main">
                  <a:graphicData uri="http://schemas.microsoft.com/office/word/2010/wordprocessingShape">
                    <wps:wsp>
                      <wps:cNvSpPr/>
                      <wps:spPr>
                        <a:xfrm>
                          <a:off x="0" y="0"/>
                          <a:ext cx="107950" cy="107950"/>
                        </a:xfrm>
                        <a:prstGeom prst="star5">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自选图形 1524" o:spid="_x0000_s1026" style="position:absolute;left:0pt;margin-left:133.15pt;margin-top:398.95pt;height:8.5pt;width:8.5pt;z-index:251702272;mso-width-relative:page;mso-height-relative:page;" fillcolor="#FF0000" filled="t" stroked="t" coordsize="107950,107950" o:gfxdata="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FLlxx9sAAAALAQAADwAAAAAAAAABACAAAAAiAAAA&#10;ZHJzL2Rvd25yZXYueG1sUEsBAhQAFAAAAAgAh07iQPzpZHQEAgAAKAQAAA4AAAAAAAAAAQAgAAAA&#10;KgEAAGRycy9lMm9Eb2MueG1sUEsFBgAAAAAGAAYAWQEAAKAFAAAAAA==&#10;" path="m0,41233l41233,41233,53975,0,66716,41233,107949,41233,74591,66716,87333,107949,53975,82465,20616,107949,33358,66716xe">
                <v:path o:connectlocs="53975,0;0,41233;20616,107949;87333,107949;107949,41233" o:connectangles="247,164,82,82,0"/>
                <v:fill on="t" focussize="0,0"/>
                <v:stroke color="#FF0000" joinstyle="miter"/>
                <v:imagedata o:title=""/>
                <o:lock v:ext="edit" aspectratio="f"/>
              </v:shape>
            </w:pict>
          </mc:Fallback>
        </mc:AlternateContent>
      </w:r>
      <w:r>
        <w:rPr>
          <w:rFonts w:ascii="Times New Roman" w:hAnsi="Times New Roman"/>
          <w:color w:val="auto"/>
          <w:sz w:val="24"/>
        </w:rPr>
        <mc:AlternateContent>
          <mc:Choice Requires="wps">
            <w:drawing>
              <wp:anchor distT="0" distB="0" distL="114300" distR="114300" simplePos="0" relativeHeight="251701248" behindDoc="0" locked="0" layoutInCell="1" allowOverlap="1">
                <wp:simplePos x="0" y="0"/>
                <wp:positionH relativeFrom="column">
                  <wp:posOffset>1176655</wp:posOffset>
                </wp:positionH>
                <wp:positionV relativeFrom="paragraph">
                  <wp:posOffset>4780915</wp:posOffset>
                </wp:positionV>
                <wp:extent cx="3295650" cy="514985"/>
                <wp:effectExtent l="5080" t="4445" r="13970" b="13970"/>
                <wp:wrapNone/>
                <wp:docPr id="68" name="文本框 1523"/>
                <wp:cNvGraphicFramePr/>
                <a:graphic xmlns:a="http://schemas.openxmlformats.org/drawingml/2006/main">
                  <a:graphicData uri="http://schemas.microsoft.com/office/word/2010/wordprocessingShape">
                    <wps:wsp>
                      <wps:cNvSpPr txBox="1"/>
                      <wps:spPr>
                        <a:xfrm>
                          <a:off x="0" y="0"/>
                          <a:ext cx="3295650" cy="51498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left="843" w:hanging="843" w:hangingChars="400"/>
                              <w:rPr>
                                <w:rFonts w:hint="eastAsia" w:ascii="Times New Roman" w:hAnsi="Times New Roman" w:eastAsia="宋体" w:cs="Times New Roman"/>
                                <w:b/>
                                <w:szCs w:val="21"/>
                                <w:lang w:val="en-US" w:eastAsia="zh-CN"/>
                              </w:rPr>
                            </w:pPr>
                            <w:r>
                              <w:rPr>
                                <w:rFonts w:hint="eastAsia"/>
                                <w:b/>
                                <w:bCs/>
                                <w:lang w:val="en-US" w:eastAsia="zh-CN"/>
                              </w:rPr>
                              <w:t>图例：</w:t>
                            </w:r>
                            <w:r>
                              <w:rPr>
                                <w:rFonts w:hint="eastAsia" w:ascii="Times New Roman" w:hAnsi="Times New Roman" w:eastAsia="宋体" w:cs="Times New Roman"/>
                                <w:b/>
                                <w:szCs w:val="21"/>
                              </w:rPr>
                              <w:t>○无组织废气监测点；▲厂界噪声监测点；</w:t>
                            </w:r>
                            <w:r>
                              <w:rPr>
                                <w:rFonts w:hint="eastAsia" w:ascii="Times New Roman" w:hAnsi="Times New Roman" w:eastAsia="宋体" w:cs="Times New Roman"/>
                                <w:b/>
                                <w:szCs w:val="21"/>
                                <w:lang w:val="en-US" w:eastAsia="zh-CN"/>
                              </w:rPr>
                              <w:t xml:space="preserve">  </w:t>
                            </w:r>
                          </w:p>
                          <w:p>
                            <w:pPr>
                              <w:ind w:left="840" w:leftChars="400" w:firstLine="0" w:firstLineChars="0"/>
                              <w:rPr>
                                <w:rFonts w:hint="default" w:eastAsia="宋体"/>
                                <w:color w:val="FF0000"/>
                                <w:highlight w:val="none"/>
                                <w:lang w:val="en-US" w:eastAsia="zh-CN"/>
                              </w:rPr>
                            </w:pPr>
                            <w:r>
                              <w:rPr>
                                <w:rFonts w:hint="eastAsia" w:ascii="Times New Roman" w:hAnsi="Times New Roman" w:eastAsia="宋体" w:cs="Times New Roman"/>
                                <w:b/>
                                <w:color w:val="FF0000"/>
                                <w:szCs w:val="21"/>
                                <w:lang w:val="en-US" w:eastAsia="zh-CN"/>
                              </w:rPr>
                              <w:t>地下水监测点位</w:t>
                            </w:r>
                          </w:p>
                        </w:txbxContent>
                      </wps:txbx>
                      <wps:bodyPr upright="1"/>
                    </wps:wsp>
                  </a:graphicData>
                </a:graphic>
              </wp:anchor>
            </w:drawing>
          </mc:Choice>
          <mc:Fallback>
            <w:pict>
              <v:shape id="文本框 1523" o:spid="_x0000_s1026" o:spt="202" type="#_x0000_t202" style="position:absolute;left:0pt;margin-left:92.65pt;margin-top:376.45pt;height:40.55pt;width:259.5pt;z-index:251701248;mso-width-relative:page;mso-height-relative:page;" fillcolor="#FFFFFF" filled="t" stroked="t" coordsize="21600,21600" o:gfxdata="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RRlUX2QAAAAsBAAAPAAAAAAAAAAEA&#10;IAAAACIAAABkcnMvZG93bnJldi54bWxQSwECFAAUAAAACACHTuJAGpvLfQ4CAAA6BAAADgAAAAAA&#10;AAABACAAAAAoAQAAZHJzL2Uyb0RvYy54bWxQSwUGAAAAAAYABgBZAQAAqAUAAAAA&#10;">
                <v:fill on="t" focussize="0,0"/>
                <v:stroke color="#000000" joinstyle="miter"/>
                <v:imagedata o:title=""/>
                <o:lock v:ext="edit" aspectratio="f"/>
                <v:textbox>
                  <w:txbxContent>
                    <w:p>
                      <w:pPr>
                        <w:ind w:left="843" w:hanging="843" w:hangingChars="400"/>
                        <w:rPr>
                          <w:rFonts w:hint="eastAsia" w:ascii="Times New Roman" w:hAnsi="Times New Roman" w:eastAsia="宋体" w:cs="Times New Roman"/>
                          <w:b/>
                          <w:szCs w:val="21"/>
                          <w:lang w:val="en-US" w:eastAsia="zh-CN"/>
                        </w:rPr>
                      </w:pPr>
                      <w:r>
                        <w:rPr>
                          <w:rFonts w:hint="eastAsia"/>
                          <w:b/>
                          <w:bCs/>
                          <w:lang w:val="en-US" w:eastAsia="zh-CN"/>
                        </w:rPr>
                        <w:t>图例：</w:t>
                      </w:r>
                      <w:r>
                        <w:rPr>
                          <w:rFonts w:hint="eastAsia" w:ascii="Times New Roman" w:hAnsi="Times New Roman" w:eastAsia="宋体" w:cs="Times New Roman"/>
                          <w:b/>
                          <w:szCs w:val="21"/>
                        </w:rPr>
                        <w:t>○无组织废气监测点；▲厂界噪声监测点；</w:t>
                      </w:r>
                      <w:r>
                        <w:rPr>
                          <w:rFonts w:hint="eastAsia" w:ascii="Times New Roman" w:hAnsi="Times New Roman" w:eastAsia="宋体" w:cs="Times New Roman"/>
                          <w:b/>
                          <w:szCs w:val="21"/>
                          <w:lang w:val="en-US" w:eastAsia="zh-CN"/>
                        </w:rPr>
                        <w:t xml:space="preserve">  </w:t>
                      </w:r>
                    </w:p>
                    <w:p>
                      <w:pPr>
                        <w:ind w:left="840" w:leftChars="400" w:firstLine="0" w:firstLineChars="0"/>
                        <w:rPr>
                          <w:rFonts w:hint="default" w:eastAsia="宋体"/>
                          <w:color w:val="FF0000"/>
                          <w:highlight w:val="none"/>
                          <w:lang w:val="en-US" w:eastAsia="zh-CN"/>
                        </w:rPr>
                      </w:pPr>
                      <w:r>
                        <w:rPr>
                          <w:rFonts w:hint="eastAsia" w:ascii="Times New Roman" w:hAnsi="Times New Roman" w:eastAsia="宋体" w:cs="Times New Roman"/>
                          <w:b/>
                          <w:color w:val="FF0000"/>
                          <w:szCs w:val="21"/>
                          <w:lang w:val="en-US" w:eastAsia="zh-CN"/>
                        </w:rPr>
                        <w:t>地下水监测点位</w:t>
                      </w:r>
                    </w:p>
                  </w:txbxContent>
                </v:textbox>
              </v:shape>
            </w:pict>
          </mc:Fallback>
        </mc:AlternateContent>
      </w:r>
      <w:r>
        <w:rPr>
          <w:rFonts w:ascii="Times New Roman" w:hAnsi="Times New Roman"/>
          <w:color w:val="auto"/>
          <w:sz w:val="24"/>
        </w:rPr>
        <mc:AlternateContent>
          <mc:Choice Requires="wps">
            <w:drawing>
              <wp:anchor distT="0" distB="0" distL="114300" distR="114300" simplePos="0" relativeHeight="251700224" behindDoc="0" locked="0" layoutInCell="1" allowOverlap="1">
                <wp:simplePos x="0" y="0"/>
                <wp:positionH relativeFrom="column">
                  <wp:posOffset>1633855</wp:posOffset>
                </wp:positionH>
                <wp:positionV relativeFrom="paragraph">
                  <wp:posOffset>3860165</wp:posOffset>
                </wp:positionV>
                <wp:extent cx="571500" cy="495300"/>
                <wp:effectExtent l="0" t="0" r="0" b="0"/>
                <wp:wrapNone/>
                <wp:docPr id="67" name="文本框 1522"/>
                <wp:cNvGraphicFramePr/>
                <a:graphic xmlns:a="http://schemas.openxmlformats.org/drawingml/2006/main">
                  <a:graphicData uri="http://schemas.microsoft.com/office/word/2010/wordprocessingShape">
                    <wps:wsp>
                      <wps:cNvSpPr txBox="1"/>
                      <wps:spPr>
                        <a:xfrm>
                          <a:off x="0" y="0"/>
                          <a:ext cx="571500" cy="495300"/>
                        </a:xfrm>
                        <a:prstGeom prst="rect">
                          <a:avLst/>
                        </a:prstGeom>
                        <a:noFill/>
                        <a:ln>
                          <a:noFill/>
                        </a:ln>
                      </wps:spPr>
                      <wps:txbx>
                        <w:txbxContent>
                          <w:p>
                            <w:pPr>
                              <w:rPr>
                                <w:rFonts w:hint="default" w:ascii="Times New Roman" w:hAnsi="Times New Roman" w:eastAsia="宋体" w:cs="宋体"/>
                                <w:color w:val="FF0000"/>
                                <w:lang w:val="en-US" w:eastAsia="zh-CN"/>
                              </w:rPr>
                            </w:pPr>
                            <w:r>
                              <w:rPr>
                                <w:rFonts w:hint="eastAsia" w:ascii="Times New Roman" w:hAnsi="Times New Roman" w:eastAsia="宋体" w:cs="宋体"/>
                                <w:color w:val="FF0000"/>
                                <w:lang w:val="en-US" w:eastAsia="zh-CN"/>
                              </w:rPr>
                              <w:t>D5</w:t>
                            </w:r>
                          </w:p>
                        </w:txbxContent>
                      </wps:txbx>
                      <wps:bodyPr upright="1"/>
                    </wps:wsp>
                  </a:graphicData>
                </a:graphic>
              </wp:anchor>
            </w:drawing>
          </mc:Choice>
          <mc:Fallback>
            <w:pict>
              <v:shape id="文本框 1522" o:spid="_x0000_s1026" o:spt="202" type="#_x0000_t202" style="position:absolute;left:0pt;margin-left:128.65pt;margin-top:303.95pt;height:39pt;width:45pt;z-index:251700224;mso-width-relative:page;mso-height-relative:page;" filled="f" stroked="f" coordsize="21600,21600" o:gfxdata="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SwvrT&#10;2AAAAAsBAAAPAAAAAAAAAAEAIAAAACIAAABkcnMvZG93bnJldi54bWxQSwECFAAUAAAACACHTuJA&#10;Oqldl68BAABRAwAADgAAAAAAAAABACAAAAAnAQAAZHJzL2Uyb0RvYy54bWxQSwUGAAAAAAYABgBZ&#10;AQAASAUAAAAA&#10;">
                <v:fill on="f" focussize="0,0"/>
                <v:stroke on="f"/>
                <v:imagedata o:title=""/>
                <o:lock v:ext="edit" aspectratio="f"/>
                <v:textbox>
                  <w:txbxContent>
                    <w:p>
                      <w:pPr>
                        <w:rPr>
                          <w:rFonts w:hint="default" w:ascii="Times New Roman" w:hAnsi="Times New Roman" w:eastAsia="宋体" w:cs="宋体"/>
                          <w:color w:val="FF0000"/>
                          <w:lang w:val="en-US" w:eastAsia="zh-CN"/>
                        </w:rPr>
                      </w:pPr>
                      <w:r>
                        <w:rPr>
                          <w:rFonts w:hint="eastAsia" w:ascii="Times New Roman" w:hAnsi="Times New Roman" w:eastAsia="宋体" w:cs="宋体"/>
                          <w:color w:val="FF0000"/>
                          <w:lang w:val="en-US" w:eastAsia="zh-CN"/>
                        </w:rPr>
                        <w:t>D5</w:t>
                      </w:r>
                    </w:p>
                  </w:txbxContent>
                </v:textbox>
              </v:shape>
            </w:pict>
          </mc:Fallback>
        </mc:AlternateContent>
      </w:r>
      <w:r>
        <w:rPr>
          <w:rFonts w:ascii="Times New Roman" w:hAnsi="Times New Roman"/>
          <w:color w:val="auto"/>
          <w:sz w:val="24"/>
        </w:rPr>
        <mc:AlternateContent>
          <mc:Choice Requires="wps">
            <w:drawing>
              <wp:anchor distT="0" distB="0" distL="114300" distR="114300" simplePos="0" relativeHeight="251699200" behindDoc="0" locked="0" layoutInCell="1" allowOverlap="1">
                <wp:simplePos x="0" y="0"/>
                <wp:positionH relativeFrom="column">
                  <wp:posOffset>1881505</wp:posOffset>
                </wp:positionH>
                <wp:positionV relativeFrom="paragraph">
                  <wp:posOffset>3650615</wp:posOffset>
                </wp:positionV>
                <wp:extent cx="571500" cy="495300"/>
                <wp:effectExtent l="0" t="0" r="0" b="0"/>
                <wp:wrapNone/>
                <wp:docPr id="66" name="文本框 1521"/>
                <wp:cNvGraphicFramePr/>
                <a:graphic xmlns:a="http://schemas.openxmlformats.org/drawingml/2006/main">
                  <a:graphicData uri="http://schemas.microsoft.com/office/word/2010/wordprocessingShape">
                    <wps:wsp>
                      <wps:cNvSpPr txBox="1"/>
                      <wps:spPr>
                        <a:xfrm>
                          <a:off x="0" y="0"/>
                          <a:ext cx="571500" cy="495300"/>
                        </a:xfrm>
                        <a:prstGeom prst="rect">
                          <a:avLst/>
                        </a:prstGeom>
                        <a:noFill/>
                        <a:ln>
                          <a:noFill/>
                        </a:ln>
                      </wps:spPr>
                      <wps:txbx>
                        <w:txbxContent>
                          <w:p>
                            <w:pPr>
                              <w:rPr>
                                <w:rFonts w:hint="default" w:ascii="Times New Roman" w:hAnsi="Times New Roman" w:eastAsia="宋体" w:cs="宋体"/>
                                <w:color w:val="FF0000"/>
                                <w:lang w:val="en-US" w:eastAsia="zh-CN"/>
                              </w:rPr>
                            </w:pPr>
                            <w:r>
                              <w:rPr>
                                <w:rFonts w:hint="eastAsia" w:ascii="Times New Roman" w:hAnsi="Times New Roman" w:eastAsia="宋体" w:cs="宋体"/>
                                <w:color w:val="FF0000"/>
                                <w:lang w:val="en-US" w:eastAsia="zh-CN"/>
                              </w:rPr>
                              <w:t>D4</w:t>
                            </w:r>
                          </w:p>
                        </w:txbxContent>
                      </wps:txbx>
                      <wps:bodyPr upright="1"/>
                    </wps:wsp>
                  </a:graphicData>
                </a:graphic>
              </wp:anchor>
            </w:drawing>
          </mc:Choice>
          <mc:Fallback>
            <w:pict>
              <v:shape id="文本框 1521" o:spid="_x0000_s1026" o:spt="202" type="#_x0000_t202" style="position:absolute;left:0pt;margin-left:148.15pt;margin-top:287.45pt;height:39pt;width:45pt;z-index:251699200;mso-width-relative:page;mso-height-relative:page;" filled="f" stroked="f" coordsize="21600,21600" o:gfxdata="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BS/UfM&#10;2AAAAAsBAAAPAAAAAAAAAAEAIAAAACIAAABkcnMvZG93bnJldi54bWxQSwECFAAUAAAACACHTuJA&#10;30233q8BAABRAwAADgAAAAAAAAABACAAAAAnAQAAZHJzL2Uyb0RvYy54bWxQSwUGAAAAAAYABgBZ&#10;AQAASAUAAAAA&#10;">
                <v:fill on="f" focussize="0,0"/>
                <v:stroke on="f"/>
                <v:imagedata o:title=""/>
                <o:lock v:ext="edit" aspectratio="f"/>
                <v:textbox>
                  <w:txbxContent>
                    <w:p>
                      <w:pPr>
                        <w:rPr>
                          <w:rFonts w:hint="default" w:ascii="Times New Roman" w:hAnsi="Times New Roman" w:eastAsia="宋体" w:cs="宋体"/>
                          <w:color w:val="FF0000"/>
                          <w:lang w:val="en-US" w:eastAsia="zh-CN"/>
                        </w:rPr>
                      </w:pPr>
                      <w:r>
                        <w:rPr>
                          <w:rFonts w:hint="eastAsia" w:ascii="Times New Roman" w:hAnsi="Times New Roman" w:eastAsia="宋体" w:cs="宋体"/>
                          <w:color w:val="FF0000"/>
                          <w:lang w:val="en-US" w:eastAsia="zh-CN"/>
                        </w:rPr>
                        <w:t>D4</w:t>
                      </w:r>
                    </w:p>
                  </w:txbxContent>
                </v:textbox>
              </v:shape>
            </w:pict>
          </mc:Fallback>
        </mc:AlternateContent>
      </w:r>
      <w:r>
        <w:rPr>
          <w:rFonts w:ascii="Times New Roman" w:hAnsi="Times New Roman"/>
          <w:color w:val="auto"/>
          <w:sz w:val="24"/>
        </w:rPr>
        <mc:AlternateContent>
          <mc:Choice Requires="wps">
            <w:drawing>
              <wp:anchor distT="0" distB="0" distL="114300" distR="114300" simplePos="0" relativeHeight="251697152" behindDoc="0" locked="0" layoutInCell="1" allowOverlap="1">
                <wp:simplePos x="0" y="0"/>
                <wp:positionH relativeFrom="column">
                  <wp:posOffset>5701030</wp:posOffset>
                </wp:positionH>
                <wp:positionV relativeFrom="paragraph">
                  <wp:posOffset>3793490</wp:posOffset>
                </wp:positionV>
                <wp:extent cx="571500" cy="495300"/>
                <wp:effectExtent l="0" t="0" r="0" b="0"/>
                <wp:wrapNone/>
                <wp:docPr id="64" name="文本框 1519"/>
                <wp:cNvGraphicFramePr/>
                <a:graphic xmlns:a="http://schemas.openxmlformats.org/drawingml/2006/main">
                  <a:graphicData uri="http://schemas.microsoft.com/office/word/2010/wordprocessingShape">
                    <wps:wsp>
                      <wps:cNvSpPr txBox="1"/>
                      <wps:spPr>
                        <a:xfrm>
                          <a:off x="0" y="0"/>
                          <a:ext cx="571500" cy="495300"/>
                        </a:xfrm>
                        <a:prstGeom prst="rect">
                          <a:avLst/>
                        </a:prstGeom>
                        <a:noFill/>
                        <a:ln>
                          <a:noFill/>
                        </a:ln>
                      </wps:spPr>
                      <wps:txbx>
                        <w:txbxContent>
                          <w:p>
                            <w:pPr>
                              <w:rPr>
                                <w:rFonts w:hint="default" w:ascii="Times New Roman" w:hAnsi="Times New Roman" w:eastAsia="宋体" w:cs="宋体"/>
                                <w:color w:val="FF0000"/>
                                <w:lang w:val="en-US" w:eastAsia="zh-CN"/>
                              </w:rPr>
                            </w:pPr>
                            <w:r>
                              <w:rPr>
                                <w:rFonts w:hint="eastAsia" w:ascii="Times New Roman" w:hAnsi="Times New Roman" w:eastAsia="宋体" w:cs="宋体"/>
                                <w:color w:val="FF0000"/>
                                <w:lang w:val="en-US" w:eastAsia="zh-CN"/>
                              </w:rPr>
                              <w:t>D3</w:t>
                            </w:r>
                          </w:p>
                        </w:txbxContent>
                      </wps:txbx>
                      <wps:bodyPr upright="1"/>
                    </wps:wsp>
                  </a:graphicData>
                </a:graphic>
              </wp:anchor>
            </w:drawing>
          </mc:Choice>
          <mc:Fallback>
            <w:pict>
              <v:shape id="文本框 1519" o:spid="_x0000_s1026" o:spt="202" type="#_x0000_t202" style="position:absolute;left:0pt;margin-left:448.9pt;margin-top:298.7pt;height:39pt;width:45pt;z-index:251697152;mso-width-relative:page;mso-height-relative:page;" filled="f" stroked="f" coordsize="21600,21600" o:gfxdata="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dK2w&#10;J9gAAAALAQAADwAAAAAAAAABACAAAAAiAAAAZHJzL2Rvd25yZXYueG1sUEsBAhQAFAAAAAgAh07i&#10;QMcF2t6wAQAAUQMAAA4AAAAAAAAAAQAgAAAAJwEAAGRycy9lMm9Eb2MueG1sUEsFBgAAAAAGAAYA&#10;WQEAAEkFAAAAAA==&#10;">
                <v:fill on="f" focussize="0,0"/>
                <v:stroke on="f"/>
                <v:imagedata o:title=""/>
                <o:lock v:ext="edit" aspectratio="f"/>
                <v:textbox>
                  <w:txbxContent>
                    <w:p>
                      <w:pPr>
                        <w:rPr>
                          <w:rFonts w:hint="default" w:ascii="Times New Roman" w:hAnsi="Times New Roman" w:eastAsia="宋体" w:cs="宋体"/>
                          <w:color w:val="FF0000"/>
                          <w:lang w:val="en-US" w:eastAsia="zh-CN"/>
                        </w:rPr>
                      </w:pPr>
                      <w:r>
                        <w:rPr>
                          <w:rFonts w:hint="eastAsia" w:ascii="Times New Roman" w:hAnsi="Times New Roman" w:eastAsia="宋体" w:cs="宋体"/>
                          <w:color w:val="FF0000"/>
                          <w:lang w:val="en-US" w:eastAsia="zh-CN"/>
                        </w:rPr>
                        <w:t>D3</w:t>
                      </w:r>
                    </w:p>
                  </w:txbxContent>
                </v:textbox>
              </v:shape>
            </w:pict>
          </mc:Fallback>
        </mc:AlternateContent>
      </w:r>
      <w:r>
        <w:rPr>
          <w:rFonts w:ascii="Times New Roman" w:hAnsi="Times New Roman"/>
          <w:color w:val="auto"/>
          <w:sz w:val="24"/>
        </w:rPr>
        <mc:AlternateContent>
          <mc:Choice Requires="wps">
            <w:drawing>
              <wp:anchor distT="0" distB="0" distL="114300" distR="114300" simplePos="0" relativeHeight="251693056" behindDoc="0" locked="0" layoutInCell="1" allowOverlap="1">
                <wp:simplePos x="0" y="0"/>
                <wp:positionH relativeFrom="column">
                  <wp:posOffset>1900555</wp:posOffset>
                </wp:positionH>
                <wp:positionV relativeFrom="paragraph">
                  <wp:posOffset>3941445</wp:posOffset>
                </wp:positionV>
                <wp:extent cx="107950" cy="107950"/>
                <wp:effectExtent l="13970" t="15875" r="30480" b="28575"/>
                <wp:wrapNone/>
                <wp:docPr id="60" name="自选图形 1515"/>
                <wp:cNvGraphicFramePr/>
                <a:graphic xmlns:a="http://schemas.openxmlformats.org/drawingml/2006/main">
                  <a:graphicData uri="http://schemas.microsoft.com/office/word/2010/wordprocessingShape">
                    <wps:wsp>
                      <wps:cNvSpPr/>
                      <wps:spPr>
                        <a:xfrm>
                          <a:off x="0" y="0"/>
                          <a:ext cx="107950" cy="107950"/>
                        </a:xfrm>
                        <a:prstGeom prst="star5">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自选图形 1515" o:spid="_x0000_s1026" style="position:absolute;left:0pt;margin-left:149.65pt;margin-top:310.35pt;height:8.5pt;width:8.5pt;z-index:251693056;mso-width-relative:page;mso-height-relative:page;" fillcolor="#FF0000" filled="t" stroked="t" coordsize="107950,107950" o:gfxdata="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&#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WEGsSNkAAAALAQAADwAAAAAAAAABACAAAAAiAAAAZHJz&#10;L2Rvd25yZXYueG1sUEsBAhQAFAAAAAgAh07iQH9FSckDAgAAKAQAAA4AAAAAAAAAAQAgAAAAKAEA&#10;AGRycy9lMm9Eb2MueG1sUEsFBgAAAAAGAAYAWQEAAJ0FAAAAAA==&#10;" path="m0,41233l41233,41233,53975,0,66716,41233,107949,41233,74591,66716,87333,107949,53975,82465,20616,107949,33358,66716xe">
                <v:path o:connectlocs="53975,0;0,41233;20616,107949;87333,107949;107949,41233" o:connectangles="247,164,82,82,0"/>
                <v:fill on="t" focussize="0,0"/>
                <v:stroke color="#FF0000" joinstyle="miter"/>
                <v:imagedata o:title=""/>
                <o:lock v:ext="edit" aspectratio="f"/>
              </v:shape>
            </w:pict>
          </mc:Fallback>
        </mc:AlternateContent>
      </w:r>
      <w:r>
        <w:rPr>
          <w:rFonts w:ascii="Times New Roman" w:hAnsi="Times New Roman"/>
          <w:color w:val="auto"/>
          <w:sz w:val="24"/>
        </w:rPr>
        <mc:AlternateContent>
          <mc:Choice Requires="wps">
            <w:drawing>
              <wp:anchor distT="0" distB="0" distL="114300" distR="114300" simplePos="0" relativeHeight="251694080" behindDoc="0" locked="0" layoutInCell="1" allowOverlap="1">
                <wp:simplePos x="0" y="0"/>
                <wp:positionH relativeFrom="column">
                  <wp:posOffset>2129155</wp:posOffset>
                </wp:positionH>
                <wp:positionV relativeFrom="paragraph">
                  <wp:posOffset>3817620</wp:posOffset>
                </wp:positionV>
                <wp:extent cx="107950" cy="107950"/>
                <wp:effectExtent l="13970" t="15875" r="30480" b="28575"/>
                <wp:wrapNone/>
                <wp:docPr id="61" name="自选图形 1516"/>
                <wp:cNvGraphicFramePr/>
                <a:graphic xmlns:a="http://schemas.openxmlformats.org/drawingml/2006/main">
                  <a:graphicData uri="http://schemas.microsoft.com/office/word/2010/wordprocessingShape">
                    <wps:wsp>
                      <wps:cNvSpPr/>
                      <wps:spPr>
                        <a:xfrm>
                          <a:off x="0" y="0"/>
                          <a:ext cx="107950" cy="107950"/>
                        </a:xfrm>
                        <a:prstGeom prst="star5">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自选图形 1516" o:spid="_x0000_s1026" style="position:absolute;left:0pt;margin-left:167.65pt;margin-top:300.6pt;height:8.5pt;width:8.5pt;z-index:251694080;mso-width-relative:page;mso-height-relative:page;" fillcolor="#FF0000" filled="t" stroked="t" coordsize="107950,107950" o:gfxdata="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KhLT99kAAAALAQAADwAAAAAAAAABACAAAAAiAAAAZHJz&#10;L2Rvd25yZXYueG1sUEsBAhQAFAAAAAgAh07iQFtcRG8DAgAAKAQAAA4AAAAAAAAAAQAgAAAAKAEA&#10;AGRycy9lMm9Eb2MueG1sUEsFBgAAAAAGAAYAWQEAAJ0FAAAAAA==&#10;" path="m0,41233l41233,41233,53975,0,66716,41233,107949,41233,74591,66716,87333,107949,53975,82465,20616,107949,33358,66716xe">
                <v:path o:connectlocs="53975,0;0,41233;20616,107949;87333,107949;107949,41233" o:connectangles="247,164,82,82,0"/>
                <v:fill on="t" focussize="0,0"/>
                <v:stroke color="#FF0000" joinstyle="miter"/>
                <v:imagedata o:title=""/>
                <o:lock v:ext="edit" aspectratio="f"/>
              </v:shape>
            </w:pict>
          </mc:Fallback>
        </mc:AlternateContent>
      </w:r>
      <w:r>
        <w:rPr>
          <w:rFonts w:ascii="Times New Roman" w:hAnsi="Times New Roman"/>
          <w:color w:val="auto"/>
          <w:sz w:val="24"/>
        </w:rPr>
        <mc:AlternateContent>
          <mc:Choice Requires="wps">
            <w:drawing>
              <wp:anchor distT="0" distB="0" distL="114300" distR="114300" simplePos="0" relativeHeight="251695104" behindDoc="0" locked="0" layoutInCell="1" allowOverlap="1">
                <wp:simplePos x="0" y="0"/>
                <wp:positionH relativeFrom="column">
                  <wp:posOffset>5662930</wp:posOffset>
                </wp:positionH>
                <wp:positionV relativeFrom="paragraph">
                  <wp:posOffset>3874770</wp:posOffset>
                </wp:positionV>
                <wp:extent cx="107950" cy="107950"/>
                <wp:effectExtent l="13970" t="15875" r="30480" b="28575"/>
                <wp:wrapNone/>
                <wp:docPr id="62" name="自选图形 1517"/>
                <wp:cNvGraphicFramePr/>
                <a:graphic xmlns:a="http://schemas.openxmlformats.org/drawingml/2006/main">
                  <a:graphicData uri="http://schemas.microsoft.com/office/word/2010/wordprocessingShape">
                    <wps:wsp>
                      <wps:cNvSpPr/>
                      <wps:spPr>
                        <a:xfrm>
                          <a:off x="0" y="0"/>
                          <a:ext cx="107950" cy="107950"/>
                        </a:xfrm>
                        <a:prstGeom prst="star5">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自选图形 1517" o:spid="_x0000_s1026" style="position:absolute;left:0pt;margin-left:445.9pt;margin-top:305.1pt;height:8.5pt;width:8.5pt;z-index:251695104;mso-width-relative:page;mso-height-relative:page;" fillcolor="#FF0000" filled="t" stroked="t" coordsize="107950,107950" o:gfxdata="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&#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I2CYOPZAAAACwEAAA8AAAAAAAAAAQAgAAAAIgAAAGRy&#10;cy9kb3ducmV2LnhtbFBLAQIUABQAAAAIAIdO4kDibArgBAIAACgEAAAOAAAAAAAAAAEAIAAAACgB&#10;AABkcnMvZTJvRG9jLnhtbFBLBQYAAAAABgAGAFkBAACeBQAAAAA=&#10;" path="m0,41233l41233,41233,53975,0,66716,41233,107949,41233,74591,66716,87333,107949,53975,82465,20616,107949,33358,66716xe">
                <v:path o:connectlocs="53975,0;0,41233;20616,107949;87333,107949;107949,41233" o:connectangles="247,164,82,82,0"/>
                <v:fill on="t" focussize="0,0"/>
                <v:stroke color="#FF0000" joinstyle="miter"/>
                <v:imagedata o:title=""/>
                <o:lock v:ext="edit" aspectratio="f"/>
              </v:shape>
            </w:pict>
          </mc:Fallback>
        </mc:AlternateContent>
      </w:r>
      <w:r>
        <w:rPr>
          <w:rFonts w:ascii="Times New Roman" w:hAnsi="Times New Roman"/>
          <w:color w:val="auto"/>
          <w:sz w:val="24"/>
        </w:rPr>
        <mc:AlternateContent>
          <mc:Choice Requires="wps">
            <w:drawing>
              <wp:anchor distT="0" distB="0" distL="114300" distR="114300" simplePos="0" relativeHeight="251663360" behindDoc="0" locked="0" layoutInCell="1" allowOverlap="1">
                <wp:simplePos x="0" y="0"/>
                <wp:positionH relativeFrom="column">
                  <wp:posOffset>5405755</wp:posOffset>
                </wp:positionH>
                <wp:positionV relativeFrom="paragraph">
                  <wp:posOffset>1503045</wp:posOffset>
                </wp:positionV>
                <wp:extent cx="107950" cy="107950"/>
                <wp:effectExtent l="13970" t="15875" r="30480" b="28575"/>
                <wp:wrapNone/>
                <wp:docPr id="3" name="自选图形 1509"/>
                <wp:cNvGraphicFramePr/>
                <a:graphic xmlns:a="http://schemas.openxmlformats.org/drawingml/2006/main">
                  <a:graphicData uri="http://schemas.microsoft.com/office/word/2010/wordprocessingShape">
                    <wps:wsp>
                      <wps:cNvSpPr/>
                      <wps:spPr>
                        <a:xfrm>
                          <a:off x="0" y="0"/>
                          <a:ext cx="107950" cy="107950"/>
                        </a:xfrm>
                        <a:prstGeom prst="star5">
                          <a:avLst/>
                        </a:prstGeom>
                        <a:solidFill>
                          <a:srgbClr val="FF0000"/>
                        </a:solidFill>
                        <a:ln w="9525" cap="flat" cmpd="sng">
                          <a:solidFill>
                            <a:srgbClr val="FF0000"/>
                          </a:solidFill>
                          <a:prstDash val="solid"/>
                          <a:miter/>
                          <a:headEnd type="none" w="med" len="med"/>
                          <a:tailEnd type="none" w="med" len="med"/>
                        </a:ln>
                      </wps:spPr>
                      <wps:txbx>
                        <w:txbxContent>
                          <w:p/>
                        </w:txbxContent>
                      </wps:txbx>
                      <wps:bodyPr upright="1"/>
                    </wps:wsp>
                  </a:graphicData>
                </a:graphic>
              </wp:anchor>
            </w:drawing>
          </mc:Choice>
          <mc:Fallback>
            <w:pict>
              <v:shape id="自选图形 1509" o:spid="_x0000_s1026" style="position:absolute;left:0pt;margin-left:425.65pt;margin-top:118.35pt;height:8.5pt;width:8.5pt;z-index:251663360;mso-width-relative:page;mso-height-relative:page;" fillcolor="#FF0000" filled="t" stroked="t" coordsize="107950,107950" o:gfxdata="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2F3Tt2QAAAAsBAAAPAAAAAAAAAAEAIAAAACIA&#10;AABkcnMvZG93bnJldi54bWxQSwECFAAUAAAACACHTuJAywrEfggCAAAyBAAADgAAAAAAAAABACAA&#10;AAAoAQAAZHJzL2Uyb0RvYy54bWxQSwUGAAAAAAYABgBZAQAAogUAAAAA&#10;" path="m0,41233l41233,41233,53975,0,66716,41233,107949,41233,74591,66716,87333,107949,53975,82465,20616,107949,33358,66716xe">
                <v:path textboxrect="0,0,107950,107950" o:connectlocs="53975,0;0,41233;20616,107949;87333,107949;107949,41233" o:connectangles="247,164,82,82,0"/>
                <v:fill on="t" focussize="0,0"/>
                <v:stroke color="#FF0000" joinstyle="miter"/>
                <v:imagedata o:title=""/>
                <o:lock v:ext="edit" aspectratio="f"/>
                <v:textbox>
                  <w:txbxContent>
                    <w:p/>
                  </w:txbxContent>
                </v:textbox>
              </v:shape>
            </w:pict>
          </mc:Fallback>
        </mc:AlternateContent>
      </w:r>
      <w:r>
        <w:rPr>
          <w:rFonts w:ascii="Times New Roman" w:hAnsi="Times New Roman"/>
          <w:color w:val="auto"/>
          <w:sz w:val="24"/>
        </w:rPr>
        <mc:AlternateContent>
          <mc:Choice Requires="wps">
            <w:drawing>
              <wp:anchor distT="0" distB="0" distL="114300" distR="114300" simplePos="0" relativeHeight="251692032" behindDoc="0" locked="0" layoutInCell="1" allowOverlap="1">
                <wp:simplePos x="0" y="0"/>
                <wp:positionH relativeFrom="column">
                  <wp:posOffset>5472430</wp:posOffset>
                </wp:positionH>
                <wp:positionV relativeFrom="paragraph">
                  <wp:posOffset>1393190</wp:posOffset>
                </wp:positionV>
                <wp:extent cx="571500" cy="495300"/>
                <wp:effectExtent l="0" t="0" r="0" b="0"/>
                <wp:wrapNone/>
                <wp:docPr id="59" name="文本框 1510"/>
                <wp:cNvGraphicFramePr/>
                <a:graphic xmlns:a="http://schemas.openxmlformats.org/drawingml/2006/main">
                  <a:graphicData uri="http://schemas.microsoft.com/office/word/2010/wordprocessingShape">
                    <wps:wsp>
                      <wps:cNvSpPr txBox="1"/>
                      <wps:spPr>
                        <a:xfrm>
                          <a:off x="0" y="0"/>
                          <a:ext cx="571500" cy="495300"/>
                        </a:xfrm>
                        <a:prstGeom prst="rect">
                          <a:avLst/>
                        </a:prstGeom>
                        <a:noFill/>
                        <a:ln>
                          <a:noFill/>
                        </a:ln>
                      </wps:spPr>
                      <wps:txbx>
                        <w:txbxContent>
                          <w:p>
                            <w:pPr>
                              <w:rPr>
                                <w:rFonts w:hint="default" w:ascii="Times New Roman" w:hAnsi="Times New Roman" w:eastAsia="宋体" w:cs="宋体"/>
                                <w:color w:val="FF0000"/>
                                <w:lang w:val="en-US" w:eastAsia="zh-CN"/>
                              </w:rPr>
                            </w:pPr>
                            <w:r>
                              <w:rPr>
                                <w:rFonts w:hint="eastAsia" w:ascii="Times New Roman" w:hAnsi="Times New Roman" w:eastAsia="宋体" w:cs="宋体"/>
                                <w:color w:val="FF0000"/>
                                <w:lang w:val="en-US" w:eastAsia="zh-CN"/>
                              </w:rPr>
                              <w:t>D1</w:t>
                            </w:r>
                          </w:p>
                        </w:txbxContent>
                      </wps:txbx>
                      <wps:bodyPr upright="1"/>
                    </wps:wsp>
                  </a:graphicData>
                </a:graphic>
              </wp:anchor>
            </w:drawing>
          </mc:Choice>
          <mc:Fallback>
            <w:pict>
              <v:shape id="文本框 1510" o:spid="_x0000_s1026" o:spt="202" type="#_x0000_t202" style="position:absolute;left:0pt;margin-left:430.9pt;margin-top:109.7pt;height:39pt;width:45pt;z-index:251692032;mso-width-relative:page;mso-height-relative:page;" filled="f" stroked="f" coordsize="21600,21600" o:gfxdata="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1mA/49cA&#10;AAALAQAADwAAAAAAAAABACAAAAAiAAAAZHJzL2Rvd25yZXYueG1sUEsBAhQAFAAAAAgAh07iQJVh&#10;lr6uAQAAUQMAAA4AAAAAAAAAAQAgAAAAJgEAAGRycy9lMm9Eb2MueG1sUEsFBgAAAAAGAAYAWQEA&#10;AEYFAAAAAA==&#10;">
                <v:fill on="f" focussize="0,0"/>
                <v:stroke on="f"/>
                <v:imagedata o:title=""/>
                <o:lock v:ext="edit" aspectratio="f"/>
                <v:textbox>
                  <w:txbxContent>
                    <w:p>
                      <w:pPr>
                        <w:rPr>
                          <w:rFonts w:hint="default" w:ascii="Times New Roman" w:hAnsi="Times New Roman" w:eastAsia="宋体" w:cs="宋体"/>
                          <w:color w:val="FF0000"/>
                          <w:lang w:val="en-US" w:eastAsia="zh-CN"/>
                        </w:rPr>
                      </w:pPr>
                      <w:r>
                        <w:rPr>
                          <w:rFonts w:hint="eastAsia" w:ascii="Times New Roman" w:hAnsi="Times New Roman" w:eastAsia="宋体" w:cs="宋体"/>
                          <w:color w:val="FF0000"/>
                          <w:lang w:val="en-US" w:eastAsia="zh-CN"/>
                        </w:rPr>
                        <w:t>D1</w:t>
                      </w:r>
                    </w:p>
                  </w:txbxContent>
                </v:textbox>
              </v:shape>
            </w:pict>
          </mc:Fallback>
        </mc:AlternateContent>
      </w:r>
      <w:r>
        <w:rPr>
          <w:rFonts w:ascii="Times New Roman" w:hAnsi="Times New Roman"/>
          <w:color w:val="auto"/>
          <w:sz w:val="24"/>
        </w:rPr>
        <mc:AlternateContent>
          <mc:Choice Requires="wps">
            <w:drawing>
              <wp:anchor distT="0" distB="0" distL="114300" distR="114300" simplePos="0" relativeHeight="251687936" behindDoc="0" locked="0" layoutInCell="1" allowOverlap="1">
                <wp:simplePos x="0" y="0"/>
                <wp:positionH relativeFrom="column">
                  <wp:posOffset>2529205</wp:posOffset>
                </wp:positionH>
                <wp:positionV relativeFrom="paragraph">
                  <wp:posOffset>2082165</wp:posOffset>
                </wp:positionV>
                <wp:extent cx="571500" cy="495300"/>
                <wp:effectExtent l="0" t="0" r="0" b="0"/>
                <wp:wrapNone/>
                <wp:docPr id="55" name="文本框 1505"/>
                <wp:cNvGraphicFramePr/>
                <a:graphic xmlns:a="http://schemas.openxmlformats.org/drawingml/2006/main">
                  <a:graphicData uri="http://schemas.microsoft.com/office/word/2010/wordprocessingShape">
                    <wps:wsp>
                      <wps:cNvSpPr txBox="1"/>
                      <wps:spPr>
                        <a:xfrm>
                          <a:off x="0" y="0"/>
                          <a:ext cx="571500" cy="495300"/>
                        </a:xfrm>
                        <a:prstGeom prst="rect">
                          <a:avLst/>
                        </a:prstGeom>
                        <a:noFill/>
                        <a:ln>
                          <a:noFill/>
                        </a:ln>
                      </wps:spPr>
                      <wps:txbx>
                        <w:txbxContent>
                          <w:p>
                            <w:pPr>
                              <w:rPr>
                                <w:rFonts w:hint="eastAsia" w:ascii="Times New Roman" w:hAnsi="Times New Roman" w:eastAsia="宋体" w:cs="宋体"/>
                                <w:lang w:val="en-US" w:eastAsia="zh-CN"/>
                              </w:rPr>
                            </w:pPr>
                            <w:r>
                              <w:rPr>
                                <w:rFonts w:hint="eastAsia" w:ascii="Times New Roman" w:hAnsi="Times New Roman" w:eastAsia="宋体" w:cs="宋体"/>
                                <w:lang w:val="en-US" w:eastAsia="zh-CN"/>
                              </w:rPr>
                              <w:t>G4</w:t>
                            </w:r>
                          </w:p>
                        </w:txbxContent>
                      </wps:txbx>
                      <wps:bodyPr upright="1"/>
                    </wps:wsp>
                  </a:graphicData>
                </a:graphic>
              </wp:anchor>
            </w:drawing>
          </mc:Choice>
          <mc:Fallback>
            <w:pict>
              <v:shape id="文本框 1505" o:spid="_x0000_s1026" o:spt="202" type="#_x0000_t202" style="position:absolute;left:0pt;margin-left:199.15pt;margin-top:163.95pt;height:39pt;width:45pt;z-index:251687936;mso-width-relative:page;mso-height-relative:page;" filled="f" stroked="f" coordsize="21600,21600" o:gfxdata="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9Z0i8NcA&#10;AAALAQAADwAAAAAAAAABACAAAAAiAAAAZHJzL2Rvd25yZXYueG1sUEsBAhQAFAAAAAgAh07iQP4u&#10;NMeuAQAAUQMAAA4AAAAAAAAAAQAgAAAAJgEAAGRycy9lMm9Eb2MueG1sUEsFBgAAAAAGAAYAWQEA&#10;AEYFAAAAAA==&#10;">
                <v:fill on="f" focussize="0,0"/>
                <v:stroke on="f"/>
                <v:imagedata o:title=""/>
                <o:lock v:ext="edit" aspectratio="f"/>
                <v:textbox>
                  <w:txbxContent>
                    <w:p>
                      <w:pPr>
                        <w:rPr>
                          <w:rFonts w:hint="eastAsia" w:ascii="Times New Roman" w:hAnsi="Times New Roman" w:eastAsia="宋体" w:cs="宋体"/>
                          <w:lang w:val="en-US" w:eastAsia="zh-CN"/>
                        </w:rPr>
                      </w:pPr>
                      <w:r>
                        <w:rPr>
                          <w:rFonts w:hint="eastAsia" w:ascii="Times New Roman" w:hAnsi="Times New Roman" w:eastAsia="宋体" w:cs="宋体"/>
                          <w:lang w:val="en-US" w:eastAsia="zh-CN"/>
                        </w:rPr>
                        <w:t>G4</w:t>
                      </w:r>
                    </w:p>
                  </w:txbxContent>
                </v:textbox>
              </v:shape>
            </w:pict>
          </mc:Fallback>
        </mc:AlternateContent>
      </w:r>
      <w:r>
        <w:rPr>
          <w:rFonts w:ascii="Times New Roman" w:hAnsi="Times New Roman"/>
          <w:color w:val="auto"/>
          <w:sz w:val="24"/>
        </w:rPr>
        <mc:AlternateContent>
          <mc:Choice Requires="wps">
            <w:drawing>
              <wp:anchor distT="0" distB="0" distL="114300" distR="114300" simplePos="0" relativeHeight="251686912" behindDoc="0" locked="0" layoutInCell="1" allowOverlap="1">
                <wp:simplePos x="0" y="0"/>
                <wp:positionH relativeFrom="column">
                  <wp:posOffset>2786380</wp:posOffset>
                </wp:positionH>
                <wp:positionV relativeFrom="paragraph">
                  <wp:posOffset>1329690</wp:posOffset>
                </wp:positionV>
                <wp:extent cx="571500" cy="495300"/>
                <wp:effectExtent l="0" t="0" r="0" b="0"/>
                <wp:wrapNone/>
                <wp:docPr id="54" name="文本框 1504"/>
                <wp:cNvGraphicFramePr/>
                <a:graphic xmlns:a="http://schemas.openxmlformats.org/drawingml/2006/main">
                  <a:graphicData uri="http://schemas.microsoft.com/office/word/2010/wordprocessingShape">
                    <wps:wsp>
                      <wps:cNvSpPr txBox="1"/>
                      <wps:spPr>
                        <a:xfrm>
                          <a:off x="0" y="0"/>
                          <a:ext cx="571500" cy="495300"/>
                        </a:xfrm>
                        <a:prstGeom prst="rect">
                          <a:avLst/>
                        </a:prstGeom>
                        <a:noFill/>
                        <a:ln>
                          <a:noFill/>
                        </a:ln>
                      </wps:spPr>
                      <wps:txbx>
                        <w:txbxContent>
                          <w:p>
                            <w:pPr>
                              <w:rPr>
                                <w:rFonts w:hint="eastAsia" w:ascii="Times New Roman" w:hAnsi="Times New Roman" w:eastAsia="宋体" w:cs="宋体"/>
                                <w:lang w:val="en-US" w:eastAsia="zh-CN"/>
                              </w:rPr>
                            </w:pPr>
                            <w:r>
                              <w:rPr>
                                <w:rFonts w:hint="eastAsia" w:ascii="Times New Roman" w:hAnsi="Times New Roman" w:eastAsia="宋体" w:cs="宋体"/>
                                <w:lang w:val="en-US" w:eastAsia="zh-CN"/>
                              </w:rPr>
                              <w:t>G3</w:t>
                            </w:r>
                          </w:p>
                        </w:txbxContent>
                      </wps:txbx>
                      <wps:bodyPr upright="1"/>
                    </wps:wsp>
                  </a:graphicData>
                </a:graphic>
              </wp:anchor>
            </w:drawing>
          </mc:Choice>
          <mc:Fallback>
            <w:pict>
              <v:shape id="文本框 1504" o:spid="_x0000_s1026" o:spt="202" type="#_x0000_t202" style="position:absolute;left:0pt;margin-left:219.4pt;margin-top:104.7pt;height:39pt;width:45pt;z-index:251686912;mso-width-relative:page;mso-height-relative:page;" filled="f" stroked="f" coordsize="21600,21600" o:gfxdata="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YWAEqNcA&#10;AAALAQAADwAAAAAAAAABACAAAAAiAAAAZHJzL2Rvd25yZXYueG1sUEsBAhQAFAAAAAgAh07iQAd9&#10;jTCuAQAAUQMAAA4AAAAAAAAAAQAgAAAAJgEAAGRycy9lMm9Eb2MueG1sUEsFBgAAAAAGAAYAWQEA&#10;AEYFAAAAAA==&#10;">
                <v:fill on="f" focussize="0,0"/>
                <v:stroke on="f"/>
                <v:imagedata o:title=""/>
                <o:lock v:ext="edit" aspectratio="f"/>
                <v:textbox>
                  <w:txbxContent>
                    <w:p>
                      <w:pPr>
                        <w:rPr>
                          <w:rFonts w:hint="eastAsia" w:ascii="Times New Roman" w:hAnsi="Times New Roman" w:eastAsia="宋体" w:cs="宋体"/>
                          <w:lang w:val="en-US" w:eastAsia="zh-CN"/>
                        </w:rPr>
                      </w:pPr>
                      <w:r>
                        <w:rPr>
                          <w:rFonts w:hint="eastAsia" w:ascii="Times New Roman" w:hAnsi="Times New Roman" w:eastAsia="宋体" w:cs="宋体"/>
                          <w:lang w:val="en-US" w:eastAsia="zh-CN"/>
                        </w:rPr>
                        <w:t>G3</w:t>
                      </w:r>
                    </w:p>
                  </w:txbxContent>
                </v:textbox>
              </v:shape>
            </w:pict>
          </mc:Fallback>
        </mc:AlternateContent>
      </w:r>
      <w:r>
        <w:rPr>
          <w:rFonts w:ascii="Times New Roman" w:hAnsi="Times New Roman"/>
          <w:color w:val="auto"/>
          <w:sz w:val="24"/>
        </w:rPr>
        <mc:AlternateContent>
          <mc:Choice Requires="wps">
            <w:drawing>
              <wp:anchor distT="0" distB="0" distL="114300" distR="114300" simplePos="0" relativeHeight="251685888" behindDoc="0" locked="0" layoutInCell="1" allowOverlap="1">
                <wp:simplePos x="0" y="0"/>
                <wp:positionH relativeFrom="column">
                  <wp:posOffset>3338830</wp:posOffset>
                </wp:positionH>
                <wp:positionV relativeFrom="paragraph">
                  <wp:posOffset>948690</wp:posOffset>
                </wp:positionV>
                <wp:extent cx="571500" cy="495300"/>
                <wp:effectExtent l="0" t="0" r="0" b="0"/>
                <wp:wrapNone/>
                <wp:docPr id="53" name="文本框 1503"/>
                <wp:cNvGraphicFramePr/>
                <a:graphic xmlns:a="http://schemas.openxmlformats.org/drawingml/2006/main">
                  <a:graphicData uri="http://schemas.microsoft.com/office/word/2010/wordprocessingShape">
                    <wps:wsp>
                      <wps:cNvSpPr txBox="1"/>
                      <wps:spPr>
                        <a:xfrm>
                          <a:off x="0" y="0"/>
                          <a:ext cx="571500" cy="495300"/>
                        </a:xfrm>
                        <a:prstGeom prst="rect">
                          <a:avLst/>
                        </a:prstGeom>
                        <a:noFill/>
                        <a:ln>
                          <a:noFill/>
                        </a:ln>
                      </wps:spPr>
                      <wps:txbx>
                        <w:txbxContent>
                          <w:p>
                            <w:pPr>
                              <w:rPr>
                                <w:rFonts w:hint="eastAsia" w:ascii="Times New Roman" w:hAnsi="Times New Roman" w:eastAsia="宋体" w:cs="宋体"/>
                                <w:lang w:val="en-US" w:eastAsia="zh-CN"/>
                              </w:rPr>
                            </w:pPr>
                            <w:r>
                              <w:rPr>
                                <w:rFonts w:hint="eastAsia" w:ascii="Times New Roman" w:hAnsi="Times New Roman" w:eastAsia="宋体" w:cs="宋体"/>
                                <w:lang w:val="en-US" w:eastAsia="zh-CN"/>
                              </w:rPr>
                              <w:t>G2</w:t>
                            </w:r>
                          </w:p>
                        </w:txbxContent>
                      </wps:txbx>
                      <wps:bodyPr upright="1"/>
                    </wps:wsp>
                  </a:graphicData>
                </a:graphic>
              </wp:anchor>
            </w:drawing>
          </mc:Choice>
          <mc:Fallback>
            <w:pict>
              <v:shape id="文本框 1503" o:spid="_x0000_s1026" o:spt="202" type="#_x0000_t202" style="position:absolute;left:0pt;margin-left:262.9pt;margin-top:74.7pt;height:39pt;width:45pt;z-index:251685888;mso-width-relative:page;mso-height-relative:page;" filled="f" stroked="f" coordsize="21600,21600" o:gfxdata="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7ibIN9cA&#10;AAALAQAADwAAAAAAAAABACAAAAAiAAAAZHJzL2Rvd25yZXYueG1sUEsBAhQAFAAAAAgAh07iQCvM&#10;MJuuAQAAUQMAAA4AAAAAAAAAAQAgAAAAJgEAAGRycy9lMm9Eb2MueG1sUEsFBgAAAAAGAAYAWQEA&#10;AEYFAAAAAA==&#10;">
                <v:fill on="f" focussize="0,0"/>
                <v:stroke on="f"/>
                <v:imagedata o:title=""/>
                <o:lock v:ext="edit" aspectratio="f"/>
                <v:textbox>
                  <w:txbxContent>
                    <w:p>
                      <w:pPr>
                        <w:rPr>
                          <w:rFonts w:hint="eastAsia" w:ascii="Times New Roman" w:hAnsi="Times New Roman" w:eastAsia="宋体" w:cs="宋体"/>
                          <w:lang w:val="en-US" w:eastAsia="zh-CN"/>
                        </w:rPr>
                      </w:pPr>
                      <w:r>
                        <w:rPr>
                          <w:rFonts w:hint="eastAsia" w:ascii="Times New Roman" w:hAnsi="Times New Roman" w:eastAsia="宋体" w:cs="宋体"/>
                          <w:lang w:val="en-US" w:eastAsia="zh-CN"/>
                        </w:rPr>
                        <w:t>G2</w:t>
                      </w:r>
                    </w:p>
                  </w:txbxContent>
                </v:textbox>
              </v:shape>
            </w:pict>
          </mc:Fallback>
        </mc:AlternateContent>
      </w:r>
      <w:r>
        <w:rPr>
          <w:rFonts w:ascii="Times New Roman" w:hAnsi="Times New Roman"/>
          <w:color w:val="auto"/>
          <w:sz w:val="24"/>
        </w:rPr>
        <mc:AlternateContent>
          <mc:Choice Requires="wps">
            <w:drawing>
              <wp:anchor distT="0" distB="0" distL="114300" distR="114300" simplePos="0" relativeHeight="251688960" behindDoc="0" locked="0" layoutInCell="1" allowOverlap="1">
                <wp:simplePos x="0" y="0"/>
                <wp:positionH relativeFrom="column">
                  <wp:posOffset>3062605</wp:posOffset>
                </wp:positionH>
                <wp:positionV relativeFrom="paragraph">
                  <wp:posOffset>1442720</wp:posOffset>
                </wp:positionV>
                <wp:extent cx="107950" cy="107950"/>
                <wp:effectExtent l="4445" t="4445" r="20955" b="20955"/>
                <wp:wrapNone/>
                <wp:docPr id="56" name="椭圆 1506"/>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FFFFFF"/>
                        </a:solidFill>
                        <a:ln w="9525" cap="flat" cmpd="sng">
                          <a:solidFill>
                            <a:srgbClr val="000000"/>
                          </a:solidFill>
                          <a:prstDash val="solid"/>
                          <a:headEnd type="none" w="med" len="med"/>
                          <a:tailEnd type="none" w="med" len="med"/>
                        </a:ln>
                      </wps:spPr>
                      <wps:bodyPr upright="1"/>
                    </wps:wsp>
                  </a:graphicData>
                </a:graphic>
              </wp:anchor>
            </w:drawing>
          </mc:Choice>
          <mc:Fallback>
            <w:pict>
              <v:shape id="椭圆 1506" o:spid="_x0000_s1026" o:spt="3" type="#_x0000_t3" style="position:absolute;left:0pt;margin-left:241.15pt;margin-top:113.6pt;height:8.5pt;width:8.5pt;z-index:251688960;mso-width-relative:page;mso-height-relative:page;" fillcolor="#FFFFFF" filled="t" stroked="t" coordsize="21600,21600" o:gfxdata="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6mDaAdkAAAALAQAADwAAAAAAAAABACAAAAAiAAAAZHJzL2Rvd25yZXYueG1s&#10;UEsBAhQAFAAAAAgAh07iQMpP9iL3AQAAGgQAAA4AAAAAAAAAAQAgAAAAKAEAAGRycy9lMm9Eb2Mu&#10;eG1sUEsFBgAAAAAGAAYAWQEAAJEFAAAAAA==&#10;">
                <v:fill on="t" focussize="0,0"/>
                <v:stroke color="#000000" joinstyle="round"/>
                <v:imagedata o:title=""/>
                <o:lock v:ext="edit" aspectratio="f"/>
              </v:shape>
            </w:pict>
          </mc:Fallback>
        </mc:AlternateContent>
      </w:r>
      <w:r>
        <w:rPr>
          <w:rFonts w:ascii="Times New Roman" w:hAnsi="Times New Roman"/>
          <w:color w:val="auto"/>
          <w:sz w:val="24"/>
        </w:rPr>
        <mc:AlternateContent>
          <mc:Choice Requires="wps">
            <w:drawing>
              <wp:anchor distT="0" distB="0" distL="114300" distR="114300" simplePos="0" relativeHeight="251691008" behindDoc="0" locked="0" layoutInCell="1" allowOverlap="1">
                <wp:simplePos x="0" y="0"/>
                <wp:positionH relativeFrom="column">
                  <wp:posOffset>3615055</wp:posOffset>
                </wp:positionH>
                <wp:positionV relativeFrom="paragraph">
                  <wp:posOffset>1074420</wp:posOffset>
                </wp:positionV>
                <wp:extent cx="107950" cy="107950"/>
                <wp:effectExtent l="4445" t="4445" r="20955" b="20955"/>
                <wp:wrapNone/>
                <wp:docPr id="58" name="椭圆 1508"/>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FFFFFF"/>
                        </a:solidFill>
                        <a:ln w="9525" cap="flat" cmpd="sng">
                          <a:solidFill>
                            <a:srgbClr val="000000"/>
                          </a:solidFill>
                          <a:prstDash val="solid"/>
                          <a:headEnd type="none" w="med" len="med"/>
                          <a:tailEnd type="none" w="med" len="med"/>
                        </a:ln>
                      </wps:spPr>
                      <wps:bodyPr upright="1"/>
                    </wps:wsp>
                  </a:graphicData>
                </a:graphic>
              </wp:anchor>
            </w:drawing>
          </mc:Choice>
          <mc:Fallback>
            <w:pict>
              <v:shape id="椭圆 1508" o:spid="_x0000_s1026" o:spt="3" type="#_x0000_t3" style="position:absolute;left:0pt;margin-left:284.65pt;margin-top:84.6pt;height:8.5pt;width:8.5pt;z-index:251691008;mso-width-relative:page;mso-height-relative:page;" fillcolor="#FFFFFF" filled="t" stroked="t" coordsize="21600,21600" o:gfxdata="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nfKE+2AAAAAsBAAAPAAAAAAAAAAEAIAAAACIAAABkcnMvZG93bnJldi54bWxQ&#10;SwECFAAUAAAACACHTuJAhsUtafcBAAAaBAAADgAAAAAAAAABACAAAAAnAQAAZHJzL2Uyb0RvYy54&#10;bWxQSwUGAAAAAAYABgBZAQAAkAUAAAAA&#10;">
                <v:fill on="t" focussize="0,0"/>
                <v:stroke color="#000000" joinstyle="round"/>
                <v:imagedata o:title=""/>
                <o:lock v:ext="edit" aspectratio="f"/>
              </v:shape>
            </w:pict>
          </mc:Fallback>
        </mc:AlternateContent>
      </w:r>
      <w:r>
        <w:rPr>
          <w:rFonts w:ascii="Times New Roman" w:hAnsi="Times New Roman"/>
          <w:color w:val="auto"/>
          <w:sz w:val="24"/>
        </w:rPr>
        <mc:AlternateContent>
          <mc:Choice Requires="wps">
            <w:drawing>
              <wp:anchor distT="0" distB="0" distL="114300" distR="114300" simplePos="0" relativeHeight="251689984" behindDoc="0" locked="0" layoutInCell="1" allowOverlap="1">
                <wp:simplePos x="0" y="0"/>
                <wp:positionH relativeFrom="column">
                  <wp:posOffset>2824480</wp:posOffset>
                </wp:positionH>
                <wp:positionV relativeFrom="paragraph">
                  <wp:posOffset>2195195</wp:posOffset>
                </wp:positionV>
                <wp:extent cx="107950" cy="107950"/>
                <wp:effectExtent l="4445" t="4445" r="20955" b="20955"/>
                <wp:wrapNone/>
                <wp:docPr id="57" name="椭圆 1507"/>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FFFFFF"/>
                        </a:solidFill>
                        <a:ln w="9525" cap="flat" cmpd="sng">
                          <a:solidFill>
                            <a:srgbClr val="000000"/>
                          </a:solidFill>
                          <a:prstDash val="solid"/>
                          <a:headEnd type="none" w="med" len="med"/>
                          <a:tailEnd type="none" w="med" len="med"/>
                        </a:ln>
                      </wps:spPr>
                      <wps:bodyPr upright="1"/>
                    </wps:wsp>
                  </a:graphicData>
                </a:graphic>
              </wp:anchor>
            </w:drawing>
          </mc:Choice>
          <mc:Fallback>
            <w:pict>
              <v:shape id="椭圆 1507" o:spid="_x0000_s1026" o:spt="3" type="#_x0000_t3" style="position:absolute;left:0pt;margin-left:222.4pt;margin-top:172.85pt;height:8.5pt;width:8.5pt;z-index:251689984;mso-width-relative:page;mso-height-relative:page;" fillcolor="#FFFFFF" filled="t" stroked="t" coordsize="21600,21600" o:gfxdata="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YCww92AAAAAsBAAAPAAAAAAAAAAEAIAAAACIAAABkcnMvZG93bnJldi54bWxQ&#10;SwECFAAUAAAACACHTuJAaw+pa/cBAAAaBAAADgAAAAAAAAABACAAAAAnAQAAZHJzL2Uyb0RvYy54&#10;bWxQSwUGAAAAAAYABgBZAQAAkAUAAAAA&#10;">
                <v:fill on="t" focussize="0,0"/>
                <v:stroke color="#000000" joinstyle="round"/>
                <v:imagedata o:title=""/>
                <o:lock v:ext="edit" aspectratio="f"/>
              </v:shape>
            </w:pict>
          </mc:Fallback>
        </mc:AlternateContent>
      </w:r>
      <w:r>
        <w:rPr>
          <w:rFonts w:ascii="Times New Roman" w:hAnsi="Times New Roman"/>
          <w:color w:val="auto"/>
          <w:sz w:val="24"/>
        </w:rPr>
        <mc:AlternateContent>
          <mc:Choice Requires="wps">
            <w:drawing>
              <wp:anchor distT="0" distB="0" distL="114300" distR="114300" simplePos="0" relativeHeight="251684864" behindDoc="0" locked="0" layoutInCell="1" allowOverlap="1">
                <wp:simplePos x="0" y="0"/>
                <wp:positionH relativeFrom="column">
                  <wp:posOffset>5424805</wp:posOffset>
                </wp:positionH>
                <wp:positionV relativeFrom="paragraph">
                  <wp:posOffset>3615690</wp:posOffset>
                </wp:positionV>
                <wp:extent cx="571500" cy="495300"/>
                <wp:effectExtent l="0" t="0" r="0" b="0"/>
                <wp:wrapNone/>
                <wp:docPr id="52" name="文本框 1502"/>
                <wp:cNvGraphicFramePr/>
                <a:graphic xmlns:a="http://schemas.openxmlformats.org/drawingml/2006/main">
                  <a:graphicData uri="http://schemas.microsoft.com/office/word/2010/wordprocessingShape">
                    <wps:wsp>
                      <wps:cNvSpPr txBox="1"/>
                      <wps:spPr>
                        <a:xfrm>
                          <a:off x="0" y="0"/>
                          <a:ext cx="571500" cy="495300"/>
                        </a:xfrm>
                        <a:prstGeom prst="rect">
                          <a:avLst/>
                        </a:prstGeom>
                        <a:noFill/>
                        <a:ln>
                          <a:noFill/>
                        </a:ln>
                      </wps:spPr>
                      <wps:txbx>
                        <w:txbxContent>
                          <w:p>
                            <w:pPr>
                              <w:rPr>
                                <w:rFonts w:hint="eastAsia" w:ascii="Times New Roman" w:hAnsi="Times New Roman" w:eastAsia="宋体" w:cs="宋体"/>
                                <w:lang w:val="en-US" w:eastAsia="zh-CN"/>
                              </w:rPr>
                            </w:pPr>
                            <w:r>
                              <w:rPr>
                                <w:rFonts w:hint="eastAsia" w:ascii="Times New Roman" w:hAnsi="Times New Roman" w:eastAsia="宋体" w:cs="宋体"/>
                                <w:lang w:val="en-US" w:eastAsia="zh-CN"/>
                              </w:rPr>
                              <w:t>G1</w:t>
                            </w:r>
                          </w:p>
                        </w:txbxContent>
                      </wps:txbx>
                      <wps:bodyPr upright="1"/>
                    </wps:wsp>
                  </a:graphicData>
                </a:graphic>
              </wp:anchor>
            </w:drawing>
          </mc:Choice>
          <mc:Fallback>
            <w:pict>
              <v:shape id="文本框 1502" o:spid="_x0000_s1026" o:spt="202" type="#_x0000_t202" style="position:absolute;left:0pt;margin-left:427.15pt;margin-top:284.7pt;height:39pt;width:45pt;z-index:251684864;mso-width-relative:page;mso-height-relative:page;" filled="f" stroked="f" coordsize="21600,21600" o:gfxdata="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IVkDkHY&#10;AAAACwEAAA8AAAAAAAAAAQAgAAAAIgAAAGRycy9kb3ducmV2LnhtbFBLAQIUABQAAAAIAIdO4kDS&#10;n4lsrgEAAFEDAAAOAAAAAAAAAAEAIAAAACcBAABkcnMvZTJvRG9jLnhtbFBLBQYAAAAABgAGAFkB&#10;AABHBQAAAAA=&#10;">
                <v:fill on="f" focussize="0,0"/>
                <v:stroke on="f"/>
                <v:imagedata o:title=""/>
                <o:lock v:ext="edit" aspectratio="f"/>
                <v:textbox>
                  <w:txbxContent>
                    <w:p>
                      <w:pPr>
                        <w:rPr>
                          <w:rFonts w:hint="eastAsia" w:ascii="Times New Roman" w:hAnsi="Times New Roman" w:eastAsia="宋体" w:cs="宋体"/>
                          <w:lang w:val="en-US" w:eastAsia="zh-CN"/>
                        </w:rPr>
                      </w:pPr>
                      <w:r>
                        <w:rPr>
                          <w:rFonts w:hint="eastAsia" w:ascii="Times New Roman" w:hAnsi="Times New Roman" w:eastAsia="宋体" w:cs="宋体"/>
                          <w:lang w:val="en-US" w:eastAsia="zh-CN"/>
                        </w:rPr>
                        <w:t>G1</w:t>
                      </w:r>
                    </w:p>
                  </w:txbxContent>
                </v:textbox>
              </v:shape>
            </w:pict>
          </mc:Fallback>
        </mc:AlternateContent>
      </w:r>
      <w:r>
        <w:rPr>
          <w:rFonts w:ascii="Times New Roman" w:hAnsi="Times New Roman"/>
          <w:color w:val="auto"/>
          <w:sz w:val="24"/>
        </w:rPr>
        <mc:AlternateContent>
          <mc:Choice Requires="wps">
            <w:drawing>
              <wp:anchor distT="0" distB="0" distL="114300" distR="114300" simplePos="0" relativeHeight="251663360" behindDoc="0" locked="0" layoutInCell="1" allowOverlap="1">
                <wp:simplePos x="0" y="0"/>
                <wp:positionH relativeFrom="column">
                  <wp:posOffset>5367655</wp:posOffset>
                </wp:positionH>
                <wp:positionV relativeFrom="paragraph">
                  <wp:posOffset>3709670</wp:posOffset>
                </wp:positionV>
                <wp:extent cx="107950" cy="107950"/>
                <wp:effectExtent l="4445" t="4445" r="20955" b="20955"/>
                <wp:wrapNone/>
                <wp:docPr id="6" name="椭圆 1501"/>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FFFFFF"/>
                        </a:solidFill>
                        <a:ln w="9525" cap="flat" cmpd="sng">
                          <a:solidFill>
                            <a:srgbClr val="000000"/>
                          </a:solidFill>
                          <a:prstDash val="solid"/>
                          <a:headEnd type="none" w="med" len="med"/>
                          <a:tailEnd type="none" w="med" len="med"/>
                        </a:ln>
                      </wps:spPr>
                      <wps:txbx>
                        <w:txbxContent>
                          <w:p/>
                        </w:txbxContent>
                      </wps:txbx>
                      <wps:bodyPr upright="1"/>
                    </wps:wsp>
                  </a:graphicData>
                </a:graphic>
              </wp:anchor>
            </w:drawing>
          </mc:Choice>
          <mc:Fallback>
            <w:pict>
              <v:shape id="椭圆 1501" o:spid="_x0000_s1026" o:spt="3" type="#_x0000_t3" style="position:absolute;left:0pt;margin-left:422.65pt;margin-top:292.1pt;height:8.5pt;width:8.5pt;z-index:251663360;mso-width-relative:page;mso-height-relative:page;" fillcolor="#FFFFFF" filled="t" stroked="t" coordsize="21600,21600" o:gfxdata="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mVgdp2QAAAAsBAAAPAAAAAAAAAAEAIAAAACIAAABkcnMvZG93bnJl&#10;di54bWxQSwECFAAUAAAACACHTuJAwc6cQ/wBAAAkBAAADgAAAAAAAAABACAAAAAoAQAAZHJzL2Uy&#10;b0RvYy54bWxQSwUGAAAAAAYABgBZAQAAlgUAAAAA&#10;">
                <v:fill on="t" focussize="0,0"/>
                <v:stroke color="#000000" joinstyle="round"/>
                <v:imagedata o:title=""/>
                <o:lock v:ext="edit" aspectratio="f"/>
                <v:textbox>
                  <w:txbxContent>
                    <w:p/>
                  </w:txbxContent>
                </v:textbox>
              </v:shape>
            </w:pict>
          </mc:Fallback>
        </mc:AlternateContent>
      </w:r>
      <w:r>
        <w:rPr>
          <w:rFonts w:ascii="Times New Roman" w:hAnsi="Times New Roman"/>
          <w:color w:val="auto"/>
          <w:sz w:val="24"/>
        </w:rPr>
        <mc:AlternateContent>
          <mc:Choice Requires="wps">
            <w:drawing>
              <wp:anchor distT="0" distB="0" distL="114300" distR="114300" simplePos="0" relativeHeight="251683840" behindDoc="0" locked="0" layoutInCell="1" allowOverlap="1">
                <wp:simplePos x="0" y="0"/>
                <wp:positionH relativeFrom="column">
                  <wp:posOffset>6263005</wp:posOffset>
                </wp:positionH>
                <wp:positionV relativeFrom="paragraph">
                  <wp:posOffset>491490</wp:posOffset>
                </wp:positionV>
                <wp:extent cx="571500" cy="495300"/>
                <wp:effectExtent l="0" t="0" r="0" b="0"/>
                <wp:wrapNone/>
                <wp:docPr id="51" name="文本框 1500"/>
                <wp:cNvGraphicFramePr/>
                <a:graphic xmlns:a="http://schemas.openxmlformats.org/drawingml/2006/main">
                  <a:graphicData uri="http://schemas.microsoft.com/office/word/2010/wordprocessingShape">
                    <wps:wsp>
                      <wps:cNvSpPr txBox="1"/>
                      <wps:spPr>
                        <a:xfrm>
                          <a:off x="0" y="0"/>
                          <a:ext cx="571500" cy="495300"/>
                        </a:xfrm>
                        <a:prstGeom prst="rect">
                          <a:avLst/>
                        </a:prstGeom>
                        <a:noFill/>
                        <a:ln>
                          <a:noFill/>
                        </a:ln>
                      </wps:spPr>
                      <wps:txbx>
                        <w:txbxContent>
                          <w:p>
                            <w:pPr>
                              <w:rPr>
                                <w:rFonts w:hint="default" w:ascii="Times New Roman" w:hAnsi="Times New Roman" w:eastAsia="宋体" w:cs="宋体"/>
                                <w:lang w:val="en-US" w:eastAsia="zh-CN"/>
                              </w:rPr>
                            </w:pPr>
                            <w:r>
                              <w:rPr>
                                <w:rFonts w:hint="eastAsia" w:ascii="Times New Roman" w:hAnsi="Times New Roman" w:eastAsia="宋体" w:cs="宋体"/>
                                <w:lang w:val="en-US" w:eastAsia="zh-CN"/>
                              </w:rPr>
                              <w:t>风向</w:t>
                            </w:r>
                          </w:p>
                        </w:txbxContent>
                      </wps:txbx>
                      <wps:bodyPr upright="1"/>
                    </wps:wsp>
                  </a:graphicData>
                </a:graphic>
              </wp:anchor>
            </w:drawing>
          </mc:Choice>
          <mc:Fallback>
            <w:pict>
              <v:shape id="文本框 1500" o:spid="_x0000_s1026" o:spt="202" type="#_x0000_t202" style="position:absolute;left:0pt;margin-left:493.15pt;margin-top:38.7pt;height:39pt;width:45pt;z-index:251683840;mso-width-relative:page;mso-height-relative:page;" filled="f" stroked="f" coordsize="21600,21600" o:gfxdata="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Cp/H8/1wAA&#10;AAsBAAAPAAAAAAAAAAEAIAAAACIAAABkcnMvZG93bnJldi54bWxQSwECFAAUAAAACACHTuJAFrYa&#10;8K0BAABRAwAADgAAAAAAAAABACAAAAAmAQAAZHJzL2Uyb0RvYy54bWxQSwUGAAAAAAYABgBZAQAA&#10;RQUAAAAA&#10;">
                <v:fill on="f" focussize="0,0"/>
                <v:stroke on="f"/>
                <v:imagedata o:title=""/>
                <o:lock v:ext="edit" aspectratio="f"/>
                <v:textbox>
                  <w:txbxContent>
                    <w:p>
                      <w:pPr>
                        <w:rPr>
                          <w:rFonts w:hint="default" w:ascii="Times New Roman" w:hAnsi="Times New Roman" w:eastAsia="宋体" w:cs="宋体"/>
                          <w:lang w:val="en-US" w:eastAsia="zh-CN"/>
                        </w:rPr>
                      </w:pPr>
                      <w:r>
                        <w:rPr>
                          <w:rFonts w:hint="eastAsia" w:ascii="Times New Roman" w:hAnsi="Times New Roman" w:eastAsia="宋体" w:cs="宋体"/>
                          <w:lang w:val="en-US" w:eastAsia="zh-CN"/>
                        </w:rPr>
                        <w:t>风向</w:t>
                      </w:r>
                    </w:p>
                  </w:txbxContent>
                </v:textbox>
              </v:shape>
            </w:pict>
          </mc:Fallback>
        </mc:AlternateContent>
      </w:r>
      <w:r>
        <w:rPr>
          <w:rFonts w:ascii="Times New Roman" w:hAnsi="Times New Roman"/>
          <w:color w:val="auto"/>
          <w:sz w:val="24"/>
        </w:rPr>
        <mc:AlternateContent>
          <mc:Choice Requires="wps">
            <w:drawing>
              <wp:anchor distT="0" distB="0" distL="114300" distR="114300" simplePos="0" relativeHeight="251663360" behindDoc="0" locked="0" layoutInCell="1" allowOverlap="1">
                <wp:simplePos x="0" y="0"/>
                <wp:positionH relativeFrom="column">
                  <wp:posOffset>6148705</wp:posOffset>
                </wp:positionH>
                <wp:positionV relativeFrom="paragraph">
                  <wp:posOffset>583565</wp:posOffset>
                </wp:positionV>
                <wp:extent cx="342900" cy="209550"/>
                <wp:effectExtent l="0" t="0" r="19050" b="19050"/>
                <wp:wrapNone/>
                <wp:docPr id="5" name="直线 1499"/>
                <wp:cNvGraphicFramePr/>
                <a:graphic xmlns:a="http://schemas.openxmlformats.org/drawingml/2006/main">
                  <a:graphicData uri="http://schemas.microsoft.com/office/word/2010/wordprocessingShape">
                    <wps:wsp>
                      <wps:cNvCnPr/>
                      <wps:spPr>
                        <a:xfrm flipH="1" flipV="1">
                          <a:off x="0" y="0"/>
                          <a:ext cx="342900" cy="209550"/>
                        </a:xfrm>
                        <a:prstGeom prst="line">
                          <a:avLst/>
                        </a:prstGeom>
                        <a:ln w="15875" cap="flat" cmpd="sng">
                          <a:solidFill>
                            <a:srgbClr val="000000"/>
                          </a:solidFill>
                          <a:prstDash val="solid"/>
                          <a:headEnd type="none" w="med" len="med"/>
                          <a:tailEnd type="triangle" w="med" len="med"/>
                        </a:ln>
                      </wps:spPr>
                      <wps:bodyPr upright="1"/>
                    </wps:wsp>
                  </a:graphicData>
                </a:graphic>
              </wp:anchor>
            </w:drawing>
          </mc:Choice>
          <mc:Fallback>
            <w:pict>
              <v:line id="直线 1499" o:spid="_x0000_s1026" o:spt="20" style="position:absolute;left:0pt;flip:x y;margin-left:484.15pt;margin-top:45.95pt;height:16.5pt;width:27pt;z-index:251663360;mso-width-relative:page;mso-height-relative:page;" filled="f" stroked="t" coordsize="21600,21600" o:gfxdata="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&#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PvBKiTYAAAACwEAAA8AAAAAAAAAAQAgAAAAIgAAAGRy&#10;cy9kb3ducmV2LnhtbFBLAQIUABQAAAAIAIdO4kB8Lm20BQIAAPsDAAAOAAAAAAAAAAEAIAAAACcB&#10;AABkcnMvZTJvRG9jLnhtbFBLBQYAAAAABgAGAFkBAACeBQAAAAA=&#10;">
                <v:fill on="f" focussize="0,0"/>
                <v:stroke weight="1.25pt" color="#000000" joinstyle="round" endarrow="block"/>
                <v:imagedata o:title=""/>
                <o:lock v:ext="edit" aspectratio="f"/>
              </v:line>
            </w:pict>
          </mc:Fallback>
        </mc:AlternateContent>
      </w:r>
      <w:r>
        <w:rPr>
          <w:rFonts w:ascii="Times New Roman" w:hAnsi="Times New Roman"/>
          <w:color w:val="auto"/>
          <w:sz w:val="24"/>
        </w:rPr>
        <mc:AlternateContent>
          <mc:Choice Requires="wps">
            <w:drawing>
              <wp:anchor distT="0" distB="0" distL="114300" distR="114300" simplePos="0" relativeHeight="251680768" behindDoc="0" locked="0" layoutInCell="1" allowOverlap="1">
                <wp:simplePos x="0" y="0"/>
                <wp:positionH relativeFrom="column">
                  <wp:posOffset>2614930</wp:posOffset>
                </wp:positionH>
                <wp:positionV relativeFrom="paragraph">
                  <wp:posOffset>2339340</wp:posOffset>
                </wp:positionV>
                <wp:extent cx="571500" cy="495300"/>
                <wp:effectExtent l="0" t="0" r="0" b="0"/>
                <wp:wrapNone/>
                <wp:docPr id="48" name="文本框 1496"/>
                <wp:cNvGraphicFramePr/>
                <a:graphic xmlns:a="http://schemas.openxmlformats.org/drawingml/2006/main">
                  <a:graphicData uri="http://schemas.microsoft.com/office/word/2010/wordprocessingShape">
                    <wps:wsp>
                      <wps:cNvSpPr txBox="1"/>
                      <wps:spPr>
                        <a:xfrm>
                          <a:off x="0" y="0"/>
                          <a:ext cx="571500" cy="495300"/>
                        </a:xfrm>
                        <a:prstGeom prst="rect">
                          <a:avLst/>
                        </a:prstGeom>
                        <a:noFill/>
                        <a:ln>
                          <a:noFill/>
                        </a:ln>
                      </wps:spPr>
                      <wps:txbx>
                        <w:txbxContent>
                          <w:p>
                            <w:pPr>
                              <w:rPr>
                                <w:rFonts w:hint="eastAsia" w:ascii="Times New Roman" w:hAnsi="Times New Roman" w:eastAsia="宋体" w:cs="宋体"/>
                                <w:lang w:val="en-US" w:eastAsia="zh-CN"/>
                              </w:rPr>
                            </w:pPr>
                            <w:r>
                              <w:rPr>
                                <w:rFonts w:hint="eastAsia" w:ascii="Times New Roman" w:hAnsi="Times New Roman" w:eastAsia="宋体" w:cs="宋体"/>
                                <w:lang w:val="en-US" w:eastAsia="zh-CN"/>
                              </w:rPr>
                              <w:t>N3</w:t>
                            </w:r>
                          </w:p>
                        </w:txbxContent>
                      </wps:txbx>
                      <wps:bodyPr upright="1"/>
                    </wps:wsp>
                  </a:graphicData>
                </a:graphic>
              </wp:anchor>
            </w:drawing>
          </mc:Choice>
          <mc:Fallback>
            <w:pict>
              <v:shape id="文本框 1496" o:spid="_x0000_s1026" o:spt="202" type="#_x0000_t202" style="position:absolute;left:0pt;margin-left:205.9pt;margin-top:184.2pt;height:39pt;width:45pt;z-index:251680768;mso-width-relative:page;mso-height-relative:page;" filled="f" stroked="f" coordsize="21600,21600" o:gfxdata="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ZAziM&#10;1wAAAAsBAAAPAAAAAAAAAAEAIAAAACIAAABkcnMvZG93bnJldi54bWxQSwECFAAUAAAACACHTuJA&#10;wJy3J7ABAABRAwAADgAAAAAAAAABACAAAAAmAQAAZHJzL2Uyb0RvYy54bWxQSwUGAAAAAAYABgBZ&#10;AQAASAUAAAAA&#10;">
                <v:fill on="f" focussize="0,0"/>
                <v:stroke on="f"/>
                <v:imagedata o:title=""/>
                <o:lock v:ext="edit" aspectratio="f"/>
                <v:textbox>
                  <w:txbxContent>
                    <w:p>
                      <w:pPr>
                        <w:rPr>
                          <w:rFonts w:hint="eastAsia" w:ascii="Times New Roman" w:hAnsi="Times New Roman" w:eastAsia="宋体" w:cs="宋体"/>
                          <w:lang w:val="en-US" w:eastAsia="zh-CN"/>
                        </w:rPr>
                      </w:pPr>
                      <w:r>
                        <w:rPr>
                          <w:rFonts w:hint="eastAsia" w:ascii="Times New Roman" w:hAnsi="Times New Roman" w:eastAsia="宋体" w:cs="宋体"/>
                          <w:lang w:val="en-US" w:eastAsia="zh-CN"/>
                        </w:rPr>
                        <w:t>N3</w:t>
                      </w:r>
                    </w:p>
                  </w:txbxContent>
                </v:textbox>
              </v:shape>
            </w:pict>
          </mc:Fallback>
        </mc:AlternateContent>
      </w:r>
      <w:r>
        <w:rPr>
          <w:rFonts w:ascii="Times New Roman" w:hAnsi="Times New Roman"/>
          <w:color w:val="auto"/>
          <w:sz w:val="24"/>
        </w:rPr>
        <mc:AlternateContent>
          <mc:Choice Requires="wps">
            <w:drawing>
              <wp:anchor distT="0" distB="0" distL="114300" distR="114300" simplePos="0" relativeHeight="251681792" behindDoc="0" locked="0" layoutInCell="1" allowOverlap="1">
                <wp:simplePos x="0" y="0"/>
                <wp:positionH relativeFrom="column">
                  <wp:posOffset>4205605</wp:posOffset>
                </wp:positionH>
                <wp:positionV relativeFrom="paragraph">
                  <wp:posOffset>3768090</wp:posOffset>
                </wp:positionV>
                <wp:extent cx="571500" cy="495300"/>
                <wp:effectExtent l="0" t="0" r="0" b="0"/>
                <wp:wrapNone/>
                <wp:docPr id="49" name="文本框 1497"/>
                <wp:cNvGraphicFramePr/>
                <a:graphic xmlns:a="http://schemas.openxmlformats.org/drawingml/2006/main">
                  <a:graphicData uri="http://schemas.microsoft.com/office/word/2010/wordprocessingShape">
                    <wps:wsp>
                      <wps:cNvSpPr txBox="1"/>
                      <wps:spPr>
                        <a:xfrm>
                          <a:off x="0" y="0"/>
                          <a:ext cx="571500" cy="495300"/>
                        </a:xfrm>
                        <a:prstGeom prst="rect">
                          <a:avLst/>
                        </a:prstGeom>
                        <a:noFill/>
                        <a:ln>
                          <a:noFill/>
                        </a:ln>
                      </wps:spPr>
                      <wps:txbx>
                        <w:txbxContent>
                          <w:p>
                            <w:pPr>
                              <w:rPr>
                                <w:rFonts w:hint="eastAsia" w:ascii="Times New Roman" w:hAnsi="Times New Roman" w:eastAsia="宋体" w:cs="宋体"/>
                                <w:lang w:val="en-US" w:eastAsia="zh-CN"/>
                              </w:rPr>
                            </w:pPr>
                            <w:r>
                              <w:rPr>
                                <w:rFonts w:hint="eastAsia" w:ascii="Times New Roman" w:hAnsi="Times New Roman" w:eastAsia="宋体" w:cs="宋体"/>
                                <w:lang w:val="en-US" w:eastAsia="zh-CN"/>
                              </w:rPr>
                              <w:t>N2</w:t>
                            </w:r>
                          </w:p>
                        </w:txbxContent>
                      </wps:txbx>
                      <wps:bodyPr upright="1"/>
                    </wps:wsp>
                  </a:graphicData>
                </a:graphic>
              </wp:anchor>
            </w:drawing>
          </mc:Choice>
          <mc:Fallback>
            <w:pict>
              <v:shape id="文本框 1497" o:spid="_x0000_s1026" o:spt="202" type="#_x0000_t202" style="position:absolute;left:0pt;margin-left:331.15pt;margin-top:296.7pt;height:39pt;width:45pt;z-index:251681792;mso-width-relative:page;mso-height-relative:page;" filled="f" stroked="f" coordsize="21600,21600" o:gfxdata="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R5Mp&#10;wNgAAAALAQAADwAAAAAAAAABACAAAAAiAAAAZHJzL2Rvd25yZXYueG1sUEsBAhQAFAAAAAgAh07i&#10;QDnPDtCwAQAAUQMAAA4AAAAAAAAAAQAgAAAAJwEAAGRycy9lMm9Eb2MueG1sUEsFBgAAAAAGAAYA&#10;WQEAAEkFAAAAAA==&#10;">
                <v:fill on="f" focussize="0,0"/>
                <v:stroke on="f"/>
                <v:imagedata o:title=""/>
                <o:lock v:ext="edit" aspectratio="f"/>
                <v:textbox>
                  <w:txbxContent>
                    <w:p>
                      <w:pPr>
                        <w:rPr>
                          <w:rFonts w:hint="eastAsia" w:ascii="Times New Roman" w:hAnsi="Times New Roman" w:eastAsia="宋体" w:cs="宋体"/>
                          <w:lang w:val="en-US" w:eastAsia="zh-CN"/>
                        </w:rPr>
                      </w:pPr>
                      <w:r>
                        <w:rPr>
                          <w:rFonts w:hint="eastAsia" w:ascii="Times New Roman" w:hAnsi="Times New Roman" w:eastAsia="宋体" w:cs="宋体"/>
                          <w:lang w:val="en-US" w:eastAsia="zh-CN"/>
                        </w:rPr>
                        <w:t>N2</w:t>
                      </w:r>
                    </w:p>
                  </w:txbxContent>
                </v:textbox>
              </v:shape>
            </w:pict>
          </mc:Fallback>
        </mc:AlternateContent>
      </w:r>
      <w:r>
        <w:rPr>
          <w:rFonts w:ascii="Times New Roman" w:hAnsi="Times New Roman"/>
          <w:color w:val="auto"/>
          <w:sz w:val="24"/>
        </w:rPr>
        <mc:AlternateContent>
          <mc:Choice Requires="wps">
            <w:drawing>
              <wp:anchor distT="0" distB="0" distL="114300" distR="114300" simplePos="0" relativeHeight="251682816" behindDoc="0" locked="0" layoutInCell="1" allowOverlap="1">
                <wp:simplePos x="0" y="0"/>
                <wp:positionH relativeFrom="column">
                  <wp:posOffset>3919855</wp:posOffset>
                </wp:positionH>
                <wp:positionV relativeFrom="paragraph">
                  <wp:posOffset>796290</wp:posOffset>
                </wp:positionV>
                <wp:extent cx="571500" cy="495300"/>
                <wp:effectExtent l="0" t="0" r="0" b="0"/>
                <wp:wrapNone/>
                <wp:docPr id="50" name="文本框 1498"/>
                <wp:cNvGraphicFramePr/>
                <a:graphic xmlns:a="http://schemas.openxmlformats.org/drawingml/2006/main">
                  <a:graphicData uri="http://schemas.microsoft.com/office/word/2010/wordprocessingShape">
                    <wps:wsp>
                      <wps:cNvSpPr txBox="1"/>
                      <wps:spPr>
                        <a:xfrm>
                          <a:off x="0" y="0"/>
                          <a:ext cx="571500" cy="495300"/>
                        </a:xfrm>
                        <a:prstGeom prst="rect">
                          <a:avLst/>
                        </a:prstGeom>
                        <a:noFill/>
                        <a:ln>
                          <a:noFill/>
                        </a:ln>
                      </wps:spPr>
                      <wps:txbx>
                        <w:txbxContent>
                          <w:p>
                            <w:pPr>
                              <w:rPr>
                                <w:rFonts w:hint="eastAsia" w:ascii="Times New Roman" w:hAnsi="Times New Roman" w:eastAsia="宋体" w:cs="宋体"/>
                                <w:lang w:val="en-US" w:eastAsia="zh-CN"/>
                              </w:rPr>
                            </w:pPr>
                            <w:r>
                              <w:rPr>
                                <w:rFonts w:hint="eastAsia" w:ascii="Times New Roman" w:hAnsi="Times New Roman" w:eastAsia="宋体" w:cs="宋体"/>
                                <w:lang w:val="en-US" w:eastAsia="zh-CN"/>
                              </w:rPr>
                              <w:t>N4</w:t>
                            </w:r>
                          </w:p>
                        </w:txbxContent>
                      </wps:txbx>
                      <wps:bodyPr upright="1"/>
                    </wps:wsp>
                  </a:graphicData>
                </a:graphic>
              </wp:anchor>
            </w:drawing>
          </mc:Choice>
          <mc:Fallback>
            <w:pict>
              <v:shape id="文本框 1498" o:spid="_x0000_s1026" o:spt="202" type="#_x0000_t202" style="position:absolute;left:0pt;margin-left:308.65pt;margin-top:62.7pt;height:39pt;width:45pt;z-index:251682816;mso-width-relative:page;mso-height-relative:page;" filled="f" stroked="f" coordsize="21600,21600" o:gfxdata="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IuKw+DX&#10;AAAACwEAAA8AAAAAAAAAAQAgAAAAIgAAAGRycy9kb3ducmV2LnhtbFBLAQIUABQAAAAIAIdO4kB+&#10;sfUgrwEAAFEDAAAOAAAAAAAAAAEAIAAAACYBAABkcnMvZTJvRG9jLnhtbFBLBQYAAAAABgAGAFkB&#10;AABHBQAAAAA=&#10;">
                <v:fill on="f" focussize="0,0"/>
                <v:stroke on="f"/>
                <v:imagedata o:title=""/>
                <o:lock v:ext="edit" aspectratio="f"/>
                <v:textbox>
                  <w:txbxContent>
                    <w:p>
                      <w:pPr>
                        <w:rPr>
                          <w:rFonts w:hint="eastAsia" w:ascii="Times New Roman" w:hAnsi="Times New Roman" w:eastAsia="宋体" w:cs="宋体"/>
                          <w:lang w:val="en-US" w:eastAsia="zh-CN"/>
                        </w:rPr>
                      </w:pPr>
                      <w:r>
                        <w:rPr>
                          <w:rFonts w:hint="eastAsia" w:ascii="Times New Roman" w:hAnsi="Times New Roman" w:eastAsia="宋体" w:cs="宋体"/>
                          <w:lang w:val="en-US" w:eastAsia="zh-CN"/>
                        </w:rPr>
                        <w:t>N4</w:t>
                      </w:r>
                    </w:p>
                  </w:txbxContent>
                </v:textbox>
              </v:shape>
            </w:pict>
          </mc:Fallback>
        </mc:AlternateContent>
      </w:r>
      <w:r>
        <w:rPr>
          <w:rFonts w:ascii="Times New Roman" w:hAnsi="Times New Roman"/>
          <w:color w:val="auto"/>
          <w:sz w:val="24"/>
        </w:rPr>
        <mc:AlternateContent>
          <mc:Choice Requires="wps">
            <w:drawing>
              <wp:anchor distT="0" distB="0" distL="114300" distR="114300" simplePos="0" relativeHeight="251677696" behindDoc="0" locked="0" layoutInCell="1" allowOverlap="1">
                <wp:simplePos x="0" y="0"/>
                <wp:positionH relativeFrom="column">
                  <wp:posOffset>3862705</wp:posOffset>
                </wp:positionH>
                <wp:positionV relativeFrom="paragraph">
                  <wp:posOffset>910590</wp:posOffset>
                </wp:positionV>
                <wp:extent cx="107950" cy="107950"/>
                <wp:effectExtent l="7620" t="10795" r="17780" b="14605"/>
                <wp:wrapNone/>
                <wp:docPr id="45" name="自选图形 1493"/>
                <wp:cNvGraphicFramePr/>
                <a:graphic xmlns:a="http://schemas.openxmlformats.org/drawingml/2006/main">
                  <a:graphicData uri="http://schemas.microsoft.com/office/word/2010/wordprocessingShape">
                    <wps:wsp>
                      <wps:cNvSpPr/>
                      <wps:spPr>
                        <a:xfrm>
                          <a:off x="0" y="0"/>
                          <a:ext cx="107950" cy="107950"/>
                        </a:xfrm>
                        <a:prstGeom prst="triangle">
                          <a:avLst>
                            <a:gd name="adj" fmla="val 50000"/>
                          </a:avLst>
                        </a:prstGeom>
                        <a:solidFill>
                          <a:srgbClr val="0000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自选图形 1493" o:spid="_x0000_s1026" o:spt="5" type="#_x0000_t5" style="position:absolute;left:0pt;margin-left:304.15pt;margin-top:71.7pt;height:8.5pt;width:8.5pt;z-index:251677696;mso-width-relative:page;mso-height-relative:page;" fillcolor="#000000" filled="t" stroked="t" coordsize="21600,21600" o:gfxdata="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AUHCzfYAAAACwEA&#10;AA8AAAAAAAAAAQAgAAAAIgAAAGRycy9kb3ducmV2LnhtbFBLAQIUABQAAAAIAIdO4kDRT2+JGgIA&#10;AFcEAAAOAAAAAAAAAAEAIAAAACcBAABkcnMvZTJvRG9jLnhtbFBLBQYAAAAABgAGAFkBAACzBQAA&#10;AAA=&#10;" adj="10800">
                <v:fill on="t" focussize="0,0"/>
                <v:stroke color="#000000" joinstyle="miter"/>
                <v:imagedata o:title=""/>
                <o:lock v:ext="edit" aspectratio="f"/>
              </v:shape>
            </w:pict>
          </mc:Fallback>
        </mc:AlternateContent>
      </w:r>
      <w:r>
        <w:rPr>
          <w:rFonts w:ascii="Times New Roman" w:hAnsi="Times New Roman"/>
          <w:color w:val="auto"/>
          <w:sz w:val="24"/>
        </w:rPr>
        <mc:AlternateContent>
          <mc:Choice Requires="wps">
            <w:drawing>
              <wp:anchor distT="0" distB="0" distL="114300" distR="114300" simplePos="0" relativeHeight="251678720" behindDoc="0" locked="0" layoutInCell="1" allowOverlap="1">
                <wp:simplePos x="0" y="0"/>
                <wp:positionH relativeFrom="column">
                  <wp:posOffset>2881630</wp:posOffset>
                </wp:positionH>
                <wp:positionV relativeFrom="paragraph">
                  <wp:posOffset>2415540</wp:posOffset>
                </wp:positionV>
                <wp:extent cx="107950" cy="107950"/>
                <wp:effectExtent l="7620" t="10795" r="17780" b="14605"/>
                <wp:wrapNone/>
                <wp:docPr id="46" name="自选图形 1494"/>
                <wp:cNvGraphicFramePr/>
                <a:graphic xmlns:a="http://schemas.openxmlformats.org/drawingml/2006/main">
                  <a:graphicData uri="http://schemas.microsoft.com/office/word/2010/wordprocessingShape">
                    <wps:wsp>
                      <wps:cNvSpPr/>
                      <wps:spPr>
                        <a:xfrm>
                          <a:off x="0" y="0"/>
                          <a:ext cx="107950" cy="107950"/>
                        </a:xfrm>
                        <a:prstGeom prst="triangle">
                          <a:avLst>
                            <a:gd name="adj" fmla="val 50000"/>
                          </a:avLst>
                        </a:prstGeom>
                        <a:solidFill>
                          <a:srgbClr val="0000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自选图形 1494" o:spid="_x0000_s1026" o:spt="5" type="#_x0000_t5" style="position:absolute;left:0pt;margin-left:226.9pt;margin-top:190.2pt;height:8.5pt;width:8.5pt;z-index:251678720;mso-width-relative:page;mso-height-relative:page;" fillcolor="#000000" filled="t" stroked="t" coordsize="21600,21600" o:gfxdata="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L2FC79kAAAAL&#10;AQAADwAAAAAAAAABACAAAAAiAAAAZHJzL2Rvd25yZXYueG1sUEsBAhQAFAAAAAgAh07iQAdhaqkb&#10;AgAAVwQAAA4AAAAAAAAAAQAgAAAAKAEAAGRycy9lMm9Eb2MueG1sUEsFBgAAAAAGAAYAWQEAALUF&#10;AAAAAA==&#10;" adj="10800">
                <v:fill on="t" focussize="0,0"/>
                <v:stroke color="#000000" joinstyle="miter"/>
                <v:imagedata o:title=""/>
                <o:lock v:ext="edit" aspectratio="f"/>
              </v:shape>
            </w:pict>
          </mc:Fallback>
        </mc:AlternateContent>
      </w:r>
      <w:r>
        <w:rPr>
          <w:rFonts w:ascii="Times New Roman" w:hAnsi="Times New Roman"/>
          <w:color w:val="auto"/>
          <w:sz w:val="24"/>
        </w:rPr>
        <mc:AlternateContent>
          <mc:Choice Requires="wps">
            <w:drawing>
              <wp:anchor distT="0" distB="0" distL="114300" distR="114300" simplePos="0" relativeHeight="251679744" behindDoc="0" locked="0" layoutInCell="1" allowOverlap="1">
                <wp:simplePos x="0" y="0"/>
                <wp:positionH relativeFrom="column">
                  <wp:posOffset>4148455</wp:posOffset>
                </wp:positionH>
                <wp:positionV relativeFrom="paragraph">
                  <wp:posOffset>3872865</wp:posOffset>
                </wp:positionV>
                <wp:extent cx="107950" cy="107950"/>
                <wp:effectExtent l="7620" t="10795" r="17780" b="14605"/>
                <wp:wrapNone/>
                <wp:docPr id="47" name="自选图形 1495"/>
                <wp:cNvGraphicFramePr/>
                <a:graphic xmlns:a="http://schemas.openxmlformats.org/drawingml/2006/main">
                  <a:graphicData uri="http://schemas.microsoft.com/office/word/2010/wordprocessingShape">
                    <wps:wsp>
                      <wps:cNvSpPr/>
                      <wps:spPr>
                        <a:xfrm>
                          <a:off x="0" y="0"/>
                          <a:ext cx="107950" cy="107950"/>
                        </a:xfrm>
                        <a:prstGeom prst="triangle">
                          <a:avLst>
                            <a:gd name="adj" fmla="val 50000"/>
                          </a:avLst>
                        </a:prstGeom>
                        <a:solidFill>
                          <a:srgbClr val="0000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自选图形 1495" o:spid="_x0000_s1026" o:spt="5" type="#_x0000_t5" style="position:absolute;left:0pt;margin-left:326.65pt;margin-top:304.95pt;height:8.5pt;width:8.5pt;z-index:251679744;mso-width-relative:page;mso-height-relative:page;" fillcolor="#000000" filled="t" stroked="t" coordsize="21600,21600" o:gfxdata="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H8ES2dkAAAAL&#10;AQAADwAAAAAAAAABACAAAAAiAAAAZHJzL2Rvd25yZXYueG1sUEsBAhQAFAAAAAgAh07iQAgkgzEb&#10;AgAAVwQAAA4AAAAAAAAAAQAgAAAAKAEAAGRycy9lMm9Eb2MueG1sUEsFBgAAAAAGAAYAWQEAALUF&#10;AAAAAA==&#10;" adj="10800">
                <v:fill on="t" focussize="0,0"/>
                <v:stroke color="#000000" joinstyle="miter"/>
                <v:imagedata o:title=""/>
                <o:lock v:ext="edit" aspectratio="f"/>
              </v:shape>
            </w:pict>
          </mc:Fallback>
        </mc:AlternateContent>
      </w:r>
      <w:r>
        <w:rPr>
          <w:rFonts w:ascii="Times New Roman" w:hAnsi="Times New Roman"/>
          <w:color w:val="auto"/>
          <w:sz w:val="24"/>
        </w:rPr>
        <mc:AlternateContent>
          <mc:Choice Requires="wps">
            <w:drawing>
              <wp:anchor distT="0" distB="0" distL="114300" distR="114300" simplePos="0" relativeHeight="251664384" behindDoc="0" locked="0" layoutInCell="1" allowOverlap="1">
                <wp:simplePos x="0" y="0"/>
                <wp:positionH relativeFrom="column">
                  <wp:posOffset>5415280</wp:posOffset>
                </wp:positionH>
                <wp:positionV relativeFrom="paragraph">
                  <wp:posOffset>1872615</wp:posOffset>
                </wp:positionV>
                <wp:extent cx="107950" cy="107950"/>
                <wp:effectExtent l="7620" t="10795" r="17780" b="14605"/>
                <wp:wrapNone/>
                <wp:docPr id="7" name="自选图形 1492"/>
                <wp:cNvGraphicFramePr/>
                <a:graphic xmlns:a="http://schemas.openxmlformats.org/drawingml/2006/main">
                  <a:graphicData uri="http://schemas.microsoft.com/office/word/2010/wordprocessingShape">
                    <wps:wsp>
                      <wps:cNvSpPr/>
                      <wps:spPr>
                        <a:xfrm>
                          <a:off x="0" y="0"/>
                          <a:ext cx="107950" cy="107950"/>
                        </a:xfrm>
                        <a:prstGeom prst="triangle">
                          <a:avLst>
                            <a:gd name="adj" fmla="val 50000"/>
                          </a:avLst>
                        </a:prstGeom>
                        <a:solidFill>
                          <a:srgbClr val="000000"/>
                        </a:solidFill>
                        <a:ln w="9525" cap="flat" cmpd="sng">
                          <a:solidFill>
                            <a:srgbClr val="000000"/>
                          </a:solidFill>
                          <a:prstDash val="solid"/>
                          <a:miter/>
                          <a:headEnd type="none" w="med" len="med"/>
                          <a:tailEnd type="none" w="med" len="med"/>
                        </a:ln>
                      </wps:spPr>
                      <wps:txbx>
                        <w:txbxContent>
                          <w:p/>
                        </w:txbxContent>
                      </wps:txbx>
                      <wps:bodyPr upright="1"/>
                    </wps:wsp>
                  </a:graphicData>
                </a:graphic>
              </wp:anchor>
            </w:drawing>
          </mc:Choice>
          <mc:Fallback>
            <w:pict>
              <v:shape id="自选图形 1492" o:spid="_x0000_s1026" o:spt="5" type="#_x0000_t5" style="position:absolute;left:0pt;margin-left:426.4pt;margin-top:147.45pt;height:8.5pt;width:8.5pt;z-index:251664384;mso-width-relative:page;mso-height-relative:page;" fillcolor="#000000" filled="t" stroked="t" coordsize="21600,21600" o:gfxdata="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fie2&#10;1NoAAAALAQAADwAAAAAAAAABACAAAAAiAAAAZHJzL2Rvd25yZXYueG1sUEsBAhQAFAAAAAgAh07i&#10;QGqp1i0gAgAAYQQAAA4AAAAAAAAAAQAgAAAAKQEAAGRycy9lMm9Eb2MueG1sUEsFBgAAAAAGAAYA&#10;WQEAALsFAAAAAA==&#10;" adj="10800">
                <v:fill on="t" focussize="0,0"/>
                <v:stroke color="#000000" joinstyle="miter"/>
                <v:imagedata o:title=""/>
                <o:lock v:ext="edit" aspectratio="f"/>
                <v:textbox>
                  <w:txbxContent>
                    <w:p/>
                  </w:txbxContent>
                </v:textbox>
              </v:shape>
            </w:pict>
          </mc:Fallback>
        </mc:AlternateContent>
      </w:r>
      <w:r>
        <w:rPr>
          <w:rFonts w:ascii="Times New Roman" w:hAnsi="Times New Roman"/>
          <w:color w:val="auto"/>
          <w:sz w:val="24"/>
        </w:rPr>
        <mc:AlternateContent>
          <mc:Choice Requires="wps">
            <w:drawing>
              <wp:anchor distT="0" distB="0" distL="114300" distR="114300" simplePos="0" relativeHeight="251663360" behindDoc="0" locked="0" layoutInCell="1" allowOverlap="1">
                <wp:simplePos x="0" y="0"/>
                <wp:positionH relativeFrom="column">
                  <wp:posOffset>5472430</wp:posOffset>
                </wp:positionH>
                <wp:positionV relativeFrom="paragraph">
                  <wp:posOffset>1796415</wp:posOffset>
                </wp:positionV>
                <wp:extent cx="571500" cy="495300"/>
                <wp:effectExtent l="0" t="0" r="0" b="0"/>
                <wp:wrapNone/>
                <wp:docPr id="4" name="文本框 1491"/>
                <wp:cNvGraphicFramePr/>
                <a:graphic xmlns:a="http://schemas.openxmlformats.org/drawingml/2006/main">
                  <a:graphicData uri="http://schemas.microsoft.com/office/word/2010/wordprocessingShape">
                    <wps:wsp>
                      <wps:cNvSpPr txBox="1"/>
                      <wps:spPr>
                        <a:xfrm>
                          <a:off x="0" y="0"/>
                          <a:ext cx="571500" cy="495300"/>
                        </a:xfrm>
                        <a:prstGeom prst="rect">
                          <a:avLst/>
                        </a:prstGeom>
                        <a:noFill/>
                        <a:ln>
                          <a:noFill/>
                        </a:ln>
                      </wps:spPr>
                      <wps:txbx>
                        <w:txbxContent>
                          <w:p>
                            <w:pPr>
                              <w:rPr>
                                <w:rFonts w:hint="eastAsia" w:ascii="Times New Roman" w:hAnsi="Times New Roman" w:eastAsia="宋体" w:cs="宋体"/>
                                <w:lang w:val="en-US" w:eastAsia="zh-CN"/>
                              </w:rPr>
                            </w:pPr>
                            <w:r>
                              <w:rPr>
                                <w:rFonts w:hint="eastAsia" w:ascii="Times New Roman" w:hAnsi="Times New Roman" w:eastAsia="宋体" w:cs="宋体"/>
                                <w:lang w:val="en-US" w:eastAsia="zh-CN"/>
                              </w:rPr>
                              <w:t>N1</w:t>
                            </w:r>
                          </w:p>
                        </w:txbxContent>
                      </wps:txbx>
                      <wps:bodyPr upright="1"/>
                    </wps:wsp>
                  </a:graphicData>
                </a:graphic>
              </wp:anchor>
            </w:drawing>
          </mc:Choice>
          <mc:Fallback>
            <w:pict>
              <v:shape id="文本框 1491" o:spid="_x0000_s1026" o:spt="202" type="#_x0000_t202" style="position:absolute;left:0pt;margin-left:430.9pt;margin-top:141.45pt;height:39pt;width:45pt;z-index:251663360;mso-width-relative:page;mso-height-relative:page;" filled="f" stroked="f" coordsize="21600,21600" o:gfxdata="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Z97Px&#10;2AAAAAsBAAAPAAAAAAAAAAEAIAAAACIAAABkcnMvZG93bnJldi54bWxQSwECFAAUAAAACACHTuJA&#10;LWUdu68BAABQAwAADgAAAAAAAAABACAAAAAnAQAAZHJzL2Uyb0RvYy54bWxQSwUGAAAAAAYABgBZ&#10;AQAASAUAAAAA&#10;">
                <v:fill on="f" focussize="0,0"/>
                <v:stroke on="f"/>
                <v:imagedata o:title=""/>
                <o:lock v:ext="edit" aspectratio="f"/>
                <v:textbox>
                  <w:txbxContent>
                    <w:p>
                      <w:pPr>
                        <w:rPr>
                          <w:rFonts w:hint="eastAsia" w:ascii="Times New Roman" w:hAnsi="Times New Roman" w:eastAsia="宋体" w:cs="宋体"/>
                          <w:lang w:val="en-US" w:eastAsia="zh-CN"/>
                        </w:rPr>
                      </w:pPr>
                      <w:r>
                        <w:rPr>
                          <w:rFonts w:hint="eastAsia" w:ascii="Times New Roman" w:hAnsi="Times New Roman" w:eastAsia="宋体" w:cs="宋体"/>
                          <w:lang w:val="en-US" w:eastAsia="zh-CN"/>
                        </w:rPr>
                        <w:t>N1</w:t>
                      </w:r>
                    </w:p>
                  </w:txbxContent>
                </v:textbox>
              </v:shape>
            </w:pict>
          </mc:Fallback>
        </mc:AlternateContent>
      </w:r>
      <w:r>
        <w:rPr>
          <w:rFonts w:ascii="Times New Roman" w:hAnsi="Times New Roman"/>
          <w:color w:val="auto"/>
        </w:rPr>
        <w:drawing>
          <wp:inline distT="0" distB="0" distL="114300" distR="114300">
            <wp:extent cx="7705725" cy="5505450"/>
            <wp:effectExtent l="0" t="0" r="9525" b="0"/>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pic:cNvPicPr>
                  </pic:nvPicPr>
                  <pic:blipFill>
                    <a:blip r:embed="rId13"/>
                    <a:stretch>
                      <a:fillRect/>
                    </a:stretch>
                  </pic:blipFill>
                  <pic:spPr>
                    <a:xfrm>
                      <a:off x="0" y="0"/>
                      <a:ext cx="7705725" cy="5505450"/>
                    </a:xfrm>
                    <a:prstGeom prst="rect">
                      <a:avLst/>
                    </a:prstGeom>
                    <a:noFill/>
                    <a:ln>
                      <a:noFill/>
                    </a:ln>
                  </pic:spPr>
                </pic:pic>
              </a:graphicData>
            </a:graphic>
          </wp:inline>
        </w:drawing>
      </w:r>
    </w:p>
    <w:p>
      <w:pPr>
        <w:pStyle w:val="10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b/>
          <w:bCs/>
          <w:color w:val="auto"/>
          <w:sz w:val="21"/>
          <w:szCs w:val="21"/>
          <w:lang w:val="en-US" w:eastAsia="zh-CN"/>
        </w:rPr>
        <w:sectPr>
          <w:pgSz w:w="16838" w:h="11906" w:orient="landscape"/>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r>
        <w:rPr>
          <w:rFonts w:hint="eastAsia" w:ascii="Times New Roman" w:hAnsi="Times New Roman"/>
          <w:b/>
          <w:bCs/>
          <w:color w:val="auto"/>
          <w:sz w:val="21"/>
          <w:szCs w:val="21"/>
          <w:lang w:eastAsia="zh-CN"/>
        </w:rPr>
        <w:t>图</w:t>
      </w:r>
      <w:r>
        <w:rPr>
          <w:rFonts w:hint="eastAsia" w:ascii="Times New Roman" w:hAnsi="Times New Roman"/>
          <w:b/>
          <w:bCs/>
          <w:color w:val="auto"/>
          <w:sz w:val="21"/>
          <w:szCs w:val="21"/>
          <w:lang w:val="en-US" w:eastAsia="zh-CN"/>
        </w:rPr>
        <w:t>7.3-1  监测采样布点图</w:t>
      </w:r>
    </w:p>
    <w:p>
      <w:pPr>
        <w:pStyle w:val="5"/>
        <w:pageBreakBefore w:val="0"/>
        <w:widowControl w:val="0"/>
        <w:kinsoku/>
        <w:wordWrap/>
        <w:overflowPunct/>
        <w:topLinePunct w:val="0"/>
        <w:autoSpaceDE/>
        <w:autoSpaceDN/>
        <w:bidi w:val="0"/>
        <w:adjustRightInd/>
        <w:snapToGrid/>
        <w:spacing w:beforeLines="0" w:afterLines="0" w:line="360" w:lineRule="auto"/>
        <w:ind w:firstLine="643" w:firstLineChars="200"/>
        <w:jc w:val="center"/>
        <w:textAlignment w:val="auto"/>
        <w:rPr>
          <w:rFonts w:ascii="Times New Roman" w:hAnsi="Times New Roman"/>
          <w:color w:val="auto"/>
        </w:rPr>
      </w:pPr>
      <w:bookmarkStart w:id="152" w:name="_Toc16924"/>
      <w:r>
        <w:rPr>
          <w:rFonts w:ascii="Times New Roman" w:hAnsi="Times New Roman"/>
          <w:color w:val="auto"/>
        </w:rPr>
        <mc:AlternateContent>
          <mc:Choice Requires="wps">
            <w:drawing>
              <wp:anchor distT="0" distB="0" distL="114300" distR="114300" simplePos="0" relativeHeight="251660288" behindDoc="0" locked="0" layoutInCell="1" allowOverlap="1">
                <wp:simplePos x="0" y="0"/>
                <wp:positionH relativeFrom="column">
                  <wp:posOffset>7680960</wp:posOffset>
                </wp:positionH>
                <wp:positionV relativeFrom="paragraph">
                  <wp:posOffset>-4575810</wp:posOffset>
                </wp:positionV>
                <wp:extent cx="681990" cy="289560"/>
                <wp:effectExtent l="0" t="0" r="0" b="0"/>
                <wp:wrapNone/>
                <wp:docPr id="42" name="Text Box 707"/>
                <wp:cNvGraphicFramePr/>
                <a:graphic xmlns:a="http://schemas.openxmlformats.org/drawingml/2006/main">
                  <a:graphicData uri="http://schemas.microsoft.com/office/word/2010/wordprocessingShape">
                    <wps:wsp>
                      <wps:cNvSpPr txBox="1">
                        <a:spLocks noChangeArrowheads="1"/>
                      </wps:cNvSpPr>
                      <wps:spPr bwMode="auto">
                        <a:xfrm>
                          <a:off x="0" y="0"/>
                          <a:ext cx="681990" cy="289560"/>
                        </a:xfrm>
                        <a:prstGeom prst="rect">
                          <a:avLst/>
                        </a:prstGeom>
                        <a:solidFill>
                          <a:srgbClr val="FFFFFF">
                            <a:alpha val="0"/>
                          </a:srgbClr>
                        </a:solidFill>
                        <a:ln>
                          <a:noFill/>
                        </a:ln>
                        <a:effectLst/>
                      </wps:spPr>
                      <wps:txbx>
                        <w:txbxContent>
                          <w:p>
                            <w:r>
                              <w:rPr>
                                <w:rFonts w:hint="eastAsia" w:cs="Times New Roman" w:asciiTheme="minorEastAsia" w:hAnsiTheme="minorEastAsia"/>
                              </w:rPr>
                              <w:t>◎</w:t>
                            </w:r>
                            <w:r>
                              <w:rPr>
                                <w:rFonts w:hint="eastAsia" w:ascii="Times New Roman" w:cs="Times New Roman"/>
                                <w:b/>
                              </w:rPr>
                              <w:t>Y3</w:t>
                            </w: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w:pict>
              <v:shape id="Text Box 707" o:spid="_x0000_s1026" o:spt="202" type="#_x0000_t202" style="position:absolute;left:0pt;margin-left:604.8pt;margin-top:-360.3pt;height:22.8pt;width:53.7pt;z-index:251660288;mso-width-relative:page;mso-height-relative:margin;mso-height-percent:200;" fillcolor="#FFFFFF" filled="t" stroked="f" coordsize="21600,21600" o:gfxdata="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7AIO62QAAAA8BAAAPAAAAAAAAAAEAIAAAACIAAABkcnMvZG93bnJldi54bWxQSwEC&#10;FAAUAAAACACHTuJAp6lQJywCAABqBAAADgAAAAAAAAABACAAAAAoAQAAZHJzL2Uyb0RvYy54bWxQ&#10;SwUGAAAAAAYABgBZAQAAxgUAAAAA&#10;">
                <v:fill on="t" opacity="0f" focussize="0,0"/>
                <v:stroke on="f"/>
                <v:imagedata o:title=""/>
                <o:lock v:ext="edit" aspectratio="f"/>
                <v:textbox style="mso-fit-shape-to-text:t;">
                  <w:txbxContent>
                    <w:p>
                      <w:r>
                        <w:rPr>
                          <w:rFonts w:hint="eastAsia" w:cs="Times New Roman" w:asciiTheme="minorEastAsia" w:hAnsiTheme="minorEastAsia"/>
                        </w:rPr>
                        <w:t>◎</w:t>
                      </w:r>
                      <w:r>
                        <w:rPr>
                          <w:rFonts w:hint="eastAsia" w:ascii="Times New Roman" w:cs="Times New Roman"/>
                          <w:b/>
                        </w:rPr>
                        <w:t>Y3</w:t>
                      </w:r>
                    </w:p>
                  </w:txbxContent>
                </v:textbox>
              </v:shape>
            </w:pict>
          </mc:Fallback>
        </mc:AlternateContent>
      </w:r>
      <w:r>
        <w:rPr>
          <w:rFonts w:ascii="Times New Roman" w:hAnsi="Times New Roman"/>
          <w:color w:val="auto"/>
        </w:rPr>
        <mc:AlternateContent>
          <mc:Choice Requires="wps">
            <w:drawing>
              <wp:anchor distT="0" distB="0" distL="114300" distR="114300" simplePos="0" relativeHeight="251659264" behindDoc="0" locked="0" layoutInCell="1" allowOverlap="1">
                <wp:simplePos x="0" y="0"/>
                <wp:positionH relativeFrom="column">
                  <wp:posOffset>7680325</wp:posOffset>
                </wp:positionH>
                <wp:positionV relativeFrom="paragraph">
                  <wp:posOffset>-2741930</wp:posOffset>
                </wp:positionV>
                <wp:extent cx="681990" cy="289560"/>
                <wp:effectExtent l="0" t="0" r="0" b="0"/>
                <wp:wrapNone/>
                <wp:docPr id="41" name="Text Box 698"/>
                <wp:cNvGraphicFramePr/>
                <a:graphic xmlns:a="http://schemas.openxmlformats.org/drawingml/2006/main">
                  <a:graphicData uri="http://schemas.microsoft.com/office/word/2010/wordprocessingShape">
                    <wps:wsp>
                      <wps:cNvSpPr txBox="1">
                        <a:spLocks noChangeArrowheads="1"/>
                      </wps:cNvSpPr>
                      <wps:spPr bwMode="auto">
                        <a:xfrm>
                          <a:off x="0" y="0"/>
                          <a:ext cx="681990" cy="289560"/>
                        </a:xfrm>
                        <a:prstGeom prst="rect">
                          <a:avLst/>
                        </a:prstGeom>
                        <a:solidFill>
                          <a:srgbClr val="FFFFFF">
                            <a:alpha val="0"/>
                          </a:srgbClr>
                        </a:solidFill>
                        <a:ln>
                          <a:noFill/>
                        </a:ln>
                        <a:effectLst/>
                      </wps:spPr>
                      <wps:txbx>
                        <w:txbxContent>
                          <w:p>
                            <w:r>
                              <w:rPr>
                                <w:rFonts w:hint="eastAsia" w:cs="Times New Roman" w:asciiTheme="minorEastAsia" w:hAnsiTheme="minorEastAsia"/>
                                <w:b/>
                              </w:rPr>
                              <w:t>▲</w:t>
                            </w:r>
                            <w:r>
                              <w:rPr>
                                <w:rFonts w:hint="eastAsia" w:ascii="Times New Roman" w:cs="Times New Roman"/>
                                <w:b/>
                              </w:rPr>
                              <w:t>N2</w:t>
                            </w: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w:pict>
              <v:shape id="Text Box 698" o:spid="_x0000_s1026" o:spt="202" type="#_x0000_t202" style="position:absolute;left:0pt;margin-left:604.75pt;margin-top:-215.9pt;height:22.8pt;width:53.7pt;z-index:251659264;mso-width-relative:page;mso-height-relative:margin;mso-height-percent:200;" fillcolor="#FFFFFF" filled="t" stroked="f" coordsize="21600,21600" o:gfxdata="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9WtTH2QAAAA8BAAAPAAAAAAAAAAEAIAAAACIAAABkcnMvZG93bnJldi54bWxQSwEC&#10;FAAUAAAACACHTuJAGSlKgSwCAABqBAAADgAAAAAAAAABACAAAAAoAQAAZHJzL2Uyb0RvYy54bWxQ&#10;SwUGAAAAAAYABgBZAQAAxgUAAAAA&#10;">
                <v:fill on="t" opacity="0f" focussize="0,0"/>
                <v:stroke on="f"/>
                <v:imagedata o:title=""/>
                <o:lock v:ext="edit" aspectratio="f"/>
                <v:textbox style="mso-fit-shape-to-text:t;">
                  <w:txbxContent>
                    <w:p>
                      <w:r>
                        <w:rPr>
                          <w:rFonts w:hint="eastAsia" w:cs="Times New Roman" w:asciiTheme="minorEastAsia" w:hAnsiTheme="minorEastAsia"/>
                          <w:b/>
                        </w:rPr>
                        <w:t>▲</w:t>
                      </w:r>
                      <w:r>
                        <w:rPr>
                          <w:rFonts w:hint="eastAsia" w:ascii="Times New Roman" w:cs="Times New Roman"/>
                          <w:b/>
                        </w:rPr>
                        <w:t>N2</w:t>
                      </w:r>
                    </w:p>
                  </w:txbxContent>
                </v:textbox>
              </v:shape>
            </w:pict>
          </mc:Fallback>
        </mc:AlternateContent>
      </w:r>
      <w:bookmarkStart w:id="153" w:name="_Toc507454886"/>
      <w:r>
        <w:rPr>
          <w:rFonts w:hint="eastAsia" w:ascii="Times New Roman" w:hAnsi="Times New Roman"/>
          <w:color w:val="auto"/>
        </w:rPr>
        <w:t>八、质量保证及质量控制</w:t>
      </w:r>
      <w:bookmarkEnd w:id="152"/>
      <w:bookmarkEnd w:id="153"/>
    </w:p>
    <w:p>
      <w:pPr>
        <w:pStyle w:val="105"/>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color w:val="auto"/>
        </w:rPr>
      </w:pPr>
      <w:bookmarkStart w:id="154" w:name="_Toc507454887"/>
      <w:r>
        <w:rPr>
          <w:rFonts w:ascii="Times New Roman" w:hAnsi="Times New Roman"/>
          <w:color w:val="auto"/>
        </w:rPr>
        <w:t>本次验收监测采样及样品分析均严格按照《环境水质监测质量保证手册》（第四版）、《环境空气监测质量保证手册》及《环境监测技术规范》等要求进行，实施全程序质量控制。具体质控要求如下：</w:t>
      </w:r>
    </w:p>
    <w:p>
      <w:pPr>
        <w:pStyle w:val="105"/>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color w:val="auto"/>
        </w:rPr>
      </w:pPr>
      <w:r>
        <w:rPr>
          <w:rFonts w:ascii="Times New Roman" w:hAnsi="Times New Roman"/>
          <w:color w:val="auto"/>
          <w:kern w:val="44"/>
        </w:rPr>
        <w:t>1、</w:t>
      </w:r>
      <w:r>
        <w:rPr>
          <w:rFonts w:ascii="Times New Roman" w:hAnsi="Times New Roman"/>
          <w:color w:val="auto"/>
        </w:rPr>
        <w:t>生产处于正常。监测期间生产稳定运行，各污染治理设施运行基本正常。</w:t>
      </w:r>
    </w:p>
    <w:p>
      <w:pPr>
        <w:pStyle w:val="105"/>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color w:val="auto"/>
        </w:rPr>
      </w:pPr>
      <w:r>
        <w:rPr>
          <w:rFonts w:ascii="Times New Roman" w:hAnsi="Times New Roman"/>
          <w:color w:val="auto"/>
        </w:rPr>
        <w:t>2</w:t>
      </w:r>
      <w:r>
        <w:rPr>
          <w:rFonts w:ascii="Times New Roman" w:hAnsi="Times New Roman"/>
          <w:b/>
          <w:color w:val="auto"/>
          <w:kern w:val="44"/>
        </w:rPr>
        <w:t>、</w:t>
      </w:r>
      <w:r>
        <w:rPr>
          <w:rFonts w:ascii="Times New Roman" w:hAnsi="Times New Roman"/>
          <w:color w:val="auto"/>
        </w:rPr>
        <w:t>合理布设监测点位</w:t>
      </w:r>
      <w:r>
        <w:rPr>
          <w:rFonts w:hint="eastAsia" w:ascii="Times New Roman" w:hAnsi="Times New Roman"/>
          <w:color w:val="auto"/>
        </w:rPr>
        <w:t>，</w:t>
      </w:r>
      <w:r>
        <w:rPr>
          <w:rFonts w:ascii="Times New Roman" w:hAnsi="Times New Roman"/>
          <w:color w:val="auto"/>
        </w:rPr>
        <w:t>保证各监测点位布设的科学性和可比性。</w:t>
      </w:r>
    </w:p>
    <w:p>
      <w:pPr>
        <w:pStyle w:val="105"/>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color w:val="auto"/>
        </w:rPr>
      </w:pPr>
      <w:r>
        <w:rPr>
          <w:rFonts w:ascii="Times New Roman" w:hAnsi="Times New Roman"/>
          <w:color w:val="auto"/>
        </w:rPr>
        <w:t>3、监测分析方法采用国家颁布标准（或推荐）分析方法，监测人员</w:t>
      </w:r>
      <w:r>
        <w:rPr>
          <w:rFonts w:hint="eastAsia" w:ascii="Times New Roman" w:hAnsi="Times New Roman"/>
          <w:color w:val="auto"/>
        </w:rPr>
        <w:t>均持证上岗</w:t>
      </w:r>
      <w:r>
        <w:rPr>
          <w:rFonts w:ascii="Times New Roman" w:hAnsi="Times New Roman"/>
          <w:color w:val="auto"/>
        </w:rPr>
        <w:t>，所有监测仪器经过计量部门检定并在有效期内。</w:t>
      </w:r>
    </w:p>
    <w:p>
      <w:pPr>
        <w:pStyle w:val="105"/>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color w:val="auto"/>
        </w:rPr>
      </w:pPr>
      <w:r>
        <w:rPr>
          <w:rFonts w:ascii="Times New Roman" w:hAnsi="Times New Roman"/>
          <w:color w:val="auto"/>
        </w:rPr>
        <w:t>4</w:t>
      </w:r>
      <w:r>
        <w:rPr>
          <w:rFonts w:hint="eastAsia" w:ascii="Times New Roman" w:hAnsi="Times New Roman"/>
          <w:color w:val="auto"/>
        </w:rPr>
        <w:t>、</w:t>
      </w:r>
      <w:r>
        <w:rPr>
          <w:rFonts w:ascii="Times New Roman" w:hAnsi="Times New Roman"/>
          <w:color w:val="auto"/>
        </w:rPr>
        <w:t>监测数据严格实行三级审核制度。</w:t>
      </w:r>
    </w:p>
    <w:p>
      <w:pPr>
        <w:pStyle w:val="6"/>
        <w:keepNext/>
        <w:keepLines/>
        <w:pageBreakBefore w:val="0"/>
        <w:widowControl w:val="0"/>
        <w:kinsoku/>
        <w:wordWrap/>
        <w:overflowPunct/>
        <w:topLinePunct w:val="0"/>
        <w:autoSpaceDE/>
        <w:autoSpaceDN/>
        <w:bidi w:val="0"/>
        <w:adjustRightInd/>
        <w:snapToGrid/>
        <w:spacing w:before="0" w:after="0" w:line="360" w:lineRule="auto"/>
        <w:ind w:firstLine="0" w:firstLineChars="0"/>
        <w:textAlignment w:val="auto"/>
        <w:rPr>
          <w:rFonts w:ascii="Times New Roman" w:hAnsi="Times New Roman"/>
          <w:color w:val="auto"/>
        </w:rPr>
      </w:pPr>
      <w:bookmarkStart w:id="155" w:name="_Toc22506"/>
      <w:r>
        <w:rPr>
          <w:rFonts w:ascii="Times New Roman" w:hAnsi="Times New Roman"/>
          <w:color w:val="auto"/>
        </w:rPr>
        <w:t>8.1</w:t>
      </w:r>
      <w:r>
        <w:rPr>
          <w:rFonts w:hint="eastAsia" w:ascii="Times New Roman" w:hAnsi="Times New Roman"/>
          <w:color w:val="auto"/>
        </w:rPr>
        <w:t>监测分析方法</w:t>
      </w:r>
      <w:bookmarkEnd w:id="154"/>
      <w:bookmarkEnd w:id="155"/>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color w:val="auto"/>
          <w:sz w:val="24"/>
          <w:szCs w:val="20"/>
        </w:rPr>
      </w:pPr>
      <w:r>
        <w:rPr>
          <w:rFonts w:hint="eastAsia" w:ascii="Times New Roman" w:hAnsi="Times New Roman" w:eastAsia="宋体" w:cs="Times New Roman"/>
          <w:color w:val="auto"/>
          <w:sz w:val="24"/>
          <w:szCs w:val="20"/>
        </w:rPr>
        <w:t>监测分析方法详见表8.1-1：</w:t>
      </w:r>
    </w:p>
    <w:p>
      <w:pPr>
        <w:pageBreakBefore w:val="0"/>
        <w:widowControl w:val="0"/>
        <w:kinsoku/>
        <w:wordWrap/>
        <w:overflowPunct/>
        <w:topLinePunct w:val="0"/>
        <w:autoSpaceDE/>
        <w:autoSpaceDN/>
        <w:bidi w:val="0"/>
        <w:adjustRightInd/>
        <w:snapToGrid/>
        <w:spacing w:line="360" w:lineRule="auto"/>
        <w:ind w:firstLine="422" w:firstLineChars="200"/>
        <w:jc w:val="center"/>
        <w:textAlignment w:val="auto"/>
        <w:rPr>
          <w:rFonts w:ascii="Times New Roman" w:hAnsi="Times New Roman" w:cs="Times New Roman"/>
          <w:b/>
          <w:color w:val="auto"/>
          <w:szCs w:val="21"/>
        </w:rPr>
      </w:pPr>
      <w:r>
        <w:rPr>
          <w:rFonts w:hint="eastAsia" w:ascii="Times New Roman" w:hAnsi="Times New Roman" w:cs="Times New Roman"/>
          <w:b/>
          <w:color w:val="auto"/>
          <w:szCs w:val="21"/>
        </w:rPr>
        <w:t xml:space="preserve">表8.1-1 </w:t>
      </w:r>
      <w:r>
        <w:rPr>
          <w:rFonts w:hint="eastAsia" w:ascii="Times New Roman" w:hAnsi="Times New Roman" w:cs="Times New Roman"/>
          <w:b/>
          <w:color w:val="auto"/>
          <w:szCs w:val="21"/>
          <w:lang w:val="en-US" w:eastAsia="zh-CN"/>
        </w:rPr>
        <w:t xml:space="preserve"> </w:t>
      </w:r>
      <w:r>
        <w:rPr>
          <w:rFonts w:hint="eastAsia" w:ascii="Times New Roman" w:hAnsi="Times New Roman" w:cs="Times New Roman"/>
          <w:b/>
          <w:color w:val="auto"/>
          <w:szCs w:val="21"/>
        </w:rPr>
        <w:t>监测</w:t>
      </w:r>
      <w:r>
        <w:rPr>
          <w:rFonts w:ascii="Times New Roman" w:hAnsi="Times New Roman" w:cs="Times New Roman"/>
          <w:b/>
          <w:color w:val="auto"/>
          <w:szCs w:val="21"/>
        </w:rPr>
        <w:t>分析方法一览表</w:t>
      </w:r>
    </w:p>
    <w:tbl>
      <w:tblPr>
        <w:tblStyle w:val="29"/>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88"/>
        <w:gridCol w:w="1506"/>
        <w:gridCol w:w="2839"/>
        <w:gridCol w:w="2636"/>
        <w:gridCol w:w="152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72" w:type="pct"/>
            <w:tcBorders>
              <w:tl2br w:val="nil"/>
              <w:tr2bl w:val="nil"/>
            </w:tcBorders>
            <w:vAlign w:val="center"/>
          </w:tcPr>
          <w:p>
            <w:pPr>
              <w:jc w:val="center"/>
              <w:rPr>
                <w:rFonts w:hint="default" w:ascii="Times New Roman" w:hAnsi="Times New Roman" w:eastAsiaTheme="minorEastAsia"/>
                <w:b/>
                <w:color w:val="auto"/>
                <w:szCs w:val="21"/>
                <w:lang w:val="en-US" w:eastAsia="zh-CN"/>
              </w:rPr>
            </w:pPr>
            <w:bookmarkStart w:id="156" w:name="_Toc507454888"/>
            <w:r>
              <w:rPr>
                <w:rFonts w:hint="eastAsia" w:ascii="Times New Roman" w:hAnsi="Times New Roman"/>
                <w:b/>
                <w:color w:val="auto"/>
                <w:szCs w:val="21"/>
                <w:lang w:val="en-US" w:eastAsia="zh-CN"/>
              </w:rPr>
              <w:t>样品类别</w:t>
            </w:r>
          </w:p>
        </w:tc>
        <w:tc>
          <w:tcPr>
            <w:tcW w:w="801" w:type="pct"/>
            <w:tcBorders>
              <w:tl2br w:val="nil"/>
              <w:tr2bl w:val="nil"/>
            </w:tcBorders>
            <w:vAlign w:val="center"/>
          </w:tcPr>
          <w:p>
            <w:pPr>
              <w:pStyle w:val="101"/>
              <w:jc w:val="center"/>
              <w:rPr>
                <w:rFonts w:ascii="Times New Roman" w:hAnsi="Times New Roman"/>
                <w:b/>
                <w:color w:val="auto"/>
                <w:szCs w:val="21"/>
                <w:lang w:val="en-US"/>
              </w:rPr>
            </w:pPr>
            <w:r>
              <w:rPr>
                <w:rFonts w:hint="eastAsia" w:ascii="Times New Roman" w:hAnsi="Times New Roman"/>
                <w:b/>
                <w:color w:val="auto"/>
                <w:szCs w:val="21"/>
                <w:lang w:val="en-US"/>
              </w:rPr>
              <w:t>检测项目</w:t>
            </w:r>
          </w:p>
        </w:tc>
        <w:tc>
          <w:tcPr>
            <w:tcW w:w="1510" w:type="pct"/>
            <w:tcBorders>
              <w:tl2br w:val="nil"/>
              <w:tr2bl w:val="nil"/>
            </w:tcBorders>
            <w:vAlign w:val="center"/>
          </w:tcPr>
          <w:p>
            <w:pPr>
              <w:pStyle w:val="101"/>
              <w:jc w:val="center"/>
              <w:rPr>
                <w:rFonts w:ascii="Times New Roman" w:hAnsi="Times New Roman"/>
                <w:b/>
                <w:color w:val="auto"/>
                <w:szCs w:val="21"/>
                <w:lang w:val="en-US"/>
              </w:rPr>
            </w:pPr>
            <w:r>
              <w:rPr>
                <w:rFonts w:hint="eastAsia" w:ascii="Times New Roman" w:hAnsi="Times New Roman"/>
                <w:b/>
                <w:color w:val="auto"/>
                <w:szCs w:val="21"/>
                <w:lang w:val="en-US"/>
              </w:rPr>
              <w:t>分析方法</w:t>
            </w:r>
          </w:p>
        </w:tc>
        <w:tc>
          <w:tcPr>
            <w:tcW w:w="1402" w:type="pct"/>
            <w:tcBorders>
              <w:tl2br w:val="nil"/>
              <w:tr2bl w:val="nil"/>
            </w:tcBorders>
            <w:vAlign w:val="center"/>
          </w:tcPr>
          <w:p>
            <w:pPr>
              <w:pStyle w:val="101"/>
              <w:jc w:val="center"/>
              <w:rPr>
                <w:rFonts w:ascii="Times New Roman" w:hAnsi="Times New Roman"/>
                <w:b/>
                <w:color w:val="auto"/>
                <w:szCs w:val="21"/>
                <w:lang w:val="en-US"/>
              </w:rPr>
            </w:pPr>
            <w:r>
              <w:rPr>
                <w:rFonts w:hint="eastAsia" w:ascii="Times New Roman" w:hAnsi="Times New Roman"/>
                <w:b/>
                <w:color w:val="auto"/>
                <w:szCs w:val="21"/>
                <w:lang w:val="en-US"/>
              </w:rPr>
              <w:t>方法依据</w:t>
            </w:r>
          </w:p>
        </w:tc>
        <w:tc>
          <w:tcPr>
            <w:tcW w:w="812" w:type="pct"/>
            <w:tcBorders>
              <w:tl2br w:val="nil"/>
              <w:tr2bl w:val="nil"/>
            </w:tcBorders>
            <w:vAlign w:val="center"/>
          </w:tcPr>
          <w:p>
            <w:pPr>
              <w:pStyle w:val="101"/>
              <w:jc w:val="center"/>
              <w:rPr>
                <w:rFonts w:ascii="Times New Roman" w:hAnsi="Times New Roman"/>
                <w:b/>
                <w:color w:val="auto"/>
                <w:szCs w:val="21"/>
                <w:lang w:val="en-US"/>
              </w:rPr>
            </w:pPr>
            <w:r>
              <w:rPr>
                <w:rFonts w:hint="eastAsia" w:ascii="Times New Roman" w:hAnsi="Times New Roman"/>
                <w:b/>
                <w:color w:val="auto"/>
                <w:szCs w:val="21"/>
                <w:lang w:val="en-US"/>
              </w:rPr>
              <w:t>检出限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72" w:type="pct"/>
            <w:tcBorders>
              <w:tl2br w:val="nil"/>
              <w:tr2bl w:val="nil"/>
            </w:tcBorders>
            <w:vAlign w:val="center"/>
          </w:tcPr>
          <w:p>
            <w:pPr>
              <w:jc w:val="center"/>
              <w:rPr>
                <w:rFonts w:hint="eastAsia" w:ascii="Times New Roman" w:hAnsi="Times New Roman" w:eastAsiaTheme="minorEastAsia"/>
                <w:bCs/>
                <w:color w:val="auto"/>
                <w:szCs w:val="21"/>
                <w:highlight w:val="none"/>
                <w:lang w:eastAsia="zh-CN"/>
              </w:rPr>
            </w:pPr>
            <w:r>
              <w:rPr>
                <w:rFonts w:hint="eastAsia" w:ascii="Times New Roman" w:hAnsi="Times New Roman"/>
                <w:bCs/>
                <w:color w:val="auto"/>
                <w:szCs w:val="21"/>
                <w:highlight w:val="none"/>
                <w:lang w:eastAsia="zh-CN"/>
              </w:rPr>
              <w:t>无组织废气</w:t>
            </w:r>
          </w:p>
        </w:tc>
        <w:tc>
          <w:tcPr>
            <w:tcW w:w="801" w:type="pct"/>
            <w:tcBorders>
              <w:tl2br w:val="nil"/>
              <w:tr2bl w:val="nil"/>
            </w:tcBorders>
            <w:vAlign w:val="center"/>
          </w:tcPr>
          <w:p>
            <w:pPr>
              <w:jc w:val="center"/>
              <w:rPr>
                <w:rFonts w:ascii="Times New Roman" w:hAnsi="Times New Roman"/>
                <w:bCs/>
                <w:color w:val="auto"/>
                <w:szCs w:val="21"/>
                <w:highlight w:val="none"/>
              </w:rPr>
            </w:pPr>
            <w:r>
              <w:rPr>
                <w:rFonts w:hint="eastAsia" w:ascii="Times New Roman" w:hAnsi="Times New Roman"/>
                <w:bCs/>
                <w:color w:val="auto"/>
                <w:szCs w:val="21"/>
                <w:highlight w:val="none"/>
              </w:rPr>
              <w:t>颗粒物</w:t>
            </w:r>
          </w:p>
        </w:tc>
        <w:tc>
          <w:tcPr>
            <w:tcW w:w="1510" w:type="pct"/>
            <w:tcBorders>
              <w:tl2br w:val="nil"/>
              <w:tr2bl w:val="nil"/>
            </w:tcBorders>
            <w:vAlign w:val="center"/>
          </w:tcPr>
          <w:p>
            <w:pPr>
              <w:jc w:val="center"/>
              <w:rPr>
                <w:rFonts w:hint="default" w:ascii="Times New Roman" w:hAnsi="Times New Roman" w:cs="宋体" w:eastAsiaTheme="minorEastAsia"/>
                <w:color w:val="auto"/>
                <w:szCs w:val="21"/>
                <w:highlight w:val="none"/>
                <w:lang w:val="en-US" w:eastAsia="zh-CN"/>
              </w:rPr>
            </w:pPr>
            <w:r>
              <w:rPr>
                <w:rFonts w:hint="eastAsia" w:ascii="Times New Roman" w:hAnsi="Times New Roman" w:cs="宋体"/>
                <w:color w:val="auto"/>
                <w:szCs w:val="21"/>
                <w:highlight w:val="none"/>
                <w:lang w:eastAsia="zh-CN"/>
              </w:rPr>
              <w:t>环境空气</w:t>
            </w:r>
            <w:r>
              <w:rPr>
                <w:rFonts w:hint="eastAsia" w:ascii="Times New Roman" w:hAnsi="Times New Roman" w:cs="宋体"/>
                <w:color w:val="auto"/>
                <w:szCs w:val="21"/>
                <w:highlight w:val="none"/>
                <w:lang w:val="en-US" w:eastAsia="zh-CN"/>
              </w:rPr>
              <w:t xml:space="preserve">  总悬浮颗粒物的测定 重量法</w:t>
            </w:r>
          </w:p>
        </w:tc>
        <w:tc>
          <w:tcPr>
            <w:tcW w:w="1402" w:type="pct"/>
            <w:tcBorders>
              <w:tl2br w:val="nil"/>
              <w:tr2bl w:val="nil"/>
            </w:tcBorders>
            <w:vAlign w:val="center"/>
          </w:tcPr>
          <w:p>
            <w:pPr>
              <w:jc w:val="center"/>
              <w:rPr>
                <w:rFonts w:hint="default" w:ascii="Times New Roman" w:hAnsi="Times New Roman" w:cs="宋体" w:eastAsiaTheme="minorEastAsia"/>
                <w:color w:val="auto"/>
                <w:szCs w:val="21"/>
                <w:highlight w:val="none"/>
                <w:lang w:val="en-US" w:eastAsia="zh-CN"/>
              </w:rPr>
            </w:pPr>
            <w:r>
              <w:rPr>
                <w:rFonts w:hint="eastAsia" w:ascii="Times New Roman" w:hAnsi="Times New Roman" w:cs="宋体"/>
                <w:color w:val="auto"/>
                <w:szCs w:val="21"/>
                <w:highlight w:val="none"/>
                <w:lang w:val="en-US" w:eastAsia="zh-CN"/>
              </w:rPr>
              <w:t>GB/T15432-1995</w:t>
            </w:r>
          </w:p>
        </w:tc>
        <w:tc>
          <w:tcPr>
            <w:tcW w:w="812" w:type="pct"/>
            <w:tcBorders>
              <w:tl2br w:val="nil"/>
              <w:tr2bl w:val="nil"/>
            </w:tcBorders>
            <w:vAlign w:val="center"/>
          </w:tcPr>
          <w:p>
            <w:pPr>
              <w:jc w:val="center"/>
              <w:rPr>
                <w:rFonts w:hint="default" w:ascii="Times New Roman" w:hAnsi="Times New Roman" w:cs="宋体" w:eastAsiaTheme="minorEastAsia"/>
                <w:color w:val="auto"/>
                <w:szCs w:val="21"/>
                <w:highlight w:val="none"/>
                <w:vertAlign w:val="superscript"/>
                <w:lang w:val="en-US" w:eastAsia="zh-CN"/>
              </w:rPr>
            </w:pPr>
            <w:r>
              <w:rPr>
                <w:rFonts w:hint="eastAsia" w:ascii="Times New Roman" w:hAnsi="Times New Roman" w:cs="宋体"/>
                <w:color w:val="auto"/>
                <w:szCs w:val="21"/>
                <w:highlight w:val="none"/>
                <w:lang w:val="en-US" w:eastAsia="zh-CN"/>
              </w:rPr>
              <w:t>0.001mg/m</w:t>
            </w:r>
            <w:r>
              <w:rPr>
                <w:rFonts w:hint="eastAsia" w:ascii="Times New Roman" w:hAnsi="Times New Roman" w:cs="宋体"/>
                <w:color w:val="auto"/>
                <w:szCs w:val="21"/>
                <w:highlight w:val="none"/>
                <w:vertAlign w:val="superscript"/>
                <w:lang w:val="en-US" w:eastAsia="zh-CN"/>
              </w:rP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72" w:type="pct"/>
            <w:vMerge w:val="restart"/>
            <w:tcBorders>
              <w:tl2br w:val="nil"/>
              <w:tr2bl w:val="nil"/>
            </w:tcBorders>
            <w:vAlign w:val="center"/>
          </w:tcPr>
          <w:p>
            <w:pPr>
              <w:jc w:val="center"/>
              <w:rPr>
                <w:rFonts w:hint="eastAsia" w:ascii="Times New Roman" w:hAnsi="Times New Roman" w:eastAsiaTheme="minorEastAsia"/>
                <w:bCs/>
                <w:color w:val="auto"/>
                <w:szCs w:val="21"/>
                <w:lang w:eastAsia="zh-CN"/>
              </w:rPr>
            </w:pPr>
            <w:r>
              <w:rPr>
                <w:rFonts w:hint="eastAsia" w:ascii="Times New Roman" w:hAnsi="Times New Roman"/>
                <w:bCs/>
                <w:color w:val="auto"/>
                <w:szCs w:val="21"/>
                <w:lang w:eastAsia="zh-CN"/>
              </w:rPr>
              <w:t>地下水</w:t>
            </w:r>
          </w:p>
        </w:tc>
        <w:tc>
          <w:tcPr>
            <w:tcW w:w="801" w:type="pct"/>
            <w:tcBorders>
              <w:tl2br w:val="nil"/>
              <w:tr2bl w:val="nil"/>
            </w:tcBorders>
            <w:vAlign w:val="center"/>
          </w:tcPr>
          <w:p>
            <w:pPr>
              <w:jc w:val="center"/>
              <w:rPr>
                <w:rFonts w:ascii="Times New Roman" w:hAnsi="Times New Roman"/>
                <w:bCs/>
                <w:color w:val="auto"/>
                <w:szCs w:val="21"/>
              </w:rPr>
            </w:pPr>
            <w:r>
              <w:rPr>
                <w:rFonts w:ascii="Times New Roman" w:hAnsi="Times New Roman"/>
                <w:bCs/>
                <w:color w:val="auto"/>
                <w:szCs w:val="21"/>
              </w:rPr>
              <w:t>pH</w:t>
            </w:r>
          </w:p>
        </w:tc>
        <w:tc>
          <w:tcPr>
            <w:tcW w:w="1510" w:type="pct"/>
            <w:tcBorders>
              <w:tl2br w:val="nil"/>
              <w:tr2bl w:val="nil"/>
            </w:tcBorders>
            <w:vAlign w:val="center"/>
          </w:tcPr>
          <w:p>
            <w:pPr>
              <w:jc w:val="center"/>
              <w:rPr>
                <w:rFonts w:ascii="Times New Roman" w:hAnsi="Times New Roman" w:cs="宋体"/>
                <w:b/>
                <w:color w:val="auto"/>
                <w:szCs w:val="21"/>
              </w:rPr>
            </w:pPr>
            <w:r>
              <w:rPr>
                <w:rFonts w:hint="eastAsia" w:ascii="Times New Roman" w:hAnsi="Times New Roman" w:cs="宋体"/>
                <w:color w:val="auto"/>
                <w:kern w:val="0"/>
                <w:szCs w:val="21"/>
              </w:rPr>
              <w:t>便携式</w:t>
            </w:r>
            <w:r>
              <w:rPr>
                <w:rFonts w:ascii="Times New Roman" w:hAnsi="Times New Roman" w:cs="宋体"/>
                <w:color w:val="auto"/>
                <w:kern w:val="0"/>
                <w:szCs w:val="21"/>
              </w:rPr>
              <w:t>pH</w:t>
            </w:r>
            <w:r>
              <w:rPr>
                <w:rFonts w:hint="eastAsia" w:ascii="Times New Roman" w:hAnsi="Times New Roman" w:cs="宋体"/>
                <w:color w:val="auto"/>
                <w:kern w:val="0"/>
                <w:szCs w:val="21"/>
              </w:rPr>
              <w:t>计法</w:t>
            </w:r>
          </w:p>
        </w:tc>
        <w:tc>
          <w:tcPr>
            <w:tcW w:w="1402" w:type="pct"/>
            <w:tcBorders>
              <w:tl2br w:val="nil"/>
              <w:tr2bl w:val="nil"/>
            </w:tcBorders>
            <w:vAlign w:val="center"/>
          </w:tcPr>
          <w:p>
            <w:pPr>
              <w:jc w:val="center"/>
              <w:rPr>
                <w:rFonts w:ascii="Times New Roman" w:hAnsi="Times New Roman" w:cs="宋体"/>
                <w:b/>
                <w:color w:val="auto"/>
                <w:szCs w:val="21"/>
              </w:rPr>
            </w:pPr>
            <w:r>
              <w:rPr>
                <w:rFonts w:hint="eastAsia" w:ascii="Times New Roman" w:hAnsi="Times New Roman" w:cs="宋体"/>
                <w:color w:val="auto"/>
                <w:kern w:val="0"/>
                <w:szCs w:val="21"/>
              </w:rPr>
              <w:t>《水和废水监测分析方法》（第四版）</w:t>
            </w:r>
            <w:r>
              <w:rPr>
                <w:rFonts w:hint="eastAsia" w:ascii="Times New Roman" w:hAnsi="Times New Roman" w:cs="宋体"/>
                <w:color w:val="auto"/>
                <w:szCs w:val="21"/>
              </w:rPr>
              <w:t>国家环境保护总局（</w:t>
            </w:r>
            <w:r>
              <w:rPr>
                <w:rFonts w:ascii="Times New Roman" w:hAnsi="Times New Roman" w:cs="宋体"/>
                <w:color w:val="auto"/>
                <w:szCs w:val="21"/>
              </w:rPr>
              <w:t>2002</w:t>
            </w:r>
            <w:r>
              <w:rPr>
                <w:rFonts w:hint="eastAsia" w:ascii="Times New Roman" w:hAnsi="Times New Roman" w:cs="宋体"/>
                <w:color w:val="auto"/>
                <w:szCs w:val="21"/>
              </w:rPr>
              <w:t>年）</w:t>
            </w:r>
          </w:p>
        </w:tc>
        <w:tc>
          <w:tcPr>
            <w:tcW w:w="812" w:type="pct"/>
            <w:tcBorders>
              <w:tl2br w:val="nil"/>
              <w:tr2bl w:val="nil"/>
            </w:tcBorders>
            <w:vAlign w:val="center"/>
          </w:tcPr>
          <w:p>
            <w:pPr>
              <w:jc w:val="center"/>
              <w:rPr>
                <w:rFonts w:ascii="Times New Roman" w:hAnsi="Times New Roman"/>
                <w:b/>
                <w:color w:val="auto"/>
                <w:szCs w:val="21"/>
              </w:rPr>
            </w:pPr>
            <w:r>
              <w:rPr>
                <w:rFonts w:ascii="Times New Roman" w:hAnsi="Times New Roman"/>
                <w:b/>
                <w:color w:val="auto"/>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72" w:type="pct"/>
            <w:vMerge w:val="continue"/>
            <w:tcBorders>
              <w:tl2br w:val="nil"/>
              <w:tr2bl w:val="nil"/>
            </w:tcBorders>
            <w:vAlign w:val="center"/>
          </w:tcPr>
          <w:p>
            <w:pPr>
              <w:jc w:val="center"/>
              <w:rPr>
                <w:rFonts w:ascii="Times New Roman" w:hAnsi="Times New Roman"/>
                <w:bCs/>
                <w:color w:val="auto"/>
                <w:szCs w:val="21"/>
              </w:rPr>
            </w:pPr>
          </w:p>
        </w:tc>
        <w:tc>
          <w:tcPr>
            <w:tcW w:w="801" w:type="pct"/>
            <w:tcBorders>
              <w:tl2br w:val="nil"/>
              <w:tr2bl w:val="nil"/>
            </w:tcBorders>
            <w:vAlign w:val="center"/>
          </w:tcPr>
          <w:p>
            <w:pPr>
              <w:jc w:val="center"/>
              <w:rPr>
                <w:rFonts w:ascii="Times New Roman" w:hAnsi="Times New Roman"/>
                <w:bCs/>
                <w:color w:val="auto"/>
                <w:szCs w:val="21"/>
              </w:rPr>
            </w:pPr>
            <w:r>
              <w:rPr>
                <w:rFonts w:hint="eastAsia" w:ascii="Times New Roman" w:hAnsi="Times New Roman"/>
                <w:bCs/>
                <w:color w:val="auto"/>
                <w:szCs w:val="21"/>
              </w:rPr>
              <w:t>耗氧量</w:t>
            </w:r>
          </w:p>
        </w:tc>
        <w:tc>
          <w:tcPr>
            <w:tcW w:w="1510" w:type="pct"/>
            <w:tcBorders>
              <w:tl2br w:val="nil"/>
              <w:tr2bl w:val="nil"/>
            </w:tcBorders>
            <w:vAlign w:val="center"/>
          </w:tcPr>
          <w:p>
            <w:pPr>
              <w:jc w:val="center"/>
              <w:rPr>
                <w:rFonts w:ascii="Times New Roman" w:hAnsi="Times New Roman" w:cs="宋体"/>
                <w:color w:val="auto"/>
                <w:kern w:val="0"/>
                <w:szCs w:val="21"/>
              </w:rPr>
            </w:pPr>
            <w:r>
              <w:rPr>
                <w:rStyle w:val="120"/>
                <w:rFonts w:hint="eastAsia" w:ascii="Times New Roman" w:hAnsi="Times New Roman" w:eastAsia="宋体" w:cs="宋体"/>
                <w:color w:val="auto"/>
                <w:sz w:val="21"/>
                <w:szCs w:val="21"/>
              </w:rPr>
              <w:t>水质</w:t>
            </w:r>
            <w:r>
              <w:rPr>
                <w:rStyle w:val="120"/>
                <w:rFonts w:ascii="Times New Roman" w:hAnsi="Times New Roman" w:eastAsia="宋体" w:cs="宋体"/>
                <w:color w:val="auto"/>
                <w:sz w:val="21"/>
                <w:szCs w:val="21"/>
              </w:rPr>
              <w:t xml:space="preserve"> </w:t>
            </w:r>
            <w:r>
              <w:rPr>
                <w:rStyle w:val="120"/>
                <w:rFonts w:hint="eastAsia" w:ascii="Times New Roman" w:hAnsi="Times New Roman" w:eastAsia="宋体" w:cs="宋体"/>
                <w:color w:val="auto"/>
                <w:sz w:val="21"/>
                <w:szCs w:val="21"/>
              </w:rPr>
              <w:t>高锰酸盐指数的测定</w:t>
            </w:r>
          </w:p>
        </w:tc>
        <w:tc>
          <w:tcPr>
            <w:tcW w:w="1402" w:type="pct"/>
            <w:tcBorders>
              <w:tl2br w:val="nil"/>
              <w:tr2bl w:val="nil"/>
            </w:tcBorders>
            <w:vAlign w:val="center"/>
          </w:tcPr>
          <w:p>
            <w:pPr>
              <w:jc w:val="center"/>
              <w:rPr>
                <w:rFonts w:ascii="Times New Roman" w:hAnsi="Times New Roman" w:cs="宋体"/>
                <w:color w:val="auto"/>
                <w:kern w:val="0"/>
                <w:szCs w:val="21"/>
              </w:rPr>
            </w:pPr>
            <w:r>
              <w:rPr>
                <w:rStyle w:val="120"/>
                <w:rFonts w:ascii="Times New Roman" w:hAnsi="Times New Roman" w:eastAsia="宋体" w:cs="宋体"/>
                <w:color w:val="auto"/>
                <w:sz w:val="21"/>
                <w:szCs w:val="21"/>
              </w:rPr>
              <w:t>GB 11892-1989</w:t>
            </w:r>
          </w:p>
        </w:tc>
        <w:tc>
          <w:tcPr>
            <w:tcW w:w="812" w:type="pct"/>
            <w:tcBorders>
              <w:tl2br w:val="nil"/>
              <w:tr2bl w:val="nil"/>
            </w:tcBorders>
            <w:vAlign w:val="center"/>
          </w:tcPr>
          <w:p>
            <w:pPr>
              <w:jc w:val="center"/>
              <w:rPr>
                <w:rFonts w:ascii="Times New Roman" w:hAnsi="Times New Roman" w:cs="宋体"/>
                <w:bCs/>
                <w:color w:val="auto"/>
                <w:szCs w:val="21"/>
              </w:rPr>
            </w:pPr>
            <w:r>
              <w:rPr>
                <w:rFonts w:ascii="Times New Roman" w:hAnsi="Times New Roman" w:cs="宋体"/>
                <w:color w:val="auto"/>
                <w:szCs w:val="21"/>
              </w:rPr>
              <w:t>0.5</w:t>
            </w:r>
            <w:r>
              <w:rPr>
                <w:rFonts w:ascii="Times New Roman" w:hAnsi="Times New Roman" w:cs="宋体"/>
                <w:color w:val="auto"/>
                <w:kern w:val="0"/>
                <w:szCs w:val="21"/>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72" w:type="pct"/>
            <w:vMerge w:val="continue"/>
            <w:tcBorders>
              <w:tl2br w:val="nil"/>
              <w:tr2bl w:val="nil"/>
            </w:tcBorders>
            <w:vAlign w:val="center"/>
          </w:tcPr>
          <w:p>
            <w:pPr>
              <w:jc w:val="center"/>
              <w:rPr>
                <w:rFonts w:ascii="Times New Roman" w:hAnsi="Times New Roman"/>
                <w:bCs/>
                <w:color w:val="auto"/>
                <w:szCs w:val="21"/>
              </w:rPr>
            </w:pPr>
          </w:p>
        </w:tc>
        <w:tc>
          <w:tcPr>
            <w:tcW w:w="801" w:type="pct"/>
            <w:tcBorders>
              <w:tl2br w:val="nil"/>
              <w:tr2bl w:val="nil"/>
            </w:tcBorders>
            <w:vAlign w:val="center"/>
          </w:tcPr>
          <w:p>
            <w:pPr>
              <w:jc w:val="center"/>
              <w:rPr>
                <w:rFonts w:ascii="Times New Roman" w:hAnsi="Times New Roman"/>
                <w:bCs/>
                <w:color w:val="auto"/>
                <w:szCs w:val="21"/>
              </w:rPr>
            </w:pPr>
            <w:r>
              <w:rPr>
                <w:rFonts w:hint="eastAsia" w:ascii="Times New Roman" w:hAnsi="Times New Roman"/>
                <w:bCs/>
                <w:color w:val="auto"/>
                <w:szCs w:val="21"/>
              </w:rPr>
              <w:t>总硬度</w:t>
            </w:r>
          </w:p>
        </w:tc>
        <w:tc>
          <w:tcPr>
            <w:tcW w:w="1510" w:type="pct"/>
            <w:tcBorders>
              <w:tl2br w:val="nil"/>
              <w:tr2bl w:val="nil"/>
            </w:tcBorders>
            <w:vAlign w:val="center"/>
          </w:tcPr>
          <w:p>
            <w:pPr>
              <w:jc w:val="center"/>
              <w:rPr>
                <w:rFonts w:ascii="Times New Roman" w:hAnsi="Times New Roman" w:cs="宋体"/>
                <w:color w:val="auto"/>
                <w:szCs w:val="21"/>
              </w:rPr>
            </w:pPr>
            <w:r>
              <w:rPr>
                <w:rFonts w:hint="eastAsia" w:ascii="Times New Roman" w:hAnsi="Times New Roman" w:cs="宋体"/>
                <w:color w:val="auto"/>
                <w:szCs w:val="21"/>
              </w:rPr>
              <w:t>生活饮用水标准检验方法</w:t>
            </w:r>
            <w:r>
              <w:rPr>
                <w:rFonts w:ascii="Times New Roman" w:hAnsi="Times New Roman" w:cs="宋体"/>
                <w:color w:val="auto"/>
                <w:szCs w:val="21"/>
              </w:rPr>
              <w:t xml:space="preserve"> </w:t>
            </w:r>
            <w:r>
              <w:rPr>
                <w:rFonts w:hint="eastAsia" w:ascii="Times New Roman" w:hAnsi="Times New Roman" w:cs="宋体"/>
                <w:color w:val="auto"/>
                <w:szCs w:val="21"/>
              </w:rPr>
              <w:t>感官性状和物理指标</w:t>
            </w:r>
          </w:p>
        </w:tc>
        <w:tc>
          <w:tcPr>
            <w:tcW w:w="1402" w:type="pct"/>
            <w:tcBorders>
              <w:tl2br w:val="nil"/>
              <w:tr2bl w:val="nil"/>
            </w:tcBorders>
            <w:vAlign w:val="center"/>
          </w:tcPr>
          <w:p>
            <w:pPr>
              <w:jc w:val="center"/>
              <w:rPr>
                <w:rFonts w:ascii="Times New Roman" w:hAnsi="Times New Roman" w:cs="宋体"/>
                <w:color w:val="auto"/>
                <w:szCs w:val="21"/>
              </w:rPr>
            </w:pPr>
            <w:r>
              <w:rPr>
                <w:rFonts w:ascii="Times New Roman" w:hAnsi="Times New Roman" w:cs="宋体"/>
                <w:color w:val="auto"/>
                <w:szCs w:val="21"/>
              </w:rPr>
              <w:t>GB/T5750.4-2006</w:t>
            </w:r>
          </w:p>
        </w:tc>
        <w:tc>
          <w:tcPr>
            <w:tcW w:w="812" w:type="pct"/>
            <w:tcBorders>
              <w:tl2br w:val="nil"/>
              <w:tr2bl w:val="nil"/>
            </w:tcBorders>
            <w:vAlign w:val="center"/>
          </w:tcPr>
          <w:p>
            <w:pPr>
              <w:jc w:val="center"/>
              <w:rPr>
                <w:rFonts w:ascii="Times New Roman" w:hAnsi="Times New Roman" w:cs="宋体"/>
                <w:color w:val="auto"/>
                <w:szCs w:val="21"/>
              </w:rPr>
            </w:pPr>
            <w:r>
              <w:rPr>
                <w:rFonts w:ascii="Times New Roman" w:hAnsi="Times New Roman" w:cs="宋体"/>
                <w:color w:val="auto"/>
                <w:szCs w:val="21"/>
              </w:rPr>
              <w:t>1.0mg/L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72" w:type="pct"/>
            <w:vMerge w:val="continue"/>
            <w:tcBorders>
              <w:tl2br w:val="nil"/>
              <w:tr2bl w:val="nil"/>
            </w:tcBorders>
            <w:vAlign w:val="center"/>
          </w:tcPr>
          <w:p>
            <w:pPr>
              <w:jc w:val="center"/>
              <w:rPr>
                <w:rFonts w:ascii="Times New Roman" w:hAnsi="Times New Roman"/>
                <w:bCs/>
                <w:color w:val="auto"/>
                <w:szCs w:val="21"/>
              </w:rPr>
            </w:pPr>
          </w:p>
        </w:tc>
        <w:tc>
          <w:tcPr>
            <w:tcW w:w="801" w:type="pct"/>
            <w:tcBorders>
              <w:tl2br w:val="nil"/>
              <w:tr2bl w:val="nil"/>
            </w:tcBorders>
            <w:vAlign w:val="center"/>
          </w:tcPr>
          <w:p>
            <w:pPr>
              <w:jc w:val="center"/>
              <w:rPr>
                <w:rFonts w:ascii="Times New Roman" w:hAnsi="Times New Roman"/>
                <w:bCs/>
                <w:color w:val="auto"/>
                <w:szCs w:val="21"/>
              </w:rPr>
            </w:pPr>
            <w:r>
              <w:rPr>
                <w:rFonts w:hint="eastAsia" w:ascii="Times New Roman" w:hAnsi="Times New Roman"/>
                <w:bCs/>
                <w:color w:val="auto"/>
                <w:szCs w:val="21"/>
              </w:rPr>
              <w:t>溶解性总固体</w:t>
            </w:r>
          </w:p>
        </w:tc>
        <w:tc>
          <w:tcPr>
            <w:tcW w:w="1510" w:type="pct"/>
            <w:tcBorders>
              <w:tl2br w:val="nil"/>
              <w:tr2bl w:val="nil"/>
            </w:tcBorders>
            <w:vAlign w:val="center"/>
          </w:tcPr>
          <w:p>
            <w:pPr>
              <w:jc w:val="center"/>
              <w:rPr>
                <w:rFonts w:ascii="Times New Roman" w:hAnsi="Times New Roman" w:cs="宋体"/>
                <w:bCs/>
                <w:color w:val="auto"/>
                <w:szCs w:val="21"/>
              </w:rPr>
            </w:pPr>
            <w:r>
              <w:rPr>
                <w:rFonts w:hint="eastAsia" w:ascii="Times New Roman" w:hAnsi="Times New Roman" w:cs="宋体"/>
                <w:bCs/>
                <w:color w:val="auto"/>
                <w:szCs w:val="21"/>
              </w:rPr>
              <w:t>生活饮用水标准检验方法</w:t>
            </w:r>
            <w:r>
              <w:rPr>
                <w:rFonts w:ascii="Times New Roman" w:hAnsi="Times New Roman" w:cs="宋体"/>
                <w:bCs/>
                <w:color w:val="auto"/>
                <w:szCs w:val="21"/>
              </w:rPr>
              <w:t xml:space="preserve"> </w:t>
            </w:r>
            <w:r>
              <w:rPr>
                <w:rFonts w:hint="eastAsia" w:ascii="Times New Roman" w:hAnsi="Times New Roman" w:cs="宋体"/>
                <w:bCs/>
                <w:color w:val="auto"/>
                <w:szCs w:val="21"/>
              </w:rPr>
              <w:t>感官性状和物理指标</w:t>
            </w:r>
          </w:p>
        </w:tc>
        <w:tc>
          <w:tcPr>
            <w:tcW w:w="1402" w:type="pct"/>
            <w:tcBorders>
              <w:tl2br w:val="nil"/>
              <w:tr2bl w:val="nil"/>
            </w:tcBorders>
            <w:vAlign w:val="center"/>
          </w:tcPr>
          <w:p>
            <w:pPr>
              <w:jc w:val="center"/>
              <w:rPr>
                <w:rFonts w:ascii="Times New Roman" w:hAnsi="Times New Roman" w:cs="宋体"/>
                <w:bCs/>
                <w:color w:val="auto"/>
                <w:szCs w:val="21"/>
              </w:rPr>
            </w:pPr>
            <w:r>
              <w:rPr>
                <w:rFonts w:ascii="Times New Roman" w:hAnsi="Times New Roman" w:cs="宋体"/>
                <w:bCs/>
                <w:color w:val="auto"/>
                <w:szCs w:val="21"/>
              </w:rPr>
              <w:t>GB/T5750.4-2006</w:t>
            </w:r>
          </w:p>
        </w:tc>
        <w:tc>
          <w:tcPr>
            <w:tcW w:w="812" w:type="pct"/>
            <w:tcBorders>
              <w:tl2br w:val="nil"/>
              <w:tr2bl w:val="nil"/>
            </w:tcBorders>
            <w:vAlign w:val="center"/>
          </w:tcPr>
          <w:p>
            <w:pPr>
              <w:jc w:val="center"/>
              <w:rPr>
                <w:rFonts w:ascii="Times New Roman" w:hAnsi="Times New Roman" w:cs="宋体"/>
                <w:bCs/>
                <w:color w:val="auto"/>
                <w:szCs w:val="21"/>
              </w:rPr>
            </w:pPr>
            <w:r>
              <w:rPr>
                <w:rFonts w:ascii="Times New Roman" w:hAnsi="Times New Roman" w:cs="宋体"/>
                <w:bCs/>
                <w:color w:val="auto"/>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72" w:type="pct"/>
            <w:vMerge w:val="continue"/>
            <w:tcBorders>
              <w:tl2br w:val="nil"/>
              <w:tr2bl w:val="nil"/>
            </w:tcBorders>
            <w:vAlign w:val="center"/>
          </w:tcPr>
          <w:p>
            <w:pPr>
              <w:jc w:val="center"/>
              <w:rPr>
                <w:rFonts w:ascii="Times New Roman" w:hAnsi="Times New Roman"/>
                <w:bCs/>
                <w:color w:val="auto"/>
                <w:szCs w:val="21"/>
              </w:rPr>
            </w:pPr>
          </w:p>
        </w:tc>
        <w:tc>
          <w:tcPr>
            <w:tcW w:w="801" w:type="pct"/>
            <w:tcBorders>
              <w:tl2br w:val="nil"/>
              <w:tr2bl w:val="nil"/>
            </w:tcBorders>
            <w:vAlign w:val="center"/>
          </w:tcPr>
          <w:p>
            <w:pPr>
              <w:jc w:val="center"/>
              <w:rPr>
                <w:rFonts w:ascii="Times New Roman" w:hAnsi="Times New Roman" w:cs="宋体"/>
                <w:color w:val="auto"/>
                <w:szCs w:val="21"/>
              </w:rPr>
            </w:pPr>
            <w:r>
              <w:rPr>
                <w:rFonts w:hint="eastAsia" w:ascii="Times New Roman" w:hAnsi="Times New Roman" w:cs="宋体"/>
                <w:color w:val="auto"/>
                <w:szCs w:val="21"/>
              </w:rPr>
              <w:t>氯化物</w:t>
            </w:r>
          </w:p>
        </w:tc>
        <w:tc>
          <w:tcPr>
            <w:tcW w:w="1510" w:type="pct"/>
            <w:vMerge w:val="restart"/>
            <w:tcBorders>
              <w:tl2br w:val="nil"/>
              <w:tr2bl w:val="nil"/>
            </w:tcBorders>
            <w:vAlign w:val="center"/>
          </w:tcPr>
          <w:p>
            <w:pPr>
              <w:jc w:val="center"/>
              <w:rPr>
                <w:rFonts w:ascii="Times New Roman" w:hAnsi="Times New Roman" w:cs="宋体"/>
                <w:color w:val="auto"/>
                <w:szCs w:val="21"/>
              </w:rPr>
            </w:pPr>
            <w:r>
              <w:rPr>
                <w:rStyle w:val="120"/>
                <w:rFonts w:hint="eastAsia" w:ascii="Times New Roman" w:hAnsi="Times New Roman" w:eastAsia="宋体" w:cs="宋体"/>
                <w:color w:val="auto"/>
                <w:sz w:val="21"/>
                <w:szCs w:val="21"/>
              </w:rPr>
              <w:t>水质无机阴离子（</w:t>
            </w:r>
            <w:r>
              <w:rPr>
                <w:rStyle w:val="120"/>
                <w:rFonts w:ascii="Times New Roman" w:hAnsi="Times New Roman" w:eastAsia="宋体" w:cs="宋体"/>
                <w:color w:val="auto"/>
                <w:sz w:val="21"/>
                <w:szCs w:val="21"/>
              </w:rPr>
              <w:t>F</w:t>
            </w:r>
            <w:r>
              <w:rPr>
                <w:rStyle w:val="120"/>
                <w:rFonts w:ascii="Times New Roman" w:hAnsi="Times New Roman" w:eastAsia="宋体" w:cs="宋体"/>
                <w:color w:val="auto"/>
                <w:sz w:val="21"/>
                <w:szCs w:val="21"/>
                <w:vertAlign w:val="superscript"/>
              </w:rPr>
              <w:t>-</w:t>
            </w:r>
            <w:r>
              <w:rPr>
                <w:rStyle w:val="120"/>
                <w:rFonts w:hint="eastAsia" w:ascii="Times New Roman" w:hAnsi="Times New Roman" w:eastAsia="宋体" w:cs="宋体"/>
                <w:color w:val="auto"/>
                <w:sz w:val="21"/>
                <w:szCs w:val="21"/>
              </w:rPr>
              <w:t>、</w:t>
            </w:r>
            <w:r>
              <w:rPr>
                <w:rStyle w:val="120"/>
                <w:rFonts w:ascii="Times New Roman" w:hAnsi="Times New Roman" w:eastAsia="宋体" w:cs="宋体"/>
                <w:color w:val="auto"/>
                <w:sz w:val="21"/>
                <w:szCs w:val="21"/>
              </w:rPr>
              <w:t>Cl</w:t>
            </w:r>
            <w:r>
              <w:rPr>
                <w:rStyle w:val="120"/>
                <w:rFonts w:ascii="Times New Roman" w:hAnsi="Times New Roman" w:eastAsia="宋体" w:cs="宋体"/>
                <w:color w:val="auto"/>
                <w:sz w:val="21"/>
                <w:szCs w:val="21"/>
                <w:vertAlign w:val="superscript"/>
              </w:rPr>
              <w:t>-</w:t>
            </w:r>
            <w:r>
              <w:rPr>
                <w:rStyle w:val="120"/>
                <w:rFonts w:hint="eastAsia" w:ascii="Times New Roman" w:hAnsi="Times New Roman" w:eastAsia="宋体" w:cs="宋体"/>
                <w:color w:val="auto"/>
                <w:sz w:val="21"/>
                <w:szCs w:val="21"/>
              </w:rPr>
              <w:t>、</w:t>
            </w:r>
            <w:r>
              <w:rPr>
                <w:rStyle w:val="120"/>
                <w:rFonts w:ascii="Times New Roman" w:hAnsi="Times New Roman" w:eastAsia="宋体" w:cs="宋体"/>
                <w:color w:val="auto"/>
                <w:sz w:val="21"/>
                <w:szCs w:val="21"/>
              </w:rPr>
              <w:t>NO</w:t>
            </w:r>
            <w:r>
              <w:rPr>
                <w:rStyle w:val="120"/>
                <w:rFonts w:ascii="Times New Roman" w:hAnsi="Times New Roman" w:eastAsia="宋体" w:cs="宋体"/>
                <w:color w:val="auto"/>
                <w:sz w:val="21"/>
                <w:szCs w:val="21"/>
                <w:vertAlign w:val="superscript"/>
              </w:rPr>
              <w:t>2-</w:t>
            </w:r>
            <w:r>
              <w:rPr>
                <w:rStyle w:val="120"/>
                <w:rFonts w:hint="eastAsia" w:ascii="Times New Roman" w:hAnsi="Times New Roman" w:eastAsia="宋体" w:cs="宋体"/>
                <w:color w:val="auto"/>
                <w:sz w:val="21"/>
                <w:szCs w:val="21"/>
              </w:rPr>
              <w:t>、</w:t>
            </w:r>
            <w:r>
              <w:rPr>
                <w:rStyle w:val="120"/>
                <w:rFonts w:ascii="Times New Roman" w:hAnsi="Times New Roman" w:eastAsia="宋体" w:cs="宋体"/>
                <w:color w:val="auto"/>
                <w:sz w:val="21"/>
                <w:szCs w:val="21"/>
              </w:rPr>
              <w:t>Br</w:t>
            </w:r>
            <w:r>
              <w:rPr>
                <w:rStyle w:val="120"/>
                <w:rFonts w:ascii="Times New Roman" w:hAnsi="Times New Roman" w:eastAsia="宋体" w:cs="宋体"/>
                <w:color w:val="auto"/>
                <w:sz w:val="21"/>
                <w:szCs w:val="21"/>
                <w:vertAlign w:val="superscript"/>
              </w:rPr>
              <w:t>-</w:t>
            </w:r>
            <w:r>
              <w:rPr>
                <w:rStyle w:val="120"/>
                <w:rFonts w:hint="eastAsia" w:ascii="Times New Roman" w:hAnsi="Times New Roman" w:eastAsia="宋体" w:cs="宋体"/>
                <w:color w:val="auto"/>
                <w:sz w:val="21"/>
                <w:szCs w:val="21"/>
              </w:rPr>
              <w:t>、</w:t>
            </w:r>
            <w:r>
              <w:rPr>
                <w:rStyle w:val="120"/>
                <w:rFonts w:ascii="Times New Roman" w:hAnsi="Times New Roman" w:eastAsia="宋体" w:cs="宋体"/>
                <w:color w:val="auto"/>
                <w:sz w:val="21"/>
                <w:szCs w:val="21"/>
              </w:rPr>
              <w:t>NO</w:t>
            </w:r>
            <w:r>
              <w:rPr>
                <w:rStyle w:val="120"/>
                <w:rFonts w:ascii="Times New Roman" w:hAnsi="Times New Roman" w:eastAsia="宋体" w:cs="宋体"/>
                <w:color w:val="auto"/>
                <w:sz w:val="21"/>
                <w:szCs w:val="21"/>
                <w:vertAlign w:val="superscript"/>
              </w:rPr>
              <w:t>3-</w:t>
            </w:r>
            <w:r>
              <w:rPr>
                <w:rStyle w:val="120"/>
                <w:rFonts w:hint="eastAsia" w:ascii="Times New Roman" w:hAnsi="Times New Roman" w:eastAsia="宋体" w:cs="宋体"/>
                <w:color w:val="auto"/>
                <w:sz w:val="21"/>
                <w:szCs w:val="21"/>
              </w:rPr>
              <w:t>、</w:t>
            </w:r>
            <w:r>
              <w:rPr>
                <w:rStyle w:val="120"/>
                <w:rFonts w:ascii="Times New Roman" w:hAnsi="Times New Roman" w:eastAsia="宋体" w:cs="宋体"/>
                <w:color w:val="auto"/>
                <w:sz w:val="21"/>
                <w:szCs w:val="21"/>
              </w:rPr>
              <w:t>PO</w:t>
            </w:r>
            <w:r>
              <w:rPr>
                <w:rStyle w:val="120"/>
                <w:rFonts w:ascii="Times New Roman" w:hAnsi="Times New Roman" w:eastAsia="宋体" w:cs="宋体"/>
                <w:color w:val="auto"/>
                <w:sz w:val="21"/>
                <w:szCs w:val="21"/>
                <w:vertAlign w:val="subscript"/>
              </w:rPr>
              <w:t>4</w:t>
            </w:r>
            <w:r>
              <w:rPr>
                <w:rStyle w:val="120"/>
                <w:rFonts w:ascii="Times New Roman" w:hAnsi="Times New Roman" w:eastAsia="宋体" w:cs="宋体"/>
                <w:color w:val="auto"/>
                <w:sz w:val="21"/>
                <w:szCs w:val="21"/>
                <w:vertAlign w:val="superscript"/>
              </w:rPr>
              <w:t>3-</w:t>
            </w:r>
            <w:r>
              <w:rPr>
                <w:rStyle w:val="120"/>
                <w:rFonts w:hint="eastAsia" w:ascii="Times New Roman" w:hAnsi="Times New Roman" w:eastAsia="宋体" w:cs="宋体"/>
                <w:color w:val="auto"/>
                <w:sz w:val="21"/>
                <w:szCs w:val="21"/>
              </w:rPr>
              <w:t>、</w:t>
            </w:r>
            <w:r>
              <w:rPr>
                <w:rStyle w:val="120"/>
                <w:rFonts w:ascii="Times New Roman" w:hAnsi="Times New Roman" w:eastAsia="宋体" w:cs="宋体"/>
                <w:color w:val="auto"/>
                <w:sz w:val="21"/>
                <w:szCs w:val="21"/>
              </w:rPr>
              <w:t>SO</w:t>
            </w:r>
            <w:r>
              <w:rPr>
                <w:rStyle w:val="120"/>
                <w:rFonts w:ascii="Times New Roman" w:hAnsi="Times New Roman" w:eastAsia="宋体" w:cs="宋体"/>
                <w:color w:val="auto"/>
                <w:sz w:val="21"/>
                <w:szCs w:val="21"/>
                <w:vertAlign w:val="subscript"/>
              </w:rPr>
              <w:t>3</w:t>
            </w:r>
            <w:r>
              <w:rPr>
                <w:rStyle w:val="120"/>
                <w:rFonts w:ascii="Times New Roman" w:hAnsi="Times New Roman" w:eastAsia="宋体" w:cs="宋体"/>
                <w:color w:val="auto"/>
                <w:sz w:val="21"/>
                <w:szCs w:val="21"/>
                <w:vertAlign w:val="superscript"/>
              </w:rPr>
              <w:t>2-</w:t>
            </w:r>
            <w:r>
              <w:rPr>
                <w:rStyle w:val="120"/>
                <w:rFonts w:hint="eastAsia" w:ascii="Times New Roman" w:hAnsi="Times New Roman" w:eastAsia="宋体" w:cs="宋体"/>
                <w:color w:val="auto"/>
                <w:sz w:val="21"/>
                <w:szCs w:val="21"/>
              </w:rPr>
              <w:t>、</w:t>
            </w:r>
            <w:r>
              <w:rPr>
                <w:rStyle w:val="120"/>
                <w:rFonts w:ascii="Times New Roman" w:hAnsi="Times New Roman" w:eastAsia="宋体" w:cs="宋体"/>
                <w:color w:val="auto"/>
                <w:sz w:val="21"/>
                <w:szCs w:val="21"/>
              </w:rPr>
              <w:t>SO</w:t>
            </w:r>
            <w:r>
              <w:rPr>
                <w:rStyle w:val="120"/>
                <w:rFonts w:ascii="Times New Roman" w:hAnsi="Times New Roman" w:eastAsia="宋体" w:cs="宋体"/>
                <w:color w:val="auto"/>
                <w:sz w:val="21"/>
                <w:szCs w:val="21"/>
                <w:vertAlign w:val="subscript"/>
              </w:rPr>
              <w:t>4</w:t>
            </w:r>
            <w:r>
              <w:rPr>
                <w:rStyle w:val="120"/>
                <w:rFonts w:ascii="Times New Roman" w:hAnsi="Times New Roman" w:eastAsia="宋体" w:cs="宋体"/>
                <w:color w:val="auto"/>
                <w:sz w:val="21"/>
                <w:szCs w:val="21"/>
                <w:vertAlign w:val="superscript"/>
              </w:rPr>
              <w:t>2-</w:t>
            </w:r>
            <w:r>
              <w:rPr>
                <w:rStyle w:val="120"/>
                <w:rFonts w:hint="eastAsia" w:ascii="Times New Roman" w:hAnsi="Times New Roman" w:eastAsia="宋体" w:cs="宋体"/>
                <w:color w:val="auto"/>
                <w:sz w:val="21"/>
                <w:szCs w:val="21"/>
              </w:rPr>
              <w:t>）的测定</w:t>
            </w:r>
            <w:r>
              <w:rPr>
                <w:rStyle w:val="120"/>
                <w:rFonts w:ascii="Times New Roman" w:hAnsi="Times New Roman" w:eastAsia="宋体" w:cs="宋体"/>
                <w:color w:val="auto"/>
                <w:sz w:val="21"/>
                <w:szCs w:val="21"/>
              </w:rPr>
              <w:t xml:space="preserve"> </w:t>
            </w:r>
            <w:r>
              <w:rPr>
                <w:rStyle w:val="120"/>
                <w:rFonts w:hint="eastAsia" w:ascii="Times New Roman" w:hAnsi="Times New Roman" w:eastAsia="宋体" w:cs="宋体"/>
                <w:color w:val="auto"/>
                <w:sz w:val="21"/>
                <w:szCs w:val="21"/>
              </w:rPr>
              <w:t>离子色谱法</w:t>
            </w:r>
          </w:p>
        </w:tc>
        <w:tc>
          <w:tcPr>
            <w:tcW w:w="1402" w:type="pct"/>
            <w:vMerge w:val="restart"/>
            <w:tcBorders>
              <w:tl2br w:val="nil"/>
              <w:tr2bl w:val="nil"/>
            </w:tcBorders>
            <w:vAlign w:val="center"/>
          </w:tcPr>
          <w:p>
            <w:pPr>
              <w:jc w:val="center"/>
              <w:rPr>
                <w:rFonts w:ascii="Times New Roman" w:hAnsi="Times New Roman" w:cs="宋体"/>
                <w:color w:val="auto"/>
                <w:szCs w:val="21"/>
              </w:rPr>
            </w:pPr>
            <w:r>
              <w:rPr>
                <w:rStyle w:val="119"/>
                <w:rFonts w:ascii="Times New Roman" w:hAnsi="Times New Roman" w:cs="宋体"/>
                <w:color w:val="auto"/>
                <w:szCs w:val="21"/>
              </w:rPr>
              <w:t>HJ84-2016</w:t>
            </w:r>
          </w:p>
        </w:tc>
        <w:tc>
          <w:tcPr>
            <w:tcW w:w="812" w:type="pct"/>
            <w:tcBorders>
              <w:tl2br w:val="nil"/>
              <w:tr2bl w:val="nil"/>
            </w:tcBorders>
            <w:vAlign w:val="center"/>
          </w:tcPr>
          <w:p>
            <w:pPr>
              <w:jc w:val="center"/>
              <w:rPr>
                <w:rFonts w:ascii="Times New Roman" w:hAnsi="Times New Roman"/>
                <w:b/>
                <w:color w:val="auto"/>
                <w:szCs w:val="21"/>
              </w:rPr>
            </w:pPr>
            <w:r>
              <w:rPr>
                <w:rFonts w:ascii="Times New Roman" w:hAnsi="Times New Roman" w:cs="宋体"/>
                <w:color w:val="auto"/>
                <w:kern w:val="0"/>
                <w:szCs w:val="21"/>
              </w:rPr>
              <w:t>0.007mg/L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72" w:type="pct"/>
            <w:vMerge w:val="continue"/>
            <w:tcBorders>
              <w:tl2br w:val="nil"/>
              <w:tr2bl w:val="nil"/>
            </w:tcBorders>
            <w:vAlign w:val="center"/>
          </w:tcPr>
          <w:p>
            <w:pPr>
              <w:jc w:val="center"/>
              <w:rPr>
                <w:rFonts w:ascii="Times New Roman" w:hAnsi="Times New Roman"/>
                <w:bCs/>
                <w:color w:val="auto"/>
                <w:szCs w:val="21"/>
              </w:rPr>
            </w:pPr>
          </w:p>
        </w:tc>
        <w:tc>
          <w:tcPr>
            <w:tcW w:w="801" w:type="pct"/>
            <w:tcBorders>
              <w:tl2br w:val="nil"/>
              <w:tr2bl w:val="nil"/>
            </w:tcBorders>
            <w:vAlign w:val="center"/>
          </w:tcPr>
          <w:p>
            <w:pPr>
              <w:jc w:val="center"/>
              <w:rPr>
                <w:rFonts w:ascii="Times New Roman" w:hAnsi="Times New Roman" w:cs="宋体"/>
                <w:color w:val="auto"/>
                <w:szCs w:val="21"/>
              </w:rPr>
            </w:pPr>
            <w:r>
              <w:rPr>
                <w:rFonts w:hint="eastAsia" w:ascii="Times New Roman" w:hAnsi="Times New Roman" w:cs="宋体"/>
                <w:color w:val="auto"/>
                <w:szCs w:val="21"/>
              </w:rPr>
              <w:t>硫酸盐</w:t>
            </w:r>
          </w:p>
        </w:tc>
        <w:tc>
          <w:tcPr>
            <w:tcW w:w="1510" w:type="pct"/>
            <w:vMerge w:val="continue"/>
            <w:tcBorders>
              <w:tl2br w:val="nil"/>
              <w:tr2bl w:val="nil"/>
            </w:tcBorders>
            <w:vAlign w:val="center"/>
          </w:tcPr>
          <w:p>
            <w:pPr>
              <w:jc w:val="center"/>
              <w:rPr>
                <w:rFonts w:ascii="Times New Roman" w:hAnsi="Times New Roman" w:cs="宋体"/>
                <w:color w:val="auto"/>
                <w:szCs w:val="21"/>
              </w:rPr>
            </w:pPr>
          </w:p>
        </w:tc>
        <w:tc>
          <w:tcPr>
            <w:tcW w:w="1402" w:type="pct"/>
            <w:vMerge w:val="continue"/>
            <w:tcBorders>
              <w:tl2br w:val="nil"/>
              <w:tr2bl w:val="nil"/>
            </w:tcBorders>
            <w:vAlign w:val="center"/>
          </w:tcPr>
          <w:p>
            <w:pPr>
              <w:jc w:val="center"/>
              <w:rPr>
                <w:rFonts w:ascii="Times New Roman" w:hAnsi="Times New Roman" w:cs="宋体"/>
                <w:color w:val="auto"/>
                <w:szCs w:val="21"/>
              </w:rPr>
            </w:pPr>
          </w:p>
        </w:tc>
        <w:tc>
          <w:tcPr>
            <w:tcW w:w="812" w:type="pct"/>
            <w:tcBorders>
              <w:tl2br w:val="nil"/>
              <w:tr2bl w:val="nil"/>
            </w:tcBorders>
            <w:vAlign w:val="center"/>
          </w:tcPr>
          <w:p>
            <w:pPr>
              <w:jc w:val="center"/>
              <w:rPr>
                <w:rFonts w:ascii="Times New Roman" w:hAnsi="Times New Roman"/>
                <w:b/>
                <w:color w:val="auto"/>
                <w:szCs w:val="21"/>
              </w:rPr>
            </w:pPr>
            <w:r>
              <w:rPr>
                <w:rFonts w:ascii="Times New Roman" w:hAnsi="Times New Roman" w:cs="宋体"/>
                <w:color w:val="auto"/>
                <w:kern w:val="0"/>
                <w:szCs w:val="21"/>
              </w:rPr>
              <w:t>0.018mg/L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72" w:type="pct"/>
            <w:vMerge w:val="continue"/>
            <w:tcBorders>
              <w:tl2br w:val="nil"/>
              <w:tr2bl w:val="nil"/>
            </w:tcBorders>
            <w:vAlign w:val="center"/>
          </w:tcPr>
          <w:p>
            <w:pPr>
              <w:jc w:val="center"/>
              <w:rPr>
                <w:rFonts w:ascii="Times New Roman" w:hAnsi="Times New Roman"/>
                <w:bCs/>
                <w:color w:val="auto"/>
                <w:szCs w:val="21"/>
              </w:rPr>
            </w:pPr>
          </w:p>
        </w:tc>
        <w:tc>
          <w:tcPr>
            <w:tcW w:w="801" w:type="pct"/>
            <w:tcBorders>
              <w:tl2br w:val="nil"/>
              <w:tr2bl w:val="nil"/>
            </w:tcBorders>
            <w:vAlign w:val="center"/>
          </w:tcPr>
          <w:p>
            <w:pPr>
              <w:jc w:val="center"/>
              <w:rPr>
                <w:rFonts w:ascii="Times New Roman" w:hAnsi="Times New Roman" w:cs="宋体"/>
                <w:color w:val="auto"/>
                <w:szCs w:val="21"/>
              </w:rPr>
            </w:pPr>
            <w:r>
              <w:rPr>
                <w:rFonts w:hint="eastAsia" w:ascii="Times New Roman" w:hAnsi="Times New Roman" w:cs="宋体"/>
                <w:color w:val="auto"/>
                <w:szCs w:val="21"/>
              </w:rPr>
              <w:t>硝酸盐</w:t>
            </w:r>
          </w:p>
        </w:tc>
        <w:tc>
          <w:tcPr>
            <w:tcW w:w="1510" w:type="pct"/>
            <w:vMerge w:val="continue"/>
            <w:tcBorders>
              <w:tl2br w:val="nil"/>
              <w:tr2bl w:val="nil"/>
            </w:tcBorders>
            <w:vAlign w:val="center"/>
          </w:tcPr>
          <w:p>
            <w:pPr>
              <w:jc w:val="center"/>
              <w:rPr>
                <w:rFonts w:ascii="Times New Roman" w:hAnsi="Times New Roman" w:cs="宋体"/>
                <w:color w:val="auto"/>
                <w:szCs w:val="21"/>
              </w:rPr>
            </w:pPr>
          </w:p>
        </w:tc>
        <w:tc>
          <w:tcPr>
            <w:tcW w:w="1402" w:type="pct"/>
            <w:vMerge w:val="continue"/>
            <w:tcBorders>
              <w:tl2br w:val="nil"/>
              <w:tr2bl w:val="nil"/>
            </w:tcBorders>
            <w:vAlign w:val="center"/>
          </w:tcPr>
          <w:p>
            <w:pPr>
              <w:jc w:val="center"/>
              <w:rPr>
                <w:rFonts w:ascii="Times New Roman" w:hAnsi="Times New Roman" w:cs="宋体"/>
                <w:color w:val="auto"/>
                <w:szCs w:val="21"/>
              </w:rPr>
            </w:pPr>
          </w:p>
        </w:tc>
        <w:tc>
          <w:tcPr>
            <w:tcW w:w="812" w:type="pct"/>
            <w:tcBorders>
              <w:tl2br w:val="nil"/>
              <w:tr2bl w:val="nil"/>
            </w:tcBorders>
            <w:vAlign w:val="center"/>
          </w:tcPr>
          <w:p>
            <w:pPr>
              <w:jc w:val="center"/>
              <w:rPr>
                <w:rFonts w:ascii="Times New Roman" w:hAnsi="Times New Roman"/>
                <w:b/>
                <w:color w:val="auto"/>
                <w:szCs w:val="21"/>
              </w:rPr>
            </w:pPr>
            <w:r>
              <w:rPr>
                <w:rFonts w:ascii="Times New Roman" w:hAnsi="Times New Roman" w:cs="宋体"/>
                <w:color w:val="auto"/>
                <w:szCs w:val="21"/>
              </w:rPr>
              <w:t>0.016mg/L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72" w:type="pct"/>
            <w:vMerge w:val="continue"/>
            <w:tcBorders>
              <w:tl2br w:val="nil"/>
              <w:tr2bl w:val="nil"/>
            </w:tcBorders>
            <w:vAlign w:val="center"/>
          </w:tcPr>
          <w:p>
            <w:pPr>
              <w:jc w:val="center"/>
              <w:rPr>
                <w:rFonts w:ascii="Times New Roman" w:hAnsi="Times New Roman"/>
                <w:bCs/>
                <w:color w:val="auto"/>
                <w:szCs w:val="21"/>
              </w:rPr>
            </w:pPr>
          </w:p>
        </w:tc>
        <w:tc>
          <w:tcPr>
            <w:tcW w:w="801" w:type="pct"/>
            <w:tcBorders>
              <w:tl2br w:val="nil"/>
              <w:tr2bl w:val="nil"/>
            </w:tcBorders>
            <w:vAlign w:val="center"/>
          </w:tcPr>
          <w:p>
            <w:pPr>
              <w:jc w:val="center"/>
              <w:rPr>
                <w:rFonts w:ascii="Times New Roman" w:hAnsi="Times New Roman" w:cs="宋体"/>
                <w:color w:val="auto"/>
                <w:szCs w:val="21"/>
              </w:rPr>
            </w:pPr>
            <w:r>
              <w:rPr>
                <w:rFonts w:hint="eastAsia" w:ascii="Times New Roman" w:hAnsi="Times New Roman" w:cs="宋体"/>
                <w:color w:val="auto"/>
                <w:szCs w:val="21"/>
              </w:rPr>
              <w:t>氟化物</w:t>
            </w:r>
          </w:p>
        </w:tc>
        <w:tc>
          <w:tcPr>
            <w:tcW w:w="1510" w:type="pct"/>
            <w:tcBorders>
              <w:tl2br w:val="nil"/>
              <w:tr2bl w:val="nil"/>
            </w:tcBorders>
            <w:vAlign w:val="center"/>
          </w:tcPr>
          <w:p>
            <w:pPr>
              <w:jc w:val="center"/>
              <w:rPr>
                <w:rFonts w:ascii="Times New Roman" w:hAnsi="Times New Roman" w:cs="宋体"/>
                <w:color w:val="auto"/>
                <w:szCs w:val="21"/>
              </w:rPr>
            </w:pPr>
            <w:r>
              <w:rPr>
                <w:rFonts w:hint="eastAsia" w:ascii="Times New Roman" w:hAnsi="Times New Roman" w:cs="宋体"/>
                <w:color w:val="auto"/>
                <w:szCs w:val="21"/>
              </w:rPr>
              <w:t>水质</w:t>
            </w:r>
            <w:r>
              <w:rPr>
                <w:rFonts w:ascii="Times New Roman" w:hAnsi="Times New Roman" w:cs="宋体"/>
                <w:color w:val="auto"/>
                <w:szCs w:val="21"/>
              </w:rPr>
              <w:t xml:space="preserve"> </w:t>
            </w:r>
            <w:r>
              <w:rPr>
                <w:rFonts w:hint="eastAsia" w:ascii="Times New Roman" w:hAnsi="Times New Roman" w:cs="宋体"/>
                <w:color w:val="auto"/>
                <w:szCs w:val="21"/>
              </w:rPr>
              <w:t>氟化物的测定</w:t>
            </w:r>
            <w:r>
              <w:rPr>
                <w:rFonts w:ascii="Times New Roman" w:hAnsi="Times New Roman" w:cs="宋体"/>
                <w:color w:val="auto"/>
                <w:szCs w:val="21"/>
              </w:rPr>
              <w:t xml:space="preserve"> </w:t>
            </w:r>
            <w:r>
              <w:rPr>
                <w:rFonts w:hint="eastAsia" w:ascii="Times New Roman" w:hAnsi="Times New Roman" w:cs="宋体"/>
                <w:color w:val="auto"/>
                <w:szCs w:val="21"/>
              </w:rPr>
              <w:t>离子选择电极法</w:t>
            </w:r>
          </w:p>
        </w:tc>
        <w:tc>
          <w:tcPr>
            <w:tcW w:w="1402" w:type="pct"/>
            <w:tcBorders>
              <w:tl2br w:val="nil"/>
              <w:tr2bl w:val="nil"/>
            </w:tcBorders>
            <w:vAlign w:val="center"/>
          </w:tcPr>
          <w:p>
            <w:pPr>
              <w:jc w:val="center"/>
              <w:rPr>
                <w:rFonts w:ascii="Times New Roman" w:hAnsi="Times New Roman" w:cs="宋体"/>
                <w:color w:val="auto"/>
                <w:szCs w:val="21"/>
              </w:rPr>
            </w:pPr>
            <w:r>
              <w:rPr>
                <w:rFonts w:ascii="Times New Roman" w:hAnsi="Times New Roman" w:cs="宋体"/>
                <w:color w:val="auto"/>
                <w:szCs w:val="21"/>
              </w:rPr>
              <w:t>GB 7484-1987</w:t>
            </w:r>
          </w:p>
        </w:tc>
        <w:tc>
          <w:tcPr>
            <w:tcW w:w="812" w:type="pct"/>
            <w:tcBorders>
              <w:tl2br w:val="nil"/>
              <w:tr2bl w:val="nil"/>
            </w:tcBorders>
            <w:vAlign w:val="center"/>
          </w:tcPr>
          <w:p>
            <w:pPr>
              <w:jc w:val="center"/>
              <w:rPr>
                <w:rFonts w:ascii="Times New Roman" w:hAnsi="Times New Roman" w:cs="宋体"/>
                <w:bCs/>
                <w:color w:val="auto"/>
                <w:szCs w:val="21"/>
              </w:rPr>
            </w:pPr>
            <w:r>
              <w:rPr>
                <w:rFonts w:ascii="Times New Roman" w:hAnsi="Times New Roman" w:cs="宋体"/>
                <w:color w:val="auto"/>
                <w:kern w:val="0"/>
                <w:szCs w:val="21"/>
              </w:rPr>
              <w:t>0.05mg/L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72" w:type="pct"/>
            <w:vMerge w:val="continue"/>
            <w:tcBorders>
              <w:tl2br w:val="nil"/>
              <w:tr2bl w:val="nil"/>
            </w:tcBorders>
            <w:vAlign w:val="center"/>
          </w:tcPr>
          <w:p>
            <w:pPr>
              <w:jc w:val="center"/>
              <w:rPr>
                <w:rFonts w:ascii="Times New Roman" w:hAnsi="Times New Roman"/>
                <w:bCs/>
                <w:color w:val="auto"/>
                <w:szCs w:val="21"/>
              </w:rPr>
            </w:pPr>
          </w:p>
        </w:tc>
        <w:tc>
          <w:tcPr>
            <w:tcW w:w="801" w:type="pct"/>
            <w:tcBorders>
              <w:tl2br w:val="nil"/>
              <w:tr2bl w:val="nil"/>
            </w:tcBorders>
            <w:vAlign w:val="center"/>
          </w:tcPr>
          <w:p>
            <w:pPr>
              <w:jc w:val="center"/>
              <w:rPr>
                <w:rFonts w:ascii="Times New Roman" w:hAnsi="Times New Roman" w:cs="宋体"/>
                <w:color w:val="auto"/>
                <w:szCs w:val="21"/>
              </w:rPr>
            </w:pPr>
            <w:r>
              <w:rPr>
                <w:rFonts w:hint="eastAsia" w:ascii="Times New Roman" w:hAnsi="Times New Roman" w:cs="宋体"/>
                <w:color w:val="auto"/>
                <w:szCs w:val="21"/>
              </w:rPr>
              <w:t>氨氮</w:t>
            </w:r>
          </w:p>
        </w:tc>
        <w:tc>
          <w:tcPr>
            <w:tcW w:w="1510" w:type="pct"/>
            <w:tcBorders>
              <w:tl2br w:val="nil"/>
              <w:tr2bl w:val="nil"/>
            </w:tcBorders>
            <w:vAlign w:val="center"/>
          </w:tcPr>
          <w:p>
            <w:pPr>
              <w:jc w:val="center"/>
              <w:rPr>
                <w:rFonts w:ascii="Times New Roman" w:hAnsi="Times New Roman" w:cs="宋体"/>
                <w:color w:val="auto"/>
                <w:szCs w:val="21"/>
              </w:rPr>
            </w:pPr>
            <w:r>
              <w:rPr>
                <w:rFonts w:hint="eastAsia" w:ascii="Times New Roman" w:hAnsi="Times New Roman" w:cs="宋体"/>
                <w:color w:val="auto"/>
                <w:szCs w:val="21"/>
              </w:rPr>
              <w:t>水质</w:t>
            </w:r>
            <w:r>
              <w:rPr>
                <w:rFonts w:ascii="Times New Roman" w:hAnsi="Times New Roman" w:cs="宋体"/>
                <w:color w:val="auto"/>
                <w:szCs w:val="21"/>
              </w:rPr>
              <w:t xml:space="preserve"> </w:t>
            </w:r>
            <w:r>
              <w:rPr>
                <w:rFonts w:hint="eastAsia" w:ascii="Times New Roman" w:hAnsi="Times New Roman" w:cs="宋体"/>
                <w:color w:val="auto"/>
                <w:szCs w:val="21"/>
              </w:rPr>
              <w:t>氨氮的测定</w:t>
            </w:r>
            <w:r>
              <w:rPr>
                <w:rFonts w:ascii="Times New Roman" w:hAnsi="Times New Roman" w:cs="宋体"/>
                <w:color w:val="auto"/>
                <w:szCs w:val="21"/>
              </w:rPr>
              <w:t xml:space="preserve"> </w:t>
            </w:r>
            <w:r>
              <w:rPr>
                <w:rFonts w:hint="eastAsia" w:ascii="Times New Roman" w:hAnsi="Times New Roman" w:cs="宋体"/>
                <w:color w:val="auto"/>
                <w:szCs w:val="21"/>
              </w:rPr>
              <w:t>纳氏试剂分光光度法</w:t>
            </w:r>
          </w:p>
        </w:tc>
        <w:tc>
          <w:tcPr>
            <w:tcW w:w="1402" w:type="pct"/>
            <w:tcBorders>
              <w:tl2br w:val="nil"/>
              <w:tr2bl w:val="nil"/>
            </w:tcBorders>
            <w:vAlign w:val="center"/>
          </w:tcPr>
          <w:p>
            <w:pPr>
              <w:jc w:val="center"/>
              <w:rPr>
                <w:rFonts w:ascii="Times New Roman" w:hAnsi="Times New Roman" w:cs="宋体"/>
                <w:color w:val="auto"/>
                <w:szCs w:val="21"/>
              </w:rPr>
            </w:pPr>
            <w:r>
              <w:rPr>
                <w:rFonts w:ascii="Times New Roman" w:hAnsi="Times New Roman" w:cs="宋体"/>
                <w:color w:val="auto"/>
                <w:szCs w:val="21"/>
              </w:rPr>
              <w:t>HJ535-2009</w:t>
            </w:r>
          </w:p>
        </w:tc>
        <w:tc>
          <w:tcPr>
            <w:tcW w:w="812" w:type="pct"/>
            <w:tcBorders>
              <w:tl2br w:val="nil"/>
              <w:tr2bl w:val="nil"/>
            </w:tcBorders>
            <w:vAlign w:val="center"/>
          </w:tcPr>
          <w:p>
            <w:pPr>
              <w:jc w:val="center"/>
              <w:rPr>
                <w:rFonts w:ascii="Times New Roman" w:hAnsi="Times New Roman" w:cs="宋体"/>
                <w:color w:val="auto"/>
                <w:szCs w:val="21"/>
              </w:rPr>
            </w:pPr>
            <w:r>
              <w:rPr>
                <w:rFonts w:ascii="Times New Roman" w:hAnsi="Times New Roman" w:cs="宋体"/>
                <w:color w:val="auto"/>
                <w:kern w:val="0"/>
                <w:szCs w:val="21"/>
              </w:rPr>
              <w:t>0.025mg/L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72" w:type="pct"/>
            <w:vMerge w:val="continue"/>
            <w:tcBorders>
              <w:tl2br w:val="nil"/>
              <w:tr2bl w:val="nil"/>
            </w:tcBorders>
            <w:vAlign w:val="center"/>
          </w:tcPr>
          <w:p>
            <w:pPr>
              <w:jc w:val="center"/>
              <w:rPr>
                <w:rFonts w:ascii="Times New Roman" w:hAnsi="Times New Roman"/>
                <w:bCs/>
                <w:color w:val="auto"/>
                <w:szCs w:val="21"/>
              </w:rPr>
            </w:pPr>
          </w:p>
        </w:tc>
        <w:tc>
          <w:tcPr>
            <w:tcW w:w="801" w:type="pct"/>
            <w:tcBorders>
              <w:tl2br w:val="nil"/>
              <w:tr2bl w:val="nil"/>
            </w:tcBorders>
            <w:vAlign w:val="center"/>
          </w:tcPr>
          <w:p>
            <w:pPr>
              <w:jc w:val="center"/>
              <w:rPr>
                <w:rFonts w:ascii="Times New Roman" w:hAnsi="Times New Roman" w:cs="宋体"/>
                <w:color w:val="auto"/>
                <w:szCs w:val="21"/>
              </w:rPr>
            </w:pPr>
            <w:r>
              <w:rPr>
                <w:rFonts w:hint="eastAsia" w:ascii="Times New Roman" w:hAnsi="Times New Roman" w:cs="宋体"/>
                <w:color w:val="auto"/>
                <w:szCs w:val="21"/>
              </w:rPr>
              <w:t>砷</w:t>
            </w:r>
          </w:p>
        </w:tc>
        <w:tc>
          <w:tcPr>
            <w:tcW w:w="1510" w:type="pct"/>
            <w:tcBorders>
              <w:tl2br w:val="nil"/>
              <w:tr2bl w:val="nil"/>
            </w:tcBorders>
            <w:vAlign w:val="center"/>
          </w:tcPr>
          <w:p>
            <w:pPr>
              <w:jc w:val="center"/>
              <w:rPr>
                <w:rFonts w:hint="eastAsia" w:ascii="Times New Roman" w:hAnsi="Times New Roman" w:cs="宋体"/>
                <w:color w:val="auto"/>
                <w:szCs w:val="21"/>
              </w:rPr>
            </w:pPr>
            <w:r>
              <w:rPr>
                <w:rFonts w:hint="eastAsia" w:ascii="Times New Roman" w:hAnsi="Times New Roman" w:cs="宋体"/>
                <w:color w:val="auto"/>
                <w:szCs w:val="21"/>
              </w:rPr>
              <w:t>水质 汞、砷、硒、锑和铋的测定 原子荧光法</w:t>
            </w:r>
          </w:p>
        </w:tc>
        <w:tc>
          <w:tcPr>
            <w:tcW w:w="1402" w:type="pct"/>
            <w:tcBorders>
              <w:tl2br w:val="nil"/>
              <w:tr2bl w:val="nil"/>
            </w:tcBorders>
            <w:vAlign w:val="center"/>
          </w:tcPr>
          <w:p>
            <w:pPr>
              <w:jc w:val="center"/>
              <w:rPr>
                <w:rFonts w:ascii="Times New Roman" w:hAnsi="Times New Roman" w:cs="宋体"/>
                <w:color w:val="auto"/>
                <w:szCs w:val="21"/>
              </w:rPr>
            </w:pPr>
            <w:r>
              <w:rPr>
                <w:rFonts w:ascii="Times New Roman" w:hAnsi="Times New Roman" w:cs="宋体"/>
                <w:color w:val="auto"/>
                <w:szCs w:val="21"/>
              </w:rPr>
              <w:t>HJ694-2014</w:t>
            </w:r>
          </w:p>
        </w:tc>
        <w:tc>
          <w:tcPr>
            <w:tcW w:w="812" w:type="pct"/>
            <w:tcBorders>
              <w:tl2br w:val="nil"/>
              <w:tr2bl w:val="nil"/>
            </w:tcBorders>
            <w:vAlign w:val="center"/>
          </w:tcPr>
          <w:p>
            <w:pPr>
              <w:jc w:val="center"/>
              <w:rPr>
                <w:rFonts w:ascii="Times New Roman" w:hAnsi="Times New Roman" w:cs="宋体"/>
                <w:b/>
                <w:color w:val="auto"/>
                <w:szCs w:val="21"/>
              </w:rPr>
            </w:pPr>
            <w:r>
              <w:rPr>
                <w:rFonts w:ascii="Times New Roman" w:hAnsi="Times New Roman" w:cs="宋体"/>
                <w:color w:val="auto"/>
                <w:szCs w:val="21"/>
              </w:rPr>
              <w:t>0.3</w:t>
            </w:r>
            <w:r>
              <w:rPr>
                <w:rFonts w:hint="eastAsia" w:ascii="Times New Roman" w:hAnsi="Times New Roman" w:cs="宋体"/>
                <w:color w:val="auto"/>
                <w:szCs w:val="21"/>
              </w:rPr>
              <w:t>μ</w:t>
            </w:r>
            <w:r>
              <w:rPr>
                <w:rFonts w:ascii="Times New Roman" w:hAnsi="Times New Roman" w:cs="宋体"/>
                <w:color w:val="auto"/>
                <w:szCs w:val="21"/>
              </w:rPr>
              <w:t>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72" w:type="pct"/>
            <w:vMerge w:val="continue"/>
            <w:tcBorders>
              <w:tl2br w:val="nil"/>
              <w:tr2bl w:val="nil"/>
            </w:tcBorders>
            <w:vAlign w:val="center"/>
          </w:tcPr>
          <w:p>
            <w:pPr>
              <w:jc w:val="center"/>
              <w:rPr>
                <w:rFonts w:ascii="Times New Roman" w:hAnsi="Times New Roman"/>
                <w:bCs/>
                <w:color w:val="auto"/>
                <w:szCs w:val="21"/>
              </w:rPr>
            </w:pPr>
          </w:p>
        </w:tc>
        <w:tc>
          <w:tcPr>
            <w:tcW w:w="801" w:type="pct"/>
            <w:tcBorders>
              <w:tl2br w:val="nil"/>
              <w:tr2bl w:val="nil"/>
            </w:tcBorders>
            <w:vAlign w:val="center"/>
          </w:tcPr>
          <w:p>
            <w:pPr>
              <w:jc w:val="center"/>
              <w:rPr>
                <w:rFonts w:ascii="Times New Roman" w:hAnsi="Times New Roman" w:cs="宋体"/>
                <w:color w:val="auto"/>
                <w:szCs w:val="21"/>
              </w:rPr>
            </w:pPr>
            <w:r>
              <w:rPr>
                <w:rFonts w:hint="eastAsia" w:ascii="Times New Roman" w:hAnsi="Times New Roman" w:cs="宋体"/>
                <w:color w:val="auto"/>
                <w:szCs w:val="21"/>
              </w:rPr>
              <w:t>镉</w:t>
            </w:r>
          </w:p>
        </w:tc>
        <w:tc>
          <w:tcPr>
            <w:tcW w:w="1510" w:type="pct"/>
            <w:vMerge w:val="restart"/>
            <w:tcBorders>
              <w:tl2br w:val="nil"/>
              <w:tr2bl w:val="nil"/>
            </w:tcBorders>
            <w:vAlign w:val="center"/>
          </w:tcPr>
          <w:p>
            <w:pPr>
              <w:jc w:val="center"/>
              <w:rPr>
                <w:rFonts w:hint="eastAsia" w:ascii="Times New Roman" w:hAnsi="Times New Roman" w:cs="宋体"/>
                <w:color w:val="auto"/>
                <w:szCs w:val="21"/>
              </w:rPr>
            </w:pPr>
            <w:r>
              <w:rPr>
                <w:rFonts w:hint="eastAsia" w:ascii="Times New Roman" w:hAnsi="Times New Roman" w:cs="宋体"/>
                <w:color w:val="auto"/>
                <w:szCs w:val="21"/>
              </w:rPr>
              <w:t>水质  铜、锌、铅、镉的测定 原子吸收分光光度法</w:t>
            </w:r>
          </w:p>
          <w:p>
            <w:pPr>
              <w:jc w:val="center"/>
              <w:rPr>
                <w:rFonts w:hint="eastAsia" w:ascii="Times New Roman" w:hAnsi="Times New Roman" w:cs="宋体"/>
                <w:color w:val="auto"/>
                <w:szCs w:val="21"/>
              </w:rPr>
            </w:pPr>
          </w:p>
        </w:tc>
        <w:tc>
          <w:tcPr>
            <w:tcW w:w="1402" w:type="pct"/>
            <w:vMerge w:val="restart"/>
            <w:tcBorders>
              <w:tl2br w:val="nil"/>
              <w:tr2bl w:val="nil"/>
            </w:tcBorders>
            <w:vAlign w:val="center"/>
          </w:tcPr>
          <w:p>
            <w:pPr>
              <w:jc w:val="center"/>
              <w:rPr>
                <w:rFonts w:ascii="Times New Roman" w:hAnsi="Times New Roman" w:cs="宋体"/>
                <w:color w:val="auto"/>
                <w:szCs w:val="21"/>
              </w:rPr>
            </w:pPr>
            <w:r>
              <w:rPr>
                <w:rStyle w:val="121"/>
                <w:rFonts w:ascii="Times New Roman" w:hAnsi="Times New Roman" w:cs="宋体"/>
                <w:color w:val="auto"/>
                <w:sz w:val="21"/>
                <w:szCs w:val="21"/>
              </w:rPr>
              <w:t>GB7475-1987</w:t>
            </w:r>
          </w:p>
          <w:p>
            <w:pPr>
              <w:jc w:val="center"/>
              <w:rPr>
                <w:rFonts w:ascii="Times New Roman" w:hAnsi="Times New Roman" w:cs="宋体"/>
                <w:color w:val="auto"/>
                <w:szCs w:val="21"/>
              </w:rPr>
            </w:pPr>
          </w:p>
        </w:tc>
        <w:tc>
          <w:tcPr>
            <w:tcW w:w="812" w:type="pct"/>
            <w:tcBorders>
              <w:tl2br w:val="nil"/>
              <w:tr2bl w:val="nil"/>
            </w:tcBorders>
            <w:vAlign w:val="center"/>
          </w:tcPr>
          <w:p>
            <w:pPr>
              <w:jc w:val="center"/>
              <w:rPr>
                <w:rFonts w:ascii="Times New Roman" w:hAnsi="Times New Roman" w:cs="宋体"/>
                <w:color w:val="auto"/>
                <w:szCs w:val="21"/>
              </w:rPr>
            </w:pPr>
            <w:r>
              <w:rPr>
                <w:rFonts w:ascii="Times New Roman" w:hAnsi="Times New Roman" w:cs="宋体"/>
                <w:color w:val="auto"/>
                <w:szCs w:val="21"/>
              </w:rPr>
              <w:t>0.001</w:t>
            </w:r>
            <w:r>
              <w:rPr>
                <w:rFonts w:ascii="Times New Roman" w:hAnsi="Times New Roman" w:cs="宋体"/>
                <w:bCs/>
                <w:color w:val="auto"/>
                <w:szCs w:val="21"/>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72" w:type="pct"/>
            <w:vMerge w:val="continue"/>
            <w:tcBorders>
              <w:tl2br w:val="nil"/>
              <w:tr2bl w:val="nil"/>
            </w:tcBorders>
            <w:vAlign w:val="center"/>
          </w:tcPr>
          <w:p>
            <w:pPr>
              <w:jc w:val="center"/>
              <w:rPr>
                <w:rFonts w:ascii="Times New Roman" w:hAnsi="Times New Roman"/>
                <w:bCs/>
                <w:color w:val="auto"/>
                <w:szCs w:val="21"/>
              </w:rPr>
            </w:pPr>
          </w:p>
        </w:tc>
        <w:tc>
          <w:tcPr>
            <w:tcW w:w="801" w:type="pct"/>
            <w:tcBorders>
              <w:tl2br w:val="nil"/>
              <w:tr2bl w:val="nil"/>
            </w:tcBorders>
            <w:vAlign w:val="center"/>
          </w:tcPr>
          <w:p>
            <w:pPr>
              <w:jc w:val="center"/>
              <w:rPr>
                <w:rFonts w:ascii="Times New Roman" w:hAnsi="Times New Roman" w:cs="宋体"/>
                <w:color w:val="auto"/>
                <w:szCs w:val="21"/>
              </w:rPr>
            </w:pPr>
            <w:r>
              <w:rPr>
                <w:rFonts w:hint="eastAsia" w:ascii="Times New Roman" w:hAnsi="Times New Roman" w:cs="宋体"/>
                <w:color w:val="auto"/>
                <w:szCs w:val="21"/>
              </w:rPr>
              <w:t>铜</w:t>
            </w:r>
          </w:p>
        </w:tc>
        <w:tc>
          <w:tcPr>
            <w:tcW w:w="1510" w:type="pct"/>
            <w:vMerge w:val="continue"/>
            <w:tcBorders>
              <w:tl2br w:val="nil"/>
              <w:tr2bl w:val="nil"/>
            </w:tcBorders>
            <w:vAlign w:val="center"/>
          </w:tcPr>
          <w:p>
            <w:pPr>
              <w:jc w:val="center"/>
              <w:rPr>
                <w:rFonts w:ascii="Times New Roman" w:hAnsi="Times New Roman" w:cs="宋体"/>
                <w:color w:val="auto"/>
                <w:szCs w:val="21"/>
              </w:rPr>
            </w:pPr>
          </w:p>
        </w:tc>
        <w:tc>
          <w:tcPr>
            <w:tcW w:w="1402" w:type="pct"/>
            <w:vMerge w:val="continue"/>
            <w:tcBorders>
              <w:tl2br w:val="nil"/>
              <w:tr2bl w:val="nil"/>
            </w:tcBorders>
            <w:vAlign w:val="center"/>
          </w:tcPr>
          <w:p>
            <w:pPr>
              <w:jc w:val="center"/>
              <w:rPr>
                <w:rFonts w:ascii="Times New Roman" w:hAnsi="Times New Roman" w:cs="宋体"/>
                <w:color w:val="auto"/>
                <w:szCs w:val="21"/>
              </w:rPr>
            </w:pPr>
          </w:p>
        </w:tc>
        <w:tc>
          <w:tcPr>
            <w:tcW w:w="812" w:type="pct"/>
            <w:tcBorders>
              <w:tl2br w:val="nil"/>
              <w:tr2bl w:val="nil"/>
            </w:tcBorders>
            <w:vAlign w:val="center"/>
          </w:tcPr>
          <w:p>
            <w:pPr>
              <w:jc w:val="center"/>
              <w:rPr>
                <w:rFonts w:ascii="Times New Roman" w:hAnsi="Times New Roman" w:cs="宋体"/>
                <w:color w:val="auto"/>
                <w:szCs w:val="21"/>
              </w:rPr>
            </w:pPr>
            <w:r>
              <w:rPr>
                <w:rFonts w:ascii="Times New Roman" w:hAnsi="Times New Roman" w:cs="宋体"/>
                <w:color w:val="auto"/>
                <w:szCs w:val="21"/>
              </w:rPr>
              <w:t>0.001</w:t>
            </w:r>
            <w:r>
              <w:rPr>
                <w:rFonts w:ascii="Times New Roman" w:hAnsi="Times New Roman" w:cs="宋体"/>
                <w:bCs/>
                <w:color w:val="auto"/>
                <w:szCs w:val="21"/>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72" w:type="pct"/>
            <w:vMerge w:val="continue"/>
            <w:tcBorders>
              <w:tl2br w:val="nil"/>
              <w:tr2bl w:val="nil"/>
            </w:tcBorders>
            <w:vAlign w:val="center"/>
          </w:tcPr>
          <w:p>
            <w:pPr>
              <w:jc w:val="center"/>
              <w:rPr>
                <w:rFonts w:ascii="Times New Roman" w:hAnsi="Times New Roman"/>
                <w:bCs/>
                <w:color w:val="auto"/>
                <w:szCs w:val="21"/>
              </w:rPr>
            </w:pPr>
          </w:p>
        </w:tc>
        <w:tc>
          <w:tcPr>
            <w:tcW w:w="801" w:type="pct"/>
            <w:tcBorders>
              <w:tl2br w:val="nil"/>
              <w:tr2bl w:val="nil"/>
            </w:tcBorders>
            <w:vAlign w:val="center"/>
          </w:tcPr>
          <w:p>
            <w:pPr>
              <w:jc w:val="center"/>
              <w:rPr>
                <w:rFonts w:ascii="Times New Roman" w:hAnsi="Times New Roman" w:cs="宋体"/>
                <w:color w:val="auto"/>
                <w:szCs w:val="21"/>
              </w:rPr>
            </w:pPr>
            <w:r>
              <w:rPr>
                <w:rFonts w:hint="eastAsia" w:ascii="Times New Roman" w:hAnsi="Times New Roman" w:cs="宋体"/>
                <w:color w:val="auto"/>
                <w:szCs w:val="21"/>
              </w:rPr>
              <w:t>锌</w:t>
            </w:r>
          </w:p>
        </w:tc>
        <w:tc>
          <w:tcPr>
            <w:tcW w:w="1510" w:type="pct"/>
            <w:vMerge w:val="continue"/>
            <w:tcBorders>
              <w:tl2br w:val="nil"/>
              <w:tr2bl w:val="nil"/>
            </w:tcBorders>
            <w:vAlign w:val="center"/>
          </w:tcPr>
          <w:p>
            <w:pPr>
              <w:jc w:val="center"/>
              <w:rPr>
                <w:rFonts w:ascii="Times New Roman" w:hAnsi="Times New Roman" w:cs="宋体"/>
                <w:color w:val="auto"/>
                <w:szCs w:val="21"/>
              </w:rPr>
            </w:pPr>
          </w:p>
        </w:tc>
        <w:tc>
          <w:tcPr>
            <w:tcW w:w="1402" w:type="pct"/>
            <w:vMerge w:val="continue"/>
            <w:tcBorders>
              <w:tl2br w:val="nil"/>
              <w:tr2bl w:val="nil"/>
            </w:tcBorders>
            <w:vAlign w:val="center"/>
          </w:tcPr>
          <w:p>
            <w:pPr>
              <w:jc w:val="center"/>
              <w:rPr>
                <w:rFonts w:ascii="Times New Roman" w:hAnsi="Times New Roman" w:cs="宋体"/>
                <w:color w:val="auto"/>
                <w:szCs w:val="21"/>
              </w:rPr>
            </w:pPr>
          </w:p>
        </w:tc>
        <w:tc>
          <w:tcPr>
            <w:tcW w:w="812" w:type="pct"/>
            <w:tcBorders>
              <w:tl2br w:val="nil"/>
              <w:tr2bl w:val="nil"/>
            </w:tcBorders>
            <w:vAlign w:val="center"/>
          </w:tcPr>
          <w:p>
            <w:pPr>
              <w:jc w:val="center"/>
              <w:rPr>
                <w:rFonts w:ascii="Times New Roman" w:hAnsi="Times New Roman" w:cs="宋体"/>
                <w:color w:val="auto"/>
                <w:szCs w:val="21"/>
              </w:rPr>
            </w:pPr>
            <w:r>
              <w:rPr>
                <w:rFonts w:ascii="Times New Roman" w:hAnsi="Times New Roman" w:cs="宋体"/>
                <w:color w:val="auto"/>
                <w:szCs w:val="21"/>
              </w:rPr>
              <w:t>0.05</w:t>
            </w:r>
            <w:r>
              <w:rPr>
                <w:rFonts w:ascii="Times New Roman" w:hAnsi="Times New Roman" w:cs="宋体"/>
                <w:bCs/>
                <w:color w:val="auto"/>
                <w:szCs w:val="21"/>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72" w:type="pct"/>
            <w:vMerge w:val="continue"/>
            <w:tcBorders>
              <w:tl2br w:val="nil"/>
              <w:tr2bl w:val="nil"/>
            </w:tcBorders>
            <w:vAlign w:val="center"/>
          </w:tcPr>
          <w:p>
            <w:pPr>
              <w:jc w:val="center"/>
              <w:rPr>
                <w:rFonts w:ascii="Times New Roman" w:hAnsi="Times New Roman"/>
                <w:bCs/>
                <w:color w:val="auto"/>
                <w:szCs w:val="21"/>
              </w:rPr>
            </w:pPr>
          </w:p>
        </w:tc>
        <w:tc>
          <w:tcPr>
            <w:tcW w:w="801" w:type="pct"/>
            <w:tcBorders>
              <w:tl2br w:val="nil"/>
              <w:tr2bl w:val="nil"/>
            </w:tcBorders>
            <w:vAlign w:val="center"/>
          </w:tcPr>
          <w:p>
            <w:pPr>
              <w:jc w:val="center"/>
              <w:rPr>
                <w:rFonts w:ascii="Times New Roman" w:hAnsi="Times New Roman" w:cs="宋体"/>
                <w:color w:val="auto"/>
                <w:szCs w:val="21"/>
              </w:rPr>
            </w:pPr>
            <w:r>
              <w:rPr>
                <w:rFonts w:hint="eastAsia" w:ascii="Times New Roman" w:hAnsi="Times New Roman" w:cs="宋体"/>
                <w:color w:val="auto"/>
                <w:szCs w:val="21"/>
              </w:rPr>
              <w:t>铅</w:t>
            </w:r>
          </w:p>
        </w:tc>
        <w:tc>
          <w:tcPr>
            <w:tcW w:w="1510" w:type="pct"/>
            <w:vMerge w:val="continue"/>
            <w:tcBorders>
              <w:tl2br w:val="nil"/>
              <w:tr2bl w:val="nil"/>
            </w:tcBorders>
            <w:vAlign w:val="center"/>
          </w:tcPr>
          <w:p>
            <w:pPr>
              <w:jc w:val="center"/>
              <w:rPr>
                <w:rFonts w:ascii="Times New Roman" w:hAnsi="Times New Roman" w:cs="宋体"/>
                <w:color w:val="auto"/>
                <w:szCs w:val="21"/>
              </w:rPr>
            </w:pPr>
          </w:p>
        </w:tc>
        <w:tc>
          <w:tcPr>
            <w:tcW w:w="1402" w:type="pct"/>
            <w:vMerge w:val="continue"/>
            <w:tcBorders>
              <w:tl2br w:val="nil"/>
              <w:tr2bl w:val="nil"/>
            </w:tcBorders>
            <w:vAlign w:val="center"/>
          </w:tcPr>
          <w:p>
            <w:pPr>
              <w:jc w:val="center"/>
              <w:rPr>
                <w:rFonts w:ascii="Times New Roman" w:hAnsi="Times New Roman" w:cs="宋体"/>
                <w:color w:val="auto"/>
                <w:szCs w:val="21"/>
              </w:rPr>
            </w:pPr>
          </w:p>
        </w:tc>
        <w:tc>
          <w:tcPr>
            <w:tcW w:w="812" w:type="pct"/>
            <w:tcBorders>
              <w:tl2br w:val="nil"/>
              <w:tr2bl w:val="nil"/>
            </w:tcBorders>
            <w:vAlign w:val="center"/>
          </w:tcPr>
          <w:p>
            <w:pPr>
              <w:jc w:val="center"/>
              <w:rPr>
                <w:rFonts w:ascii="Times New Roman" w:hAnsi="Times New Roman" w:cs="宋体"/>
                <w:color w:val="auto"/>
                <w:szCs w:val="21"/>
              </w:rPr>
            </w:pPr>
            <w:r>
              <w:rPr>
                <w:rFonts w:ascii="Times New Roman" w:hAnsi="Times New Roman" w:cs="宋体"/>
                <w:color w:val="auto"/>
                <w:szCs w:val="21"/>
              </w:rPr>
              <w:t>0.01</w:t>
            </w:r>
            <w:r>
              <w:rPr>
                <w:rFonts w:ascii="Times New Roman" w:hAnsi="Times New Roman" w:cs="宋体"/>
                <w:bCs/>
                <w:color w:val="auto"/>
                <w:szCs w:val="21"/>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72" w:type="pct"/>
            <w:vMerge w:val="continue"/>
            <w:tcBorders>
              <w:tl2br w:val="nil"/>
              <w:tr2bl w:val="nil"/>
            </w:tcBorders>
            <w:vAlign w:val="center"/>
          </w:tcPr>
          <w:p>
            <w:pPr>
              <w:jc w:val="center"/>
              <w:rPr>
                <w:rFonts w:ascii="Times New Roman" w:hAnsi="Times New Roman"/>
                <w:bCs/>
                <w:color w:val="auto"/>
                <w:szCs w:val="21"/>
              </w:rPr>
            </w:pPr>
          </w:p>
        </w:tc>
        <w:tc>
          <w:tcPr>
            <w:tcW w:w="801" w:type="pct"/>
            <w:tcBorders>
              <w:tl2br w:val="nil"/>
              <w:tr2bl w:val="nil"/>
            </w:tcBorders>
            <w:vAlign w:val="center"/>
          </w:tcPr>
          <w:p>
            <w:pPr>
              <w:jc w:val="center"/>
              <w:rPr>
                <w:rFonts w:ascii="Times New Roman" w:hAnsi="Times New Roman" w:cs="宋体"/>
                <w:color w:val="auto"/>
                <w:szCs w:val="21"/>
              </w:rPr>
            </w:pPr>
            <w:r>
              <w:rPr>
                <w:rFonts w:hint="eastAsia" w:ascii="Times New Roman" w:hAnsi="Times New Roman" w:cs="宋体"/>
                <w:color w:val="auto"/>
                <w:szCs w:val="21"/>
              </w:rPr>
              <w:t>铬</w:t>
            </w:r>
          </w:p>
        </w:tc>
        <w:tc>
          <w:tcPr>
            <w:tcW w:w="1510" w:type="pct"/>
            <w:vMerge w:val="restart"/>
            <w:tcBorders>
              <w:tl2br w:val="nil"/>
              <w:tr2bl w:val="nil"/>
            </w:tcBorders>
            <w:vAlign w:val="center"/>
          </w:tcPr>
          <w:p>
            <w:pPr>
              <w:jc w:val="center"/>
              <w:rPr>
                <w:rFonts w:ascii="Times New Roman" w:hAnsi="Times New Roman" w:cs="宋体"/>
                <w:bCs/>
                <w:color w:val="auto"/>
                <w:szCs w:val="21"/>
              </w:rPr>
            </w:pPr>
            <w:r>
              <w:rPr>
                <w:rFonts w:hint="eastAsia" w:ascii="Times New Roman" w:hAnsi="Times New Roman" w:cs="宋体"/>
                <w:bCs/>
                <w:color w:val="auto"/>
                <w:szCs w:val="21"/>
              </w:rPr>
              <w:t>水质</w:t>
            </w:r>
            <w:r>
              <w:rPr>
                <w:rFonts w:ascii="Times New Roman" w:hAnsi="Times New Roman" w:cs="宋体"/>
                <w:bCs/>
                <w:color w:val="auto"/>
                <w:szCs w:val="21"/>
              </w:rPr>
              <w:t>32</w:t>
            </w:r>
            <w:r>
              <w:rPr>
                <w:rFonts w:hint="eastAsia" w:ascii="Times New Roman" w:hAnsi="Times New Roman" w:cs="宋体"/>
                <w:bCs/>
                <w:color w:val="auto"/>
                <w:szCs w:val="21"/>
              </w:rPr>
              <w:t>种元素的测定</w:t>
            </w:r>
            <w:r>
              <w:rPr>
                <w:rFonts w:ascii="Times New Roman" w:hAnsi="Times New Roman" w:cs="宋体"/>
                <w:bCs/>
                <w:color w:val="auto"/>
                <w:szCs w:val="21"/>
              </w:rPr>
              <w:t xml:space="preserve"> </w:t>
            </w:r>
            <w:r>
              <w:rPr>
                <w:rFonts w:hint="eastAsia" w:ascii="Times New Roman" w:hAnsi="Times New Roman" w:cs="宋体"/>
                <w:bCs/>
                <w:color w:val="auto"/>
                <w:szCs w:val="21"/>
              </w:rPr>
              <w:t>电感耦合等离子体发射光谱法</w:t>
            </w:r>
          </w:p>
        </w:tc>
        <w:tc>
          <w:tcPr>
            <w:tcW w:w="1402" w:type="pct"/>
            <w:vMerge w:val="restart"/>
            <w:tcBorders>
              <w:tl2br w:val="nil"/>
              <w:tr2bl w:val="nil"/>
            </w:tcBorders>
            <w:vAlign w:val="center"/>
          </w:tcPr>
          <w:p>
            <w:pPr>
              <w:jc w:val="center"/>
              <w:rPr>
                <w:rFonts w:ascii="Times New Roman" w:hAnsi="Times New Roman" w:cs="宋体"/>
                <w:bCs/>
                <w:color w:val="auto"/>
                <w:szCs w:val="21"/>
              </w:rPr>
            </w:pPr>
            <w:r>
              <w:rPr>
                <w:rFonts w:ascii="Times New Roman" w:hAnsi="Times New Roman" w:cs="宋体"/>
                <w:bCs/>
                <w:color w:val="auto"/>
                <w:szCs w:val="21"/>
              </w:rPr>
              <w:t>HJ776-2015</w:t>
            </w:r>
          </w:p>
        </w:tc>
        <w:tc>
          <w:tcPr>
            <w:tcW w:w="812" w:type="pct"/>
            <w:tcBorders>
              <w:tl2br w:val="nil"/>
              <w:tr2bl w:val="nil"/>
            </w:tcBorders>
            <w:vAlign w:val="center"/>
          </w:tcPr>
          <w:p>
            <w:pPr>
              <w:jc w:val="center"/>
              <w:rPr>
                <w:rFonts w:ascii="Times New Roman" w:hAnsi="Times New Roman"/>
                <w:b/>
                <w:color w:val="auto"/>
                <w:szCs w:val="21"/>
              </w:rPr>
            </w:pPr>
            <w:r>
              <w:rPr>
                <w:rFonts w:ascii="Times New Roman" w:hAnsi="Times New Roman"/>
                <w:b w:val="0"/>
                <w:bCs/>
                <w:color w:val="auto"/>
                <w:szCs w:val="21"/>
              </w:rPr>
              <w:t>0.03</w:t>
            </w:r>
            <w:r>
              <w:rPr>
                <w:rFonts w:ascii="Times New Roman" w:hAnsi="Times New Roman" w:cs="宋体"/>
                <w:b w:val="0"/>
                <w:bCs/>
                <w:color w:val="auto"/>
                <w:szCs w:val="21"/>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72" w:type="pct"/>
            <w:vMerge w:val="continue"/>
            <w:tcBorders>
              <w:tl2br w:val="nil"/>
              <w:tr2bl w:val="nil"/>
            </w:tcBorders>
            <w:vAlign w:val="center"/>
          </w:tcPr>
          <w:p>
            <w:pPr>
              <w:jc w:val="center"/>
              <w:rPr>
                <w:rFonts w:ascii="Times New Roman" w:hAnsi="Times New Roman"/>
                <w:bCs/>
                <w:color w:val="auto"/>
                <w:szCs w:val="21"/>
              </w:rPr>
            </w:pPr>
          </w:p>
        </w:tc>
        <w:tc>
          <w:tcPr>
            <w:tcW w:w="801" w:type="pct"/>
            <w:tcBorders>
              <w:tl2br w:val="nil"/>
              <w:tr2bl w:val="nil"/>
            </w:tcBorders>
            <w:vAlign w:val="center"/>
          </w:tcPr>
          <w:p>
            <w:pPr>
              <w:jc w:val="center"/>
              <w:rPr>
                <w:rFonts w:ascii="Times New Roman" w:hAnsi="Times New Roman" w:cs="宋体"/>
                <w:color w:val="auto"/>
                <w:szCs w:val="21"/>
              </w:rPr>
            </w:pPr>
            <w:r>
              <w:rPr>
                <w:rFonts w:hint="eastAsia" w:ascii="Times New Roman" w:hAnsi="Times New Roman" w:cs="宋体"/>
                <w:color w:val="auto"/>
                <w:szCs w:val="21"/>
              </w:rPr>
              <w:t>铁</w:t>
            </w:r>
          </w:p>
        </w:tc>
        <w:tc>
          <w:tcPr>
            <w:tcW w:w="1510" w:type="pct"/>
            <w:vMerge w:val="continue"/>
            <w:tcBorders>
              <w:tl2br w:val="nil"/>
              <w:tr2bl w:val="nil"/>
            </w:tcBorders>
            <w:vAlign w:val="center"/>
          </w:tcPr>
          <w:p>
            <w:pPr>
              <w:jc w:val="center"/>
              <w:rPr>
                <w:rFonts w:ascii="Times New Roman" w:hAnsi="Times New Roman" w:cs="宋体"/>
                <w:color w:val="auto"/>
                <w:szCs w:val="21"/>
              </w:rPr>
            </w:pPr>
          </w:p>
        </w:tc>
        <w:tc>
          <w:tcPr>
            <w:tcW w:w="1402" w:type="pct"/>
            <w:vMerge w:val="continue"/>
            <w:tcBorders>
              <w:tl2br w:val="nil"/>
              <w:tr2bl w:val="nil"/>
            </w:tcBorders>
            <w:vAlign w:val="center"/>
          </w:tcPr>
          <w:p>
            <w:pPr>
              <w:jc w:val="center"/>
              <w:rPr>
                <w:rFonts w:ascii="Times New Roman" w:hAnsi="Times New Roman" w:cs="宋体"/>
                <w:color w:val="auto"/>
                <w:szCs w:val="21"/>
              </w:rPr>
            </w:pPr>
          </w:p>
        </w:tc>
        <w:tc>
          <w:tcPr>
            <w:tcW w:w="812" w:type="pct"/>
            <w:tcBorders>
              <w:tl2br w:val="nil"/>
              <w:tr2bl w:val="nil"/>
            </w:tcBorders>
            <w:vAlign w:val="center"/>
          </w:tcPr>
          <w:p>
            <w:pPr>
              <w:jc w:val="center"/>
              <w:rPr>
                <w:rFonts w:ascii="Times New Roman" w:hAnsi="Times New Roman"/>
                <w:b/>
                <w:color w:val="auto"/>
                <w:szCs w:val="21"/>
              </w:rPr>
            </w:pPr>
            <w:r>
              <w:rPr>
                <w:rFonts w:ascii="Times New Roman" w:hAnsi="Times New Roman" w:cs="宋体"/>
                <w:bCs/>
                <w:color w:val="auto"/>
                <w:szCs w:val="21"/>
              </w:rPr>
              <w:t>0.01mg/L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72" w:type="pct"/>
            <w:tcBorders>
              <w:tl2br w:val="nil"/>
              <w:tr2bl w:val="nil"/>
            </w:tcBorders>
            <w:vAlign w:val="center"/>
          </w:tcPr>
          <w:p>
            <w:pPr>
              <w:jc w:val="center"/>
              <w:rPr>
                <w:rFonts w:hint="eastAsia" w:ascii="Times New Roman" w:hAnsi="Times New Roman" w:eastAsiaTheme="minorEastAsia"/>
                <w:bCs/>
                <w:color w:val="auto"/>
                <w:szCs w:val="21"/>
                <w:lang w:eastAsia="zh-CN"/>
              </w:rPr>
            </w:pPr>
            <w:r>
              <w:rPr>
                <w:rFonts w:hint="eastAsia" w:ascii="Times New Roman" w:hAnsi="Times New Roman"/>
                <w:bCs/>
                <w:color w:val="auto"/>
                <w:szCs w:val="21"/>
                <w:lang w:eastAsia="zh-CN"/>
              </w:rPr>
              <w:t>噪声</w:t>
            </w:r>
          </w:p>
        </w:tc>
        <w:tc>
          <w:tcPr>
            <w:tcW w:w="801" w:type="pct"/>
            <w:tcBorders>
              <w:tl2br w:val="nil"/>
              <w:tr2bl w:val="nil"/>
            </w:tcBorders>
            <w:vAlign w:val="center"/>
          </w:tcPr>
          <w:p>
            <w:pPr>
              <w:jc w:val="center"/>
              <w:rPr>
                <w:rFonts w:ascii="Times New Roman" w:hAnsi="Times New Roman" w:cs="宋体"/>
                <w:color w:val="auto"/>
                <w:szCs w:val="21"/>
              </w:rPr>
            </w:pPr>
            <w:r>
              <w:rPr>
                <w:rFonts w:hint="eastAsia" w:ascii="Times New Roman" w:hAnsi="Times New Roman" w:cs="宋体"/>
                <w:color w:val="auto"/>
                <w:szCs w:val="21"/>
              </w:rPr>
              <w:t>噪声</w:t>
            </w:r>
          </w:p>
        </w:tc>
        <w:tc>
          <w:tcPr>
            <w:tcW w:w="1510" w:type="pct"/>
            <w:tcBorders>
              <w:tl2br w:val="nil"/>
              <w:tr2bl w:val="nil"/>
            </w:tcBorders>
            <w:vAlign w:val="center"/>
          </w:tcPr>
          <w:p>
            <w:pPr>
              <w:jc w:val="center"/>
              <w:rPr>
                <w:rFonts w:ascii="Times New Roman" w:hAnsi="Times New Roman" w:cs="宋体"/>
                <w:color w:val="auto"/>
                <w:szCs w:val="21"/>
              </w:rPr>
            </w:pPr>
            <w:r>
              <w:rPr>
                <w:rFonts w:hint="eastAsia" w:ascii="Times New Roman" w:hAnsi="Times New Roman"/>
                <w:color w:val="auto"/>
                <w:szCs w:val="21"/>
              </w:rPr>
              <w:t>工业企业厂界环境噪声排放标准</w:t>
            </w:r>
          </w:p>
        </w:tc>
        <w:tc>
          <w:tcPr>
            <w:tcW w:w="1402" w:type="pct"/>
            <w:tcBorders>
              <w:tl2br w:val="nil"/>
              <w:tr2bl w:val="nil"/>
            </w:tcBorders>
            <w:vAlign w:val="center"/>
          </w:tcPr>
          <w:p>
            <w:pPr>
              <w:jc w:val="center"/>
              <w:rPr>
                <w:rFonts w:ascii="Times New Roman" w:hAnsi="Times New Roman" w:cs="宋体"/>
                <w:color w:val="auto"/>
                <w:szCs w:val="21"/>
              </w:rPr>
            </w:pPr>
            <w:r>
              <w:rPr>
                <w:rFonts w:ascii="Times New Roman" w:hAnsi="Times New Roman" w:cs="宋体"/>
                <w:color w:val="auto"/>
                <w:szCs w:val="21"/>
              </w:rPr>
              <w:t>GB12348-2008</w:t>
            </w:r>
          </w:p>
        </w:tc>
        <w:tc>
          <w:tcPr>
            <w:tcW w:w="812" w:type="pct"/>
            <w:tcBorders>
              <w:tl2br w:val="nil"/>
              <w:tr2bl w:val="nil"/>
            </w:tcBorders>
            <w:vAlign w:val="center"/>
          </w:tcPr>
          <w:p>
            <w:pPr>
              <w:jc w:val="center"/>
              <w:rPr>
                <w:rFonts w:ascii="Times New Roman" w:hAnsi="Times New Roman" w:cs="宋体"/>
                <w:color w:val="auto"/>
                <w:szCs w:val="21"/>
              </w:rPr>
            </w:pPr>
            <w:r>
              <w:rPr>
                <w:rFonts w:ascii="Times New Roman" w:hAnsi="Times New Roman" w:cs="宋体"/>
                <w:color w:val="auto"/>
                <w:szCs w:val="21"/>
              </w:rPr>
              <w:t>—</w:t>
            </w:r>
          </w:p>
        </w:tc>
      </w:tr>
    </w:tbl>
    <w:p>
      <w:pPr>
        <w:pStyle w:val="6"/>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color w:val="auto"/>
        </w:rPr>
      </w:pPr>
      <w:bookmarkStart w:id="157" w:name="_Toc22707"/>
      <w:r>
        <w:rPr>
          <w:rFonts w:hint="eastAsia" w:ascii="Times New Roman" w:hAnsi="Times New Roman"/>
          <w:color w:val="auto"/>
        </w:rPr>
        <w:t>8.2监测仪器</w:t>
      </w:r>
      <w:bookmarkEnd w:id="156"/>
      <w:bookmarkEnd w:id="157"/>
    </w:p>
    <w:p>
      <w:pPr>
        <w:pageBreakBefore w:val="0"/>
        <w:widowControl w:val="0"/>
        <w:kinsoku/>
        <w:wordWrap/>
        <w:overflowPunct/>
        <w:topLinePunct w:val="0"/>
        <w:autoSpaceDE/>
        <w:autoSpaceDN/>
        <w:bidi w:val="0"/>
        <w:adjustRightInd/>
        <w:snapToGrid/>
        <w:spacing w:line="360" w:lineRule="auto"/>
        <w:ind w:firstLine="482"/>
        <w:textAlignment w:val="auto"/>
        <w:rPr>
          <w:rFonts w:ascii="Times New Roman" w:hAnsi="Times New Roman" w:eastAsia="宋体" w:cs="Times New Roman"/>
          <w:color w:val="auto"/>
          <w:sz w:val="24"/>
          <w:szCs w:val="20"/>
        </w:rPr>
      </w:pPr>
      <w:r>
        <w:rPr>
          <w:rFonts w:ascii="Times New Roman" w:hAnsi="Times New Roman"/>
          <w:color w:val="auto"/>
          <w:sz w:val="21"/>
        </w:rPr>
        <mc:AlternateContent>
          <mc:Choice Requires="wps">
            <w:drawing>
              <wp:anchor distT="0" distB="0" distL="114300" distR="114300" simplePos="0" relativeHeight="251703296" behindDoc="0" locked="0" layoutInCell="1" allowOverlap="1">
                <wp:simplePos x="0" y="0"/>
                <wp:positionH relativeFrom="column">
                  <wp:posOffset>1552575</wp:posOffset>
                </wp:positionH>
                <wp:positionV relativeFrom="paragraph">
                  <wp:posOffset>153035</wp:posOffset>
                </wp:positionV>
                <wp:extent cx="2427605" cy="371475"/>
                <wp:effectExtent l="0" t="0" r="0" b="0"/>
                <wp:wrapNone/>
                <wp:docPr id="70" name="文本框 1525"/>
                <wp:cNvGraphicFramePr/>
                <a:graphic xmlns:a="http://schemas.openxmlformats.org/drawingml/2006/main">
                  <a:graphicData uri="http://schemas.microsoft.com/office/word/2010/wordprocessingShape">
                    <wps:wsp>
                      <wps:cNvSpPr txBox="1"/>
                      <wps:spPr>
                        <a:xfrm>
                          <a:off x="0" y="0"/>
                          <a:ext cx="2427605" cy="371475"/>
                        </a:xfrm>
                        <a:prstGeom prst="rect">
                          <a:avLst/>
                        </a:prstGeom>
                        <a:noFill/>
                        <a:ln>
                          <a:noFill/>
                        </a:ln>
                      </wps:spPr>
                      <wps:txbx>
                        <w:txbxContent>
                          <w:p>
                            <w:pPr>
                              <w:pageBreakBefore w:val="0"/>
                              <w:widowControl w:val="0"/>
                              <w:kinsoku/>
                              <w:wordWrap/>
                              <w:overflowPunct/>
                              <w:topLinePunct w:val="0"/>
                              <w:autoSpaceDE/>
                              <w:autoSpaceDN/>
                              <w:bidi w:val="0"/>
                              <w:adjustRightInd/>
                              <w:snapToGrid/>
                              <w:spacing w:line="360" w:lineRule="auto"/>
                              <w:jc w:val="center"/>
                              <w:textAlignment w:val="auto"/>
                              <w:rPr>
                                <w:rFonts w:ascii="Times New Roman" w:hAnsi="Times New Roman" w:cs="Times New Roman"/>
                                <w:b/>
                                <w:szCs w:val="21"/>
                              </w:rPr>
                            </w:pPr>
                            <w:r>
                              <w:rPr>
                                <w:rFonts w:hint="eastAsia" w:ascii="Times New Roman" w:hAnsi="Times New Roman" w:cs="Times New Roman"/>
                                <w:b/>
                                <w:szCs w:val="21"/>
                              </w:rPr>
                              <w:t xml:space="preserve">表8.2-1 </w:t>
                            </w:r>
                            <w:r>
                              <w:rPr>
                                <w:rFonts w:hint="eastAsia" w:ascii="Times New Roman" w:hAnsi="Times New Roman" w:cs="Times New Roman"/>
                                <w:b/>
                                <w:szCs w:val="21"/>
                                <w:lang w:val="en-US" w:eastAsia="zh-CN"/>
                              </w:rPr>
                              <w:t xml:space="preserve"> </w:t>
                            </w:r>
                            <w:r>
                              <w:rPr>
                                <w:rFonts w:hint="eastAsia" w:ascii="Times New Roman" w:hAnsi="Times New Roman" w:cs="Times New Roman"/>
                                <w:b/>
                                <w:szCs w:val="21"/>
                              </w:rPr>
                              <w:t>监测仪器</w:t>
                            </w:r>
                            <w:r>
                              <w:rPr>
                                <w:rFonts w:ascii="Times New Roman" w:hAnsi="Times New Roman" w:cs="Times New Roman"/>
                                <w:b/>
                                <w:szCs w:val="21"/>
                              </w:rPr>
                              <w:t>一览表</w:t>
                            </w:r>
                          </w:p>
                          <w:p/>
                        </w:txbxContent>
                      </wps:txbx>
                      <wps:bodyPr upright="1"/>
                    </wps:wsp>
                  </a:graphicData>
                </a:graphic>
              </wp:anchor>
            </w:drawing>
          </mc:Choice>
          <mc:Fallback>
            <w:pict>
              <v:shape id="文本框 1525" o:spid="_x0000_s1026" o:spt="202" type="#_x0000_t202" style="position:absolute;left:0pt;margin-left:122.25pt;margin-top:12.05pt;height:29.25pt;width:191.15pt;z-index:251703296;mso-width-relative:page;mso-height-relative:page;" filled="f" stroked="f" coordsize="21600,21600" o:gfxdata="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Bcuin2&#10;1gAAAAkBAAAPAAAAAAAAAAEAIAAAACIAAABkcnMvZG93bnJldi54bWxQSwECFAAUAAAACACHTuJA&#10;oNhACbEBAABSAwAADgAAAAAAAAABACAAAAAlAQAAZHJzL2Uyb0RvYy54bWxQSwUGAAAAAAYABgBZ&#10;AQAASAUAAAAA&#10;">
                <v:fill on="f" focussize="0,0"/>
                <v:stroke on="f"/>
                <v:imagedata o:title=""/>
                <o:lock v:ext="edit" aspectratio="f"/>
                <v:textbox>
                  <w:txbxContent>
                    <w:p>
                      <w:pPr>
                        <w:pageBreakBefore w:val="0"/>
                        <w:widowControl w:val="0"/>
                        <w:kinsoku/>
                        <w:wordWrap/>
                        <w:overflowPunct/>
                        <w:topLinePunct w:val="0"/>
                        <w:autoSpaceDE/>
                        <w:autoSpaceDN/>
                        <w:bidi w:val="0"/>
                        <w:adjustRightInd/>
                        <w:snapToGrid/>
                        <w:spacing w:line="360" w:lineRule="auto"/>
                        <w:jc w:val="center"/>
                        <w:textAlignment w:val="auto"/>
                        <w:rPr>
                          <w:rFonts w:ascii="Times New Roman" w:hAnsi="Times New Roman" w:cs="Times New Roman"/>
                          <w:b/>
                          <w:szCs w:val="21"/>
                        </w:rPr>
                      </w:pPr>
                      <w:r>
                        <w:rPr>
                          <w:rFonts w:hint="eastAsia" w:ascii="Times New Roman" w:hAnsi="Times New Roman" w:cs="Times New Roman"/>
                          <w:b/>
                          <w:szCs w:val="21"/>
                        </w:rPr>
                        <w:t xml:space="preserve">表8.2-1 </w:t>
                      </w:r>
                      <w:r>
                        <w:rPr>
                          <w:rFonts w:hint="eastAsia" w:ascii="Times New Roman" w:hAnsi="Times New Roman" w:cs="Times New Roman"/>
                          <w:b/>
                          <w:szCs w:val="21"/>
                          <w:lang w:val="en-US" w:eastAsia="zh-CN"/>
                        </w:rPr>
                        <w:t xml:space="preserve"> </w:t>
                      </w:r>
                      <w:r>
                        <w:rPr>
                          <w:rFonts w:hint="eastAsia" w:ascii="Times New Roman" w:hAnsi="Times New Roman" w:cs="Times New Roman"/>
                          <w:b/>
                          <w:szCs w:val="21"/>
                        </w:rPr>
                        <w:t>监测仪器</w:t>
                      </w:r>
                      <w:r>
                        <w:rPr>
                          <w:rFonts w:ascii="Times New Roman" w:hAnsi="Times New Roman" w:cs="Times New Roman"/>
                          <w:b/>
                          <w:szCs w:val="21"/>
                        </w:rPr>
                        <w:t>一览表</w:t>
                      </w:r>
                    </w:p>
                    <w:p/>
                  </w:txbxContent>
                </v:textbox>
              </v:shape>
            </w:pict>
          </mc:Fallback>
        </mc:AlternateContent>
      </w:r>
      <w:r>
        <w:rPr>
          <w:rFonts w:hint="eastAsia" w:ascii="Times New Roman" w:hAnsi="Times New Roman" w:eastAsia="宋体" w:cs="Times New Roman"/>
          <w:color w:val="auto"/>
          <w:sz w:val="24"/>
          <w:szCs w:val="20"/>
        </w:rPr>
        <w:t>本次监测所用采样及实验室分析仪器详见表8.2-1：</w:t>
      </w:r>
    </w:p>
    <w:tbl>
      <w:tblPr>
        <w:tblStyle w:val="29"/>
        <w:tblpPr w:leftFromText="180" w:rightFromText="180" w:vertAnchor="text" w:horzAnchor="page" w:tblpX="1280" w:tblpY="292"/>
        <w:tblOverlap w:val="never"/>
        <w:tblW w:w="9340"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
      <w:tblGrid>
        <w:gridCol w:w="869"/>
        <w:gridCol w:w="2515"/>
        <w:gridCol w:w="1820"/>
        <w:gridCol w:w="2032"/>
        <w:gridCol w:w="2104"/>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869" w:type="dxa"/>
            <w:tcBorders>
              <w:tl2br w:val="nil"/>
              <w:tr2bl w:val="nil"/>
            </w:tcBorders>
            <w:vAlign w:val="center"/>
          </w:tcPr>
          <w:p>
            <w:pPr>
              <w:pageBreakBefore w:val="0"/>
              <w:widowControl w:val="0"/>
              <w:kinsoku/>
              <w:wordWrap/>
              <w:overflowPunct/>
              <w:topLinePunct w:val="0"/>
              <w:autoSpaceDE/>
              <w:autoSpaceDN/>
              <w:bidi w:val="0"/>
              <w:adjustRightInd/>
              <w:snapToGrid/>
              <w:spacing w:line="360" w:lineRule="auto"/>
              <w:jc w:val="center"/>
              <w:textAlignment w:val="auto"/>
              <w:rPr>
                <w:rFonts w:ascii="Times New Roman" w:hAnsi="Times New Roman" w:cs="宋体"/>
                <w:b/>
                <w:bCs/>
                <w:color w:val="auto"/>
                <w:szCs w:val="21"/>
              </w:rPr>
            </w:pPr>
            <w:bookmarkStart w:id="158" w:name="_Toc507454889"/>
            <w:r>
              <w:rPr>
                <w:rFonts w:hint="eastAsia" w:ascii="Times New Roman" w:hAnsi="Times New Roman" w:cs="宋体"/>
                <w:b/>
                <w:bCs/>
                <w:color w:val="auto"/>
                <w:szCs w:val="21"/>
              </w:rPr>
              <w:t>序号</w:t>
            </w:r>
          </w:p>
        </w:tc>
        <w:tc>
          <w:tcPr>
            <w:tcW w:w="2515" w:type="dxa"/>
            <w:tcBorders>
              <w:tl2br w:val="nil"/>
              <w:tr2bl w:val="nil"/>
            </w:tcBorders>
            <w:vAlign w:val="center"/>
          </w:tcPr>
          <w:p>
            <w:pPr>
              <w:pStyle w:val="101"/>
              <w:ind w:left="372" w:right="364"/>
              <w:jc w:val="center"/>
              <w:rPr>
                <w:rFonts w:ascii="Times New Roman" w:hAnsi="Times New Roman" w:cs="宋体"/>
                <w:b/>
                <w:bCs/>
                <w:color w:val="auto"/>
                <w:szCs w:val="21"/>
              </w:rPr>
            </w:pPr>
            <w:r>
              <w:rPr>
                <w:rFonts w:hint="eastAsia" w:ascii="Times New Roman" w:hAnsi="Times New Roman" w:cs="宋体"/>
                <w:b/>
                <w:bCs/>
                <w:color w:val="auto"/>
                <w:szCs w:val="21"/>
              </w:rPr>
              <w:t>监测仪器名称</w:t>
            </w:r>
          </w:p>
        </w:tc>
        <w:tc>
          <w:tcPr>
            <w:tcW w:w="1820" w:type="dxa"/>
            <w:tcBorders>
              <w:tl2br w:val="nil"/>
              <w:tr2bl w:val="nil"/>
            </w:tcBorders>
            <w:vAlign w:val="center"/>
          </w:tcPr>
          <w:p>
            <w:pPr>
              <w:pStyle w:val="101"/>
              <w:ind w:left="429" w:right="419"/>
              <w:jc w:val="center"/>
              <w:rPr>
                <w:rFonts w:ascii="Times New Roman" w:hAnsi="Times New Roman" w:cs="宋体"/>
                <w:b/>
                <w:bCs/>
                <w:color w:val="auto"/>
                <w:szCs w:val="21"/>
              </w:rPr>
            </w:pPr>
            <w:r>
              <w:rPr>
                <w:rFonts w:hint="eastAsia" w:ascii="Times New Roman" w:hAnsi="Times New Roman" w:cs="宋体"/>
                <w:b/>
                <w:bCs/>
                <w:color w:val="auto"/>
                <w:szCs w:val="21"/>
                <w:lang w:val="en-US"/>
              </w:rPr>
              <w:t>仪器</w:t>
            </w:r>
            <w:r>
              <w:rPr>
                <w:rFonts w:hint="eastAsia" w:ascii="Times New Roman" w:hAnsi="Times New Roman" w:cs="宋体"/>
                <w:b/>
                <w:bCs/>
                <w:color w:val="auto"/>
                <w:szCs w:val="21"/>
              </w:rPr>
              <w:t>型号</w:t>
            </w:r>
          </w:p>
        </w:tc>
        <w:tc>
          <w:tcPr>
            <w:tcW w:w="2032" w:type="dxa"/>
            <w:tcBorders>
              <w:tl2br w:val="nil"/>
              <w:tr2bl w:val="nil"/>
            </w:tcBorders>
            <w:vAlign w:val="center"/>
          </w:tcPr>
          <w:p>
            <w:pPr>
              <w:pStyle w:val="101"/>
              <w:ind w:left="429" w:right="419"/>
              <w:jc w:val="center"/>
              <w:rPr>
                <w:rFonts w:ascii="Times New Roman" w:hAnsi="Times New Roman" w:cs="宋体"/>
                <w:b/>
                <w:bCs/>
                <w:color w:val="auto"/>
                <w:szCs w:val="21"/>
                <w:lang w:val="en-US"/>
              </w:rPr>
            </w:pPr>
            <w:r>
              <w:rPr>
                <w:rFonts w:hint="eastAsia" w:ascii="Times New Roman" w:hAnsi="Times New Roman" w:cs="宋体"/>
                <w:b/>
                <w:bCs/>
                <w:color w:val="auto"/>
                <w:szCs w:val="21"/>
                <w:lang w:val="en-US"/>
              </w:rPr>
              <w:t>出厂编号</w:t>
            </w:r>
          </w:p>
        </w:tc>
        <w:tc>
          <w:tcPr>
            <w:tcW w:w="2104" w:type="dxa"/>
            <w:tcBorders>
              <w:tl2br w:val="nil"/>
              <w:tr2bl w:val="nil"/>
            </w:tcBorders>
            <w:vAlign w:val="center"/>
          </w:tcPr>
          <w:p>
            <w:pPr>
              <w:pStyle w:val="101"/>
              <w:ind w:left="69" w:right="63"/>
              <w:jc w:val="center"/>
              <w:rPr>
                <w:rFonts w:ascii="Times New Roman" w:hAnsi="Times New Roman" w:cs="宋体"/>
                <w:b/>
                <w:bCs/>
                <w:color w:val="auto"/>
                <w:szCs w:val="21"/>
              </w:rPr>
            </w:pPr>
            <w:r>
              <w:rPr>
                <w:rFonts w:hint="eastAsia" w:ascii="Times New Roman" w:hAnsi="Times New Roman" w:cs="宋体"/>
                <w:b/>
                <w:bCs/>
                <w:color w:val="auto"/>
                <w:szCs w:val="21"/>
              </w:rPr>
              <w:t>仪器编号</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869" w:type="dxa"/>
            <w:tcBorders>
              <w:tl2br w:val="nil"/>
              <w:tr2bl w:val="nil"/>
            </w:tcBorders>
            <w:vAlign w:val="center"/>
          </w:tcPr>
          <w:p>
            <w:pPr>
              <w:pStyle w:val="101"/>
              <w:spacing w:before="43"/>
              <w:ind w:left="7"/>
              <w:jc w:val="center"/>
              <w:rPr>
                <w:rFonts w:ascii="Times New Roman" w:hAnsi="Times New Roman" w:cs="宋体"/>
                <w:color w:val="auto"/>
                <w:szCs w:val="21"/>
                <w:lang w:val="en-US"/>
              </w:rPr>
            </w:pPr>
            <w:r>
              <w:rPr>
                <w:rFonts w:ascii="Times New Roman" w:hAnsi="Times New Roman" w:cs="宋体"/>
                <w:color w:val="auto"/>
                <w:szCs w:val="21"/>
                <w:lang w:val="en-US"/>
              </w:rPr>
              <w:t>1</w:t>
            </w:r>
          </w:p>
        </w:tc>
        <w:tc>
          <w:tcPr>
            <w:tcW w:w="2515" w:type="dxa"/>
            <w:tcBorders>
              <w:tl2br w:val="nil"/>
              <w:tr2bl w:val="nil"/>
            </w:tcBorders>
            <w:vAlign w:val="center"/>
          </w:tcPr>
          <w:p>
            <w:pPr>
              <w:tabs>
                <w:tab w:val="center" w:pos="4153"/>
                <w:tab w:val="right" w:pos="8306"/>
              </w:tabs>
              <w:snapToGrid w:val="0"/>
              <w:jc w:val="center"/>
              <w:rPr>
                <w:rFonts w:ascii="Times New Roman" w:hAnsi="Times New Roman" w:cs="宋体"/>
                <w:color w:val="auto"/>
                <w:szCs w:val="21"/>
              </w:rPr>
            </w:pPr>
            <w:r>
              <w:rPr>
                <w:rFonts w:hint="eastAsia" w:ascii="Times New Roman" w:hAnsi="Times New Roman" w:cs="宋体"/>
                <w:color w:val="auto"/>
                <w:szCs w:val="21"/>
              </w:rPr>
              <w:t>万分之一天平</w:t>
            </w:r>
          </w:p>
        </w:tc>
        <w:tc>
          <w:tcPr>
            <w:tcW w:w="1820" w:type="dxa"/>
            <w:tcBorders>
              <w:tl2br w:val="nil"/>
              <w:tr2bl w:val="nil"/>
            </w:tcBorders>
            <w:vAlign w:val="center"/>
          </w:tcPr>
          <w:p>
            <w:pPr>
              <w:tabs>
                <w:tab w:val="center" w:pos="4153"/>
                <w:tab w:val="right" w:pos="8306"/>
              </w:tabs>
              <w:snapToGrid w:val="0"/>
              <w:jc w:val="center"/>
              <w:rPr>
                <w:rFonts w:ascii="Times New Roman" w:hAnsi="Times New Roman" w:cs="宋体"/>
                <w:color w:val="auto"/>
                <w:szCs w:val="21"/>
              </w:rPr>
            </w:pPr>
            <w:r>
              <w:rPr>
                <w:rFonts w:ascii="Times New Roman" w:hAnsi="Times New Roman" w:cs="宋体"/>
                <w:color w:val="auto"/>
                <w:szCs w:val="21"/>
              </w:rPr>
              <w:t>JJ224BF</w:t>
            </w:r>
          </w:p>
        </w:tc>
        <w:tc>
          <w:tcPr>
            <w:tcW w:w="2032" w:type="dxa"/>
            <w:tcBorders>
              <w:tl2br w:val="nil"/>
              <w:tr2bl w:val="nil"/>
            </w:tcBorders>
            <w:vAlign w:val="center"/>
          </w:tcPr>
          <w:p>
            <w:pPr>
              <w:tabs>
                <w:tab w:val="center" w:pos="4153"/>
                <w:tab w:val="right" w:pos="8306"/>
              </w:tabs>
              <w:snapToGrid w:val="0"/>
              <w:jc w:val="center"/>
              <w:rPr>
                <w:rFonts w:ascii="Times New Roman" w:hAnsi="Times New Roman" w:cs="宋体"/>
                <w:color w:val="auto"/>
                <w:szCs w:val="21"/>
              </w:rPr>
            </w:pPr>
            <w:r>
              <w:rPr>
                <w:rFonts w:ascii="Times New Roman" w:hAnsi="Times New Roman" w:cs="宋体"/>
                <w:color w:val="auto"/>
                <w:szCs w:val="21"/>
              </w:rPr>
              <w:t>162418060176</w:t>
            </w:r>
          </w:p>
        </w:tc>
        <w:tc>
          <w:tcPr>
            <w:tcW w:w="2104" w:type="dxa"/>
            <w:tcBorders>
              <w:tl2br w:val="nil"/>
              <w:tr2bl w:val="nil"/>
            </w:tcBorders>
            <w:vAlign w:val="center"/>
          </w:tcPr>
          <w:p>
            <w:pPr>
              <w:tabs>
                <w:tab w:val="center" w:pos="4153"/>
                <w:tab w:val="right" w:pos="8306"/>
              </w:tabs>
              <w:snapToGrid w:val="0"/>
              <w:jc w:val="center"/>
              <w:rPr>
                <w:rFonts w:ascii="Times New Roman" w:hAnsi="Times New Roman" w:cs="宋体"/>
                <w:color w:val="auto"/>
                <w:szCs w:val="21"/>
              </w:rPr>
            </w:pPr>
            <w:r>
              <w:rPr>
                <w:rFonts w:ascii="Times New Roman" w:hAnsi="Times New Roman" w:cs="宋体"/>
                <w:color w:val="auto"/>
                <w:szCs w:val="21"/>
              </w:rPr>
              <w:t>AHSDP-YQ-14</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397" w:hRule="atLeast"/>
        </w:trPr>
        <w:tc>
          <w:tcPr>
            <w:tcW w:w="869" w:type="dxa"/>
            <w:tcBorders>
              <w:tl2br w:val="nil"/>
              <w:tr2bl w:val="nil"/>
            </w:tcBorders>
            <w:vAlign w:val="center"/>
          </w:tcPr>
          <w:p>
            <w:pPr>
              <w:pStyle w:val="101"/>
              <w:spacing w:before="43"/>
              <w:ind w:left="7"/>
              <w:jc w:val="center"/>
              <w:rPr>
                <w:rFonts w:ascii="Times New Roman" w:hAnsi="Times New Roman" w:cs="宋体"/>
                <w:color w:val="auto"/>
                <w:szCs w:val="21"/>
                <w:lang w:val="en-US"/>
              </w:rPr>
            </w:pPr>
            <w:r>
              <w:rPr>
                <w:rFonts w:ascii="Times New Roman" w:hAnsi="Times New Roman" w:cs="宋体"/>
                <w:color w:val="auto"/>
                <w:szCs w:val="21"/>
                <w:lang w:val="en-US"/>
              </w:rPr>
              <w:t>2</w:t>
            </w:r>
          </w:p>
        </w:tc>
        <w:tc>
          <w:tcPr>
            <w:tcW w:w="2515" w:type="dxa"/>
            <w:tcBorders>
              <w:tl2br w:val="nil"/>
              <w:tr2bl w:val="nil"/>
            </w:tcBorders>
            <w:vAlign w:val="center"/>
          </w:tcPr>
          <w:p>
            <w:pPr>
              <w:snapToGrid w:val="0"/>
              <w:jc w:val="center"/>
              <w:rPr>
                <w:rFonts w:ascii="Times New Roman" w:hAnsi="Times New Roman" w:cs="宋体"/>
                <w:color w:val="auto"/>
                <w:szCs w:val="21"/>
              </w:rPr>
            </w:pPr>
            <w:r>
              <w:rPr>
                <w:rFonts w:hint="eastAsia" w:ascii="Times New Roman" w:hAnsi="Times New Roman" w:cs="宋体"/>
                <w:color w:val="auto"/>
                <w:szCs w:val="21"/>
              </w:rPr>
              <w:t>便携式</w:t>
            </w:r>
            <w:r>
              <w:rPr>
                <w:rFonts w:ascii="Times New Roman" w:hAnsi="Times New Roman" w:cs="宋体"/>
                <w:color w:val="auto"/>
                <w:szCs w:val="21"/>
              </w:rPr>
              <w:t>pH</w:t>
            </w:r>
            <w:r>
              <w:rPr>
                <w:rFonts w:hint="eastAsia" w:ascii="Times New Roman" w:hAnsi="Times New Roman" w:cs="宋体"/>
                <w:color w:val="auto"/>
                <w:szCs w:val="21"/>
              </w:rPr>
              <w:t>计</w:t>
            </w:r>
          </w:p>
        </w:tc>
        <w:tc>
          <w:tcPr>
            <w:tcW w:w="1820" w:type="dxa"/>
            <w:tcBorders>
              <w:tl2br w:val="nil"/>
              <w:tr2bl w:val="nil"/>
            </w:tcBorders>
            <w:vAlign w:val="center"/>
          </w:tcPr>
          <w:p>
            <w:pPr>
              <w:snapToGrid w:val="0"/>
              <w:jc w:val="center"/>
              <w:rPr>
                <w:rFonts w:ascii="Times New Roman" w:hAnsi="Times New Roman" w:cs="宋体"/>
                <w:color w:val="auto"/>
                <w:szCs w:val="21"/>
              </w:rPr>
            </w:pPr>
            <w:r>
              <w:rPr>
                <w:rFonts w:ascii="Times New Roman" w:hAnsi="Times New Roman" w:cs="宋体"/>
                <w:color w:val="auto"/>
                <w:szCs w:val="21"/>
              </w:rPr>
              <w:t>ST300</w:t>
            </w:r>
          </w:p>
        </w:tc>
        <w:tc>
          <w:tcPr>
            <w:tcW w:w="2032" w:type="dxa"/>
            <w:tcBorders>
              <w:tl2br w:val="nil"/>
              <w:tr2bl w:val="nil"/>
            </w:tcBorders>
            <w:vAlign w:val="center"/>
          </w:tcPr>
          <w:p>
            <w:pPr>
              <w:tabs>
                <w:tab w:val="center" w:pos="4153"/>
                <w:tab w:val="right" w:pos="8306"/>
              </w:tabs>
              <w:snapToGrid w:val="0"/>
              <w:jc w:val="center"/>
              <w:rPr>
                <w:rFonts w:ascii="Times New Roman" w:hAnsi="Times New Roman" w:cs="宋体"/>
                <w:color w:val="auto"/>
                <w:szCs w:val="21"/>
              </w:rPr>
            </w:pPr>
            <w:r>
              <w:rPr>
                <w:rFonts w:ascii="Times New Roman" w:hAnsi="Times New Roman" w:cs="宋体"/>
                <w:color w:val="auto"/>
                <w:szCs w:val="21"/>
              </w:rPr>
              <w:t>B830169056</w:t>
            </w:r>
          </w:p>
        </w:tc>
        <w:tc>
          <w:tcPr>
            <w:tcW w:w="2104" w:type="dxa"/>
            <w:tcBorders>
              <w:tl2br w:val="nil"/>
              <w:tr2bl w:val="nil"/>
            </w:tcBorders>
            <w:vAlign w:val="center"/>
          </w:tcPr>
          <w:p>
            <w:pPr>
              <w:tabs>
                <w:tab w:val="center" w:pos="4153"/>
                <w:tab w:val="right" w:pos="8306"/>
              </w:tabs>
              <w:snapToGrid w:val="0"/>
              <w:jc w:val="center"/>
              <w:rPr>
                <w:rFonts w:ascii="Times New Roman" w:hAnsi="Times New Roman" w:cs="宋体"/>
                <w:color w:val="auto"/>
                <w:szCs w:val="21"/>
              </w:rPr>
            </w:pPr>
            <w:r>
              <w:rPr>
                <w:rFonts w:ascii="Times New Roman" w:hAnsi="Times New Roman" w:cs="宋体"/>
                <w:color w:val="auto"/>
                <w:szCs w:val="21"/>
              </w:rPr>
              <w:t>AHSDP-YQ-51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869" w:type="dxa"/>
            <w:tcBorders>
              <w:tl2br w:val="nil"/>
              <w:tr2bl w:val="nil"/>
            </w:tcBorders>
            <w:vAlign w:val="center"/>
          </w:tcPr>
          <w:p>
            <w:pPr>
              <w:pStyle w:val="101"/>
              <w:spacing w:before="43"/>
              <w:ind w:left="7"/>
              <w:jc w:val="center"/>
              <w:rPr>
                <w:rFonts w:ascii="Times New Roman" w:hAnsi="Times New Roman" w:cs="宋体"/>
                <w:color w:val="auto"/>
                <w:szCs w:val="21"/>
                <w:lang w:val="en-US"/>
              </w:rPr>
            </w:pPr>
            <w:r>
              <w:rPr>
                <w:rFonts w:ascii="Times New Roman" w:hAnsi="Times New Roman" w:cs="宋体"/>
                <w:color w:val="auto"/>
                <w:szCs w:val="21"/>
                <w:lang w:val="en-US"/>
              </w:rPr>
              <w:t>3</w:t>
            </w:r>
          </w:p>
        </w:tc>
        <w:tc>
          <w:tcPr>
            <w:tcW w:w="2515" w:type="dxa"/>
            <w:tcBorders>
              <w:tl2br w:val="nil"/>
              <w:tr2bl w:val="nil"/>
            </w:tcBorders>
            <w:vAlign w:val="center"/>
          </w:tcPr>
          <w:p>
            <w:pPr>
              <w:tabs>
                <w:tab w:val="center" w:pos="4153"/>
                <w:tab w:val="right" w:pos="8306"/>
              </w:tabs>
              <w:snapToGrid w:val="0"/>
              <w:jc w:val="center"/>
              <w:rPr>
                <w:rFonts w:ascii="Times New Roman" w:hAnsi="Times New Roman" w:cs="宋体"/>
                <w:color w:val="auto"/>
                <w:szCs w:val="21"/>
              </w:rPr>
            </w:pPr>
            <w:r>
              <w:rPr>
                <w:rFonts w:hint="eastAsia" w:ascii="Times New Roman" w:hAnsi="Times New Roman" w:cs="宋体"/>
                <w:color w:val="auto"/>
                <w:szCs w:val="21"/>
              </w:rPr>
              <w:t>离子色谱仪</w:t>
            </w:r>
          </w:p>
        </w:tc>
        <w:tc>
          <w:tcPr>
            <w:tcW w:w="1820" w:type="dxa"/>
            <w:tcBorders>
              <w:tl2br w:val="nil"/>
              <w:tr2bl w:val="nil"/>
            </w:tcBorders>
            <w:vAlign w:val="center"/>
          </w:tcPr>
          <w:p>
            <w:pPr>
              <w:tabs>
                <w:tab w:val="center" w:pos="4153"/>
                <w:tab w:val="right" w:pos="8306"/>
              </w:tabs>
              <w:snapToGrid w:val="0"/>
              <w:jc w:val="center"/>
              <w:rPr>
                <w:rFonts w:ascii="Times New Roman" w:hAnsi="Times New Roman" w:cs="宋体"/>
                <w:color w:val="auto"/>
                <w:szCs w:val="21"/>
              </w:rPr>
            </w:pPr>
            <w:r>
              <w:rPr>
                <w:rFonts w:ascii="Times New Roman" w:hAnsi="Times New Roman" w:cs="宋体"/>
                <w:color w:val="auto"/>
                <w:szCs w:val="21"/>
              </w:rPr>
              <w:t>IC-2800</w:t>
            </w:r>
          </w:p>
        </w:tc>
        <w:tc>
          <w:tcPr>
            <w:tcW w:w="2032" w:type="dxa"/>
            <w:tcBorders>
              <w:tl2br w:val="nil"/>
              <w:tr2bl w:val="nil"/>
            </w:tcBorders>
            <w:vAlign w:val="center"/>
          </w:tcPr>
          <w:p>
            <w:pPr>
              <w:tabs>
                <w:tab w:val="center" w:pos="4153"/>
                <w:tab w:val="right" w:pos="8306"/>
              </w:tabs>
              <w:snapToGrid w:val="0"/>
              <w:jc w:val="center"/>
              <w:rPr>
                <w:rFonts w:ascii="Times New Roman" w:hAnsi="Times New Roman" w:cs="宋体"/>
                <w:color w:val="auto"/>
                <w:szCs w:val="21"/>
              </w:rPr>
            </w:pPr>
            <w:r>
              <w:rPr>
                <w:rFonts w:ascii="Times New Roman" w:hAnsi="Times New Roman" w:cs="宋体"/>
                <w:color w:val="auto"/>
                <w:szCs w:val="21"/>
              </w:rPr>
              <w:t>18083803</w:t>
            </w:r>
          </w:p>
        </w:tc>
        <w:tc>
          <w:tcPr>
            <w:tcW w:w="2104" w:type="dxa"/>
            <w:tcBorders>
              <w:tl2br w:val="nil"/>
              <w:tr2bl w:val="nil"/>
            </w:tcBorders>
            <w:vAlign w:val="center"/>
          </w:tcPr>
          <w:p>
            <w:pPr>
              <w:tabs>
                <w:tab w:val="center" w:pos="4153"/>
                <w:tab w:val="right" w:pos="8306"/>
              </w:tabs>
              <w:snapToGrid w:val="0"/>
              <w:jc w:val="center"/>
              <w:rPr>
                <w:rFonts w:ascii="Times New Roman" w:hAnsi="Times New Roman" w:cs="宋体"/>
                <w:color w:val="auto"/>
                <w:szCs w:val="21"/>
              </w:rPr>
            </w:pPr>
            <w:r>
              <w:rPr>
                <w:rFonts w:ascii="Times New Roman" w:hAnsi="Times New Roman" w:cs="宋体"/>
                <w:color w:val="auto"/>
                <w:szCs w:val="21"/>
              </w:rPr>
              <w:t>AHSDP-YQ-07</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869" w:type="dxa"/>
            <w:tcBorders>
              <w:tl2br w:val="nil"/>
              <w:tr2bl w:val="nil"/>
            </w:tcBorders>
            <w:vAlign w:val="center"/>
          </w:tcPr>
          <w:p>
            <w:pPr>
              <w:pStyle w:val="101"/>
              <w:spacing w:before="43"/>
              <w:ind w:left="7"/>
              <w:jc w:val="center"/>
              <w:rPr>
                <w:rFonts w:ascii="Times New Roman" w:hAnsi="Times New Roman" w:cs="宋体"/>
                <w:color w:val="auto"/>
                <w:szCs w:val="21"/>
                <w:lang w:val="en-US"/>
              </w:rPr>
            </w:pPr>
            <w:r>
              <w:rPr>
                <w:rFonts w:ascii="Times New Roman" w:hAnsi="Times New Roman" w:cs="宋体"/>
                <w:color w:val="auto"/>
                <w:szCs w:val="21"/>
                <w:lang w:val="en-US"/>
              </w:rPr>
              <w:t>4</w:t>
            </w:r>
          </w:p>
        </w:tc>
        <w:tc>
          <w:tcPr>
            <w:tcW w:w="2515" w:type="dxa"/>
            <w:tcBorders>
              <w:tl2br w:val="nil"/>
              <w:tr2bl w:val="nil"/>
            </w:tcBorders>
            <w:vAlign w:val="center"/>
          </w:tcPr>
          <w:p>
            <w:pPr>
              <w:tabs>
                <w:tab w:val="center" w:pos="4153"/>
                <w:tab w:val="right" w:pos="8306"/>
              </w:tabs>
              <w:snapToGrid w:val="0"/>
              <w:jc w:val="center"/>
              <w:rPr>
                <w:rFonts w:ascii="Times New Roman" w:hAnsi="Times New Roman" w:cs="宋体"/>
                <w:color w:val="auto"/>
                <w:szCs w:val="21"/>
              </w:rPr>
            </w:pPr>
            <w:r>
              <w:rPr>
                <w:rFonts w:hint="eastAsia" w:ascii="Times New Roman" w:hAnsi="Times New Roman" w:cs="宋体"/>
                <w:color w:val="auto"/>
                <w:szCs w:val="21"/>
              </w:rPr>
              <w:t>紫外分光光度计</w:t>
            </w:r>
          </w:p>
        </w:tc>
        <w:tc>
          <w:tcPr>
            <w:tcW w:w="1820" w:type="dxa"/>
            <w:tcBorders>
              <w:tl2br w:val="nil"/>
              <w:tr2bl w:val="nil"/>
            </w:tcBorders>
            <w:vAlign w:val="center"/>
          </w:tcPr>
          <w:p>
            <w:pPr>
              <w:tabs>
                <w:tab w:val="center" w:pos="4153"/>
                <w:tab w:val="right" w:pos="8306"/>
              </w:tabs>
              <w:snapToGrid w:val="0"/>
              <w:jc w:val="center"/>
              <w:rPr>
                <w:rFonts w:ascii="Times New Roman" w:hAnsi="Times New Roman" w:cs="宋体"/>
                <w:color w:val="auto"/>
                <w:szCs w:val="21"/>
              </w:rPr>
            </w:pPr>
            <w:r>
              <w:rPr>
                <w:rFonts w:ascii="Times New Roman" w:hAnsi="Times New Roman" w:cs="宋体"/>
                <w:color w:val="auto"/>
                <w:szCs w:val="21"/>
              </w:rPr>
              <w:t>uv-1800</w:t>
            </w:r>
          </w:p>
        </w:tc>
        <w:tc>
          <w:tcPr>
            <w:tcW w:w="2032" w:type="dxa"/>
            <w:tcBorders>
              <w:tl2br w:val="nil"/>
              <w:tr2bl w:val="nil"/>
            </w:tcBorders>
            <w:vAlign w:val="center"/>
          </w:tcPr>
          <w:p>
            <w:pPr>
              <w:tabs>
                <w:tab w:val="center" w:pos="4153"/>
                <w:tab w:val="right" w:pos="8306"/>
              </w:tabs>
              <w:snapToGrid w:val="0"/>
              <w:jc w:val="center"/>
              <w:rPr>
                <w:rFonts w:ascii="Times New Roman" w:hAnsi="Times New Roman" w:cs="宋体"/>
                <w:color w:val="auto"/>
                <w:szCs w:val="21"/>
              </w:rPr>
            </w:pPr>
            <w:r>
              <w:rPr>
                <w:rFonts w:ascii="Times New Roman" w:hAnsi="Times New Roman" w:cs="宋体"/>
                <w:color w:val="auto"/>
                <w:szCs w:val="21"/>
              </w:rPr>
              <w:t>LEF-1805026</w:t>
            </w:r>
          </w:p>
        </w:tc>
        <w:tc>
          <w:tcPr>
            <w:tcW w:w="2104" w:type="dxa"/>
            <w:tcBorders>
              <w:tl2br w:val="nil"/>
              <w:tr2bl w:val="nil"/>
            </w:tcBorders>
            <w:vAlign w:val="center"/>
          </w:tcPr>
          <w:p>
            <w:pPr>
              <w:tabs>
                <w:tab w:val="center" w:pos="4153"/>
                <w:tab w:val="right" w:pos="8306"/>
              </w:tabs>
              <w:snapToGrid w:val="0"/>
              <w:jc w:val="center"/>
              <w:rPr>
                <w:rFonts w:ascii="Times New Roman" w:hAnsi="Times New Roman" w:cs="宋体"/>
                <w:color w:val="auto"/>
                <w:szCs w:val="21"/>
              </w:rPr>
            </w:pPr>
            <w:r>
              <w:rPr>
                <w:rFonts w:ascii="Times New Roman" w:hAnsi="Times New Roman" w:cs="宋体"/>
                <w:color w:val="auto"/>
                <w:szCs w:val="21"/>
              </w:rPr>
              <w:t>AHSDP-YQ-08</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869" w:type="dxa"/>
            <w:tcBorders>
              <w:tl2br w:val="nil"/>
              <w:tr2bl w:val="nil"/>
            </w:tcBorders>
            <w:vAlign w:val="center"/>
          </w:tcPr>
          <w:p>
            <w:pPr>
              <w:pStyle w:val="101"/>
              <w:spacing w:before="43"/>
              <w:ind w:left="7"/>
              <w:jc w:val="center"/>
              <w:rPr>
                <w:rFonts w:ascii="Times New Roman" w:hAnsi="Times New Roman" w:cs="宋体"/>
                <w:color w:val="auto"/>
                <w:szCs w:val="21"/>
                <w:lang w:val="en-US"/>
              </w:rPr>
            </w:pPr>
            <w:r>
              <w:rPr>
                <w:rFonts w:ascii="Times New Roman" w:hAnsi="Times New Roman" w:cs="宋体"/>
                <w:color w:val="auto"/>
                <w:szCs w:val="21"/>
                <w:lang w:val="en-US"/>
              </w:rPr>
              <w:t>5</w:t>
            </w:r>
          </w:p>
        </w:tc>
        <w:tc>
          <w:tcPr>
            <w:tcW w:w="2515" w:type="dxa"/>
            <w:tcBorders>
              <w:tl2br w:val="nil"/>
              <w:tr2bl w:val="nil"/>
            </w:tcBorders>
            <w:vAlign w:val="center"/>
          </w:tcPr>
          <w:p>
            <w:pPr>
              <w:tabs>
                <w:tab w:val="center" w:pos="4153"/>
                <w:tab w:val="right" w:pos="8306"/>
              </w:tabs>
              <w:snapToGrid w:val="0"/>
              <w:jc w:val="center"/>
              <w:rPr>
                <w:rFonts w:ascii="Times New Roman" w:hAnsi="Times New Roman" w:cs="宋体"/>
                <w:color w:val="auto"/>
                <w:szCs w:val="21"/>
              </w:rPr>
            </w:pPr>
            <w:r>
              <w:rPr>
                <w:rFonts w:hint="eastAsia" w:ascii="Times New Roman" w:hAnsi="Times New Roman" w:cs="宋体"/>
                <w:color w:val="auto"/>
                <w:szCs w:val="21"/>
              </w:rPr>
              <w:t>原子吸收分光光度计</w:t>
            </w:r>
          </w:p>
        </w:tc>
        <w:tc>
          <w:tcPr>
            <w:tcW w:w="1820" w:type="dxa"/>
            <w:tcBorders>
              <w:tl2br w:val="nil"/>
              <w:tr2bl w:val="nil"/>
            </w:tcBorders>
            <w:vAlign w:val="center"/>
          </w:tcPr>
          <w:p>
            <w:pPr>
              <w:tabs>
                <w:tab w:val="center" w:pos="4153"/>
                <w:tab w:val="right" w:pos="8306"/>
              </w:tabs>
              <w:snapToGrid w:val="0"/>
              <w:jc w:val="center"/>
              <w:rPr>
                <w:rFonts w:ascii="Times New Roman" w:hAnsi="Times New Roman" w:cs="宋体"/>
                <w:color w:val="auto"/>
                <w:szCs w:val="21"/>
              </w:rPr>
            </w:pPr>
            <w:r>
              <w:rPr>
                <w:rFonts w:ascii="Times New Roman" w:hAnsi="Times New Roman" w:cs="宋体"/>
                <w:color w:val="auto"/>
                <w:szCs w:val="21"/>
              </w:rPr>
              <w:t>AA-7003</w:t>
            </w:r>
          </w:p>
        </w:tc>
        <w:tc>
          <w:tcPr>
            <w:tcW w:w="2032" w:type="dxa"/>
            <w:tcBorders>
              <w:tl2br w:val="nil"/>
              <w:tr2bl w:val="nil"/>
            </w:tcBorders>
            <w:vAlign w:val="center"/>
          </w:tcPr>
          <w:p>
            <w:pPr>
              <w:tabs>
                <w:tab w:val="center" w:pos="4153"/>
                <w:tab w:val="right" w:pos="8306"/>
              </w:tabs>
              <w:snapToGrid w:val="0"/>
              <w:jc w:val="center"/>
              <w:rPr>
                <w:rFonts w:ascii="Times New Roman" w:hAnsi="Times New Roman" w:cs="宋体"/>
                <w:color w:val="auto"/>
                <w:szCs w:val="21"/>
              </w:rPr>
            </w:pPr>
            <w:r>
              <w:rPr>
                <w:rFonts w:ascii="Times New Roman" w:hAnsi="Times New Roman" w:cs="宋体"/>
                <w:color w:val="auto"/>
                <w:szCs w:val="21"/>
              </w:rPr>
              <w:t>18081302</w:t>
            </w:r>
          </w:p>
        </w:tc>
        <w:tc>
          <w:tcPr>
            <w:tcW w:w="2104" w:type="dxa"/>
            <w:tcBorders>
              <w:tl2br w:val="nil"/>
              <w:tr2bl w:val="nil"/>
            </w:tcBorders>
            <w:vAlign w:val="center"/>
          </w:tcPr>
          <w:p>
            <w:pPr>
              <w:tabs>
                <w:tab w:val="center" w:pos="4153"/>
                <w:tab w:val="right" w:pos="8306"/>
              </w:tabs>
              <w:snapToGrid w:val="0"/>
              <w:jc w:val="center"/>
              <w:rPr>
                <w:rFonts w:ascii="Times New Roman" w:hAnsi="Times New Roman" w:cs="宋体"/>
                <w:color w:val="auto"/>
                <w:szCs w:val="21"/>
              </w:rPr>
            </w:pPr>
            <w:r>
              <w:rPr>
                <w:rFonts w:ascii="Times New Roman" w:hAnsi="Times New Roman" w:cs="宋体"/>
                <w:color w:val="auto"/>
                <w:szCs w:val="21"/>
              </w:rPr>
              <w:t>AHSDP-YQ-05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869" w:type="dxa"/>
            <w:tcBorders>
              <w:tl2br w:val="nil"/>
              <w:tr2bl w:val="nil"/>
            </w:tcBorders>
            <w:vAlign w:val="center"/>
          </w:tcPr>
          <w:p>
            <w:pPr>
              <w:pStyle w:val="101"/>
              <w:spacing w:before="43"/>
              <w:ind w:left="7"/>
              <w:jc w:val="center"/>
              <w:rPr>
                <w:rFonts w:ascii="Times New Roman" w:hAnsi="Times New Roman" w:cs="宋体"/>
                <w:color w:val="auto"/>
                <w:szCs w:val="21"/>
                <w:lang w:val="en-US"/>
              </w:rPr>
            </w:pPr>
            <w:r>
              <w:rPr>
                <w:rFonts w:ascii="Times New Roman" w:hAnsi="Times New Roman" w:cs="宋体"/>
                <w:color w:val="auto"/>
                <w:szCs w:val="21"/>
                <w:lang w:val="en-US"/>
              </w:rPr>
              <w:t>6</w:t>
            </w:r>
          </w:p>
        </w:tc>
        <w:tc>
          <w:tcPr>
            <w:tcW w:w="2515" w:type="dxa"/>
            <w:tcBorders>
              <w:tl2br w:val="nil"/>
              <w:tr2bl w:val="nil"/>
            </w:tcBorders>
            <w:vAlign w:val="center"/>
          </w:tcPr>
          <w:p>
            <w:pPr>
              <w:tabs>
                <w:tab w:val="center" w:pos="4153"/>
                <w:tab w:val="right" w:pos="8306"/>
              </w:tabs>
              <w:snapToGrid w:val="0"/>
              <w:jc w:val="center"/>
              <w:rPr>
                <w:rFonts w:ascii="Times New Roman" w:hAnsi="Times New Roman" w:cs="宋体"/>
                <w:color w:val="auto"/>
                <w:szCs w:val="21"/>
              </w:rPr>
            </w:pPr>
            <w:r>
              <w:rPr>
                <w:rFonts w:hint="eastAsia" w:ascii="Times New Roman" w:hAnsi="Times New Roman" w:cs="宋体"/>
                <w:color w:val="auto"/>
                <w:szCs w:val="21"/>
              </w:rPr>
              <w:t>电感耦合等离子体发射光谱仪</w:t>
            </w:r>
          </w:p>
        </w:tc>
        <w:tc>
          <w:tcPr>
            <w:tcW w:w="1820" w:type="dxa"/>
            <w:tcBorders>
              <w:tl2br w:val="nil"/>
              <w:tr2bl w:val="nil"/>
            </w:tcBorders>
            <w:vAlign w:val="center"/>
          </w:tcPr>
          <w:p>
            <w:pPr>
              <w:tabs>
                <w:tab w:val="center" w:pos="4153"/>
                <w:tab w:val="right" w:pos="8306"/>
              </w:tabs>
              <w:snapToGrid w:val="0"/>
              <w:jc w:val="center"/>
              <w:rPr>
                <w:rFonts w:ascii="Times New Roman" w:hAnsi="Times New Roman" w:cs="宋体"/>
                <w:color w:val="auto"/>
                <w:szCs w:val="21"/>
              </w:rPr>
            </w:pPr>
            <w:r>
              <w:rPr>
                <w:rFonts w:ascii="Times New Roman" w:hAnsi="Times New Roman" w:cs="宋体"/>
                <w:color w:val="auto"/>
                <w:szCs w:val="21"/>
              </w:rPr>
              <w:t>Quantima</w:t>
            </w:r>
            <w:r>
              <w:rPr>
                <w:rFonts w:hint="eastAsia" w:ascii="Times New Roman" w:hAnsi="Times New Roman" w:cs="宋体"/>
                <w:color w:val="auto"/>
                <w:szCs w:val="21"/>
              </w:rPr>
              <w:t>型</w:t>
            </w:r>
          </w:p>
        </w:tc>
        <w:tc>
          <w:tcPr>
            <w:tcW w:w="2032" w:type="dxa"/>
            <w:tcBorders>
              <w:tl2br w:val="nil"/>
              <w:tr2bl w:val="nil"/>
            </w:tcBorders>
            <w:vAlign w:val="center"/>
          </w:tcPr>
          <w:p>
            <w:pPr>
              <w:tabs>
                <w:tab w:val="center" w:pos="4153"/>
                <w:tab w:val="right" w:pos="8306"/>
              </w:tabs>
              <w:snapToGrid w:val="0"/>
              <w:jc w:val="center"/>
              <w:rPr>
                <w:rFonts w:ascii="Times New Roman" w:hAnsi="Times New Roman" w:cs="宋体"/>
                <w:color w:val="auto"/>
                <w:szCs w:val="21"/>
              </w:rPr>
            </w:pPr>
            <w:r>
              <w:rPr>
                <w:rFonts w:ascii="Times New Roman" w:hAnsi="Times New Roman" w:cs="宋体"/>
                <w:color w:val="auto"/>
                <w:szCs w:val="21"/>
              </w:rPr>
              <w:t>E1504</w:t>
            </w:r>
          </w:p>
        </w:tc>
        <w:tc>
          <w:tcPr>
            <w:tcW w:w="2104" w:type="dxa"/>
            <w:tcBorders>
              <w:tl2br w:val="nil"/>
              <w:tr2bl w:val="nil"/>
            </w:tcBorders>
            <w:vAlign w:val="center"/>
          </w:tcPr>
          <w:p>
            <w:pPr>
              <w:tabs>
                <w:tab w:val="center" w:pos="4153"/>
                <w:tab w:val="right" w:pos="8306"/>
              </w:tabs>
              <w:snapToGrid w:val="0"/>
              <w:jc w:val="center"/>
              <w:rPr>
                <w:rFonts w:ascii="Times New Roman" w:hAnsi="Times New Roman" w:cs="宋体"/>
                <w:color w:val="auto"/>
                <w:szCs w:val="21"/>
              </w:rPr>
            </w:pPr>
            <w:r>
              <w:rPr>
                <w:rFonts w:ascii="Times New Roman" w:hAnsi="Times New Roman" w:cs="宋体"/>
                <w:color w:val="auto"/>
                <w:szCs w:val="21"/>
              </w:rPr>
              <w:t>AHSDP-YQ-04</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869" w:type="dxa"/>
            <w:tcBorders>
              <w:tl2br w:val="nil"/>
              <w:tr2bl w:val="nil"/>
            </w:tcBorders>
            <w:vAlign w:val="center"/>
          </w:tcPr>
          <w:p>
            <w:pPr>
              <w:pStyle w:val="101"/>
              <w:spacing w:before="43"/>
              <w:ind w:left="7"/>
              <w:jc w:val="center"/>
              <w:rPr>
                <w:rFonts w:ascii="Times New Roman" w:hAnsi="Times New Roman" w:cs="宋体"/>
                <w:color w:val="auto"/>
                <w:szCs w:val="21"/>
                <w:lang w:val="en-US"/>
              </w:rPr>
            </w:pPr>
            <w:r>
              <w:rPr>
                <w:rFonts w:ascii="Times New Roman" w:hAnsi="Times New Roman" w:cs="宋体"/>
                <w:color w:val="auto"/>
                <w:szCs w:val="21"/>
                <w:lang w:val="en-US"/>
              </w:rPr>
              <w:t>7</w:t>
            </w:r>
          </w:p>
        </w:tc>
        <w:tc>
          <w:tcPr>
            <w:tcW w:w="2515" w:type="dxa"/>
            <w:tcBorders>
              <w:tl2br w:val="nil"/>
              <w:tr2bl w:val="nil"/>
            </w:tcBorders>
            <w:vAlign w:val="center"/>
          </w:tcPr>
          <w:p>
            <w:pPr>
              <w:tabs>
                <w:tab w:val="center" w:pos="4153"/>
                <w:tab w:val="right" w:pos="8306"/>
              </w:tabs>
              <w:snapToGrid w:val="0"/>
              <w:jc w:val="center"/>
              <w:rPr>
                <w:rFonts w:ascii="Times New Roman" w:hAnsi="Times New Roman" w:cs="宋体"/>
                <w:color w:val="auto"/>
                <w:szCs w:val="21"/>
              </w:rPr>
            </w:pPr>
            <w:r>
              <w:rPr>
                <w:rFonts w:hint="eastAsia" w:ascii="Times New Roman" w:hAnsi="Times New Roman" w:cs="宋体"/>
                <w:color w:val="auto"/>
                <w:szCs w:val="21"/>
              </w:rPr>
              <w:t>原子荧光分光光度计</w:t>
            </w:r>
          </w:p>
        </w:tc>
        <w:tc>
          <w:tcPr>
            <w:tcW w:w="1820" w:type="dxa"/>
            <w:tcBorders>
              <w:tl2br w:val="nil"/>
              <w:tr2bl w:val="nil"/>
            </w:tcBorders>
            <w:vAlign w:val="center"/>
          </w:tcPr>
          <w:p>
            <w:pPr>
              <w:tabs>
                <w:tab w:val="center" w:pos="4153"/>
                <w:tab w:val="right" w:pos="8306"/>
              </w:tabs>
              <w:snapToGrid w:val="0"/>
              <w:jc w:val="center"/>
              <w:rPr>
                <w:rFonts w:ascii="Times New Roman" w:hAnsi="Times New Roman" w:cs="宋体"/>
                <w:color w:val="auto"/>
                <w:szCs w:val="21"/>
              </w:rPr>
            </w:pPr>
            <w:r>
              <w:rPr>
                <w:rFonts w:ascii="Times New Roman" w:hAnsi="Times New Roman" w:cs="宋体"/>
                <w:color w:val="auto"/>
                <w:szCs w:val="21"/>
              </w:rPr>
              <w:t>AF-7550</w:t>
            </w:r>
          </w:p>
        </w:tc>
        <w:tc>
          <w:tcPr>
            <w:tcW w:w="2032" w:type="dxa"/>
            <w:tcBorders>
              <w:tl2br w:val="nil"/>
              <w:tr2bl w:val="nil"/>
            </w:tcBorders>
            <w:vAlign w:val="center"/>
          </w:tcPr>
          <w:p>
            <w:pPr>
              <w:tabs>
                <w:tab w:val="center" w:pos="4153"/>
                <w:tab w:val="right" w:pos="8306"/>
              </w:tabs>
              <w:snapToGrid w:val="0"/>
              <w:jc w:val="center"/>
              <w:rPr>
                <w:rFonts w:ascii="Times New Roman" w:hAnsi="Times New Roman" w:cs="宋体"/>
                <w:color w:val="auto"/>
                <w:szCs w:val="21"/>
              </w:rPr>
            </w:pPr>
            <w:r>
              <w:rPr>
                <w:rFonts w:ascii="Times New Roman" w:hAnsi="Times New Roman" w:cs="宋体"/>
                <w:color w:val="auto"/>
                <w:szCs w:val="21"/>
              </w:rPr>
              <w:t>18082302</w:t>
            </w:r>
          </w:p>
        </w:tc>
        <w:tc>
          <w:tcPr>
            <w:tcW w:w="2104" w:type="dxa"/>
            <w:tcBorders>
              <w:tl2br w:val="nil"/>
              <w:tr2bl w:val="nil"/>
            </w:tcBorders>
            <w:vAlign w:val="center"/>
          </w:tcPr>
          <w:p>
            <w:pPr>
              <w:tabs>
                <w:tab w:val="center" w:pos="4153"/>
                <w:tab w:val="right" w:pos="8306"/>
              </w:tabs>
              <w:snapToGrid w:val="0"/>
              <w:jc w:val="center"/>
              <w:rPr>
                <w:rFonts w:ascii="Times New Roman" w:hAnsi="Times New Roman" w:cs="宋体"/>
                <w:color w:val="auto"/>
                <w:szCs w:val="21"/>
              </w:rPr>
            </w:pPr>
            <w:r>
              <w:rPr>
                <w:rFonts w:ascii="Times New Roman" w:hAnsi="Times New Roman" w:cs="宋体"/>
                <w:color w:val="auto"/>
                <w:szCs w:val="21"/>
              </w:rPr>
              <w:t>AHSDP-YQ-06</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869" w:type="dxa"/>
            <w:tcBorders>
              <w:tl2br w:val="nil"/>
              <w:tr2bl w:val="nil"/>
            </w:tcBorders>
            <w:vAlign w:val="center"/>
          </w:tcPr>
          <w:p>
            <w:pPr>
              <w:pStyle w:val="101"/>
              <w:spacing w:before="43"/>
              <w:ind w:left="7"/>
              <w:jc w:val="center"/>
              <w:rPr>
                <w:rFonts w:ascii="Times New Roman" w:hAnsi="Times New Roman" w:cs="宋体"/>
                <w:color w:val="auto"/>
                <w:szCs w:val="21"/>
                <w:lang w:val="en-US"/>
              </w:rPr>
            </w:pPr>
            <w:r>
              <w:rPr>
                <w:rFonts w:ascii="Times New Roman" w:hAnsi="Times New Roman" w:cs="宋体"/>
                <w:color w:val="auto"/>
                <w:szCs w:val="21"/>
                <w:lang w:val="en-US"/>
              </w:rPr>
              <w:t>8</w:t>
            </w:r>
          </w:p>
        </w:tc>
        <w:tc>
          <w:tcPr>
            <w:tcW w:w="2515" w:type="dxa"/>
            <w:tcBorders>
              <w:tl2br w:val="nil"/>
              <w:tr2bl w:val="nil"/>
            </w:tcBorders>
            <w:vAlign w:val="center"/>
          </w:tcPr>
          <w:p>
            <w:pPr>
              <w:tabs>
                <w:tab w:val="center" w:pos="4153"/>
                <w:tab w:val="right" w:pos="8306"/>
              </w:tabs>
              <w:snapToGrid w:val="0"/>
              <w:jc w:val="center"/>
              <w:rPr>
                <w:rFonts w:ascii="Times New Roman" w:hAnsi="Times New Roman" w:cs="宋体"/>
                <w:color w:val="auto"/>
                <w:szCs w:val="21"/>
              </w:rPr>
            </w:pPr>
            <w:r>
              <w:rPr>
                <w:rFonts w:hint="eastAsia" w:ascii="Times New Roman" w:hAnsi="Times New Roman" w:cs="宋体"/>
                <w:color w:val="auto"/>
                <w:szCs w:val="21"/>
              </w:rPr>
              <w:t>台式</w:t>
            </w:r>
            <w:r>
              <w:rPr>
                <w:rFonts w:ascii="Times New Roman" w:hAnsi="Times New Roman" w:cs="宋体"/>
                <w:color w:val="auto"/>
                <w:szCs w:val="21"/>
              </w:rPr>
              <w:t>pH</w:t>
            </w:r>
            <w:r>
              <w:rPr>
                <w:rFonts w:hint="eastAsia" w:ascii="Times New Roman" w:hAnsi="Times New Roman" w:cs="宋体"/>
                <w:color w:val="auto"/>
                <w:szCs w:val="21"/>
              </w:rPr>
              <w:t>计</w:t>
            </w:r>
          </w:p>
        </w:tc>
        <w:tc>
          <w:tcPr>
            <w:tcW w:w="1820" w:type="dxa"/>
            <w:tcBorders>
              <w:tl2br w:val="nil"/>
              <w:tr2bl w:val="nil"/>
            </w:tcBorders>
            <w:vAlign w:val="center"/>
          </w:tcPr>
          <w:p>
            <w:pPr>
              <w:tabs>
                <w:tab w:val="center" w:pos="4153"/>
                <w:tab w:val="right" w:pos="8306"/>
              </w:tabs>
              <w:snapToGrid w:val="0"/>
              <w:jc w:val="center"/>
              <w:rPr>
                <w:rFonts w:ascii="Times New Roman" w:hAnsi="Times New Roman" w:cs="宋体"/>
                <w:color w:val="auto"/>
                <w:szCs w:val="21"/>
              </w:rPr>
            </w:pPr>
            <w:r>
              <w:rPr>
                <w:rFonts w:ascii="Times New Roman" w:hAnsi="Times New Roman" w:cs="宋体"/>
                <w:color w:val="auto"/>
                <w:szCs w:val="21"/>
              </w:rPr>
              <w:t>ST2100/F</w:t>
            </w:r>
          </w:p>
        </w:tc>
        <w:tc>
          <w:tcPr>
            <w:tcW w:w="2032" w:type="dxa"/>
            <w:tcBorders>
              <w:tl2br w:val="nil"/>
              <w:tr2bl w:val="nil"/>
            </w:tcBorders>
            <w:vAlign w:val="center"/>
          </w:tcPr>
          <w:p>
            <w:pPr>
              <w:tabs>
                <w:tab w:val="center" w:pos="4153"/>
                <w:tab w:val="right" w:pos="8306"/>
              </w:tabs>
              <w:snapToGrid w:val="0"/>
              <w:jc w:val="center"/>
              <w:rPr>
                <w:rFonts w:ascii="Times New Roman" w:hAnsi="Times New Roman" w:cs="宋体"/>
                <w:color w:val="auto"/>
                <w:szCs w:val="21"/>
              </w:rPr>
            </w:pPr>
            <w:r>
              <w:rPr>
                <w:rFonts w:ascii="Times New Roman" w:hAnsi="Times New Roman" w:cs="宋体"/>
                <w:color w:val="auto"/>
                <w:szCs w:val="21"/>
              </w:rPr>
              <w:t>B646308686</w:t>
            </w:r>
          </w:p>
        </w:tc>
        <w:tc>
          <w:tcPr>
            <w:tcW w:w="2104" w:type="dxa"/>
            <w:tcBorders>
              <w:tl2br w:val="nil"/>
              <w:tr2bl w:val="nil"/>
            </w:tcBorders>
            <w:vAlign w:val="center"/>
          </w:tcPr>
          <w:p>
            <w:pPr>
              <w:tabs>
                <w:tab w:val="center" w:pos="4153"/>
                <w:tab w:val="right" w:pos="8306"/>
              </w:tabs>
              <w:snapToGrid w:val="0"/>
              <w:jc w:val="center"/>
              <w:rPr>
                <w:rFonts w:ascii="Times New Roman" w:hAnsi="Times New Roman" w:cs="宋体"/>
                <w:color w:val="auto"/>
                <w:szCs w:val="21"/>
              </w:rPr>
            </w:pPr>
            <w:r>
              <w:rPr>
                <w:rFonts w:ascii="Times New Roman" w:hAnsi="Times New Roman" w:cs="宋体"/>
                <w:color w:val="auto"/>
                <w:szCs w:val="21"/>
              </w:rPr>
              <w:t>AHSDP-YQ-18</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869" w:type="dxa"/>
            <w:tcBorders>
              <w:tl2br w:val="nil"/>
              <w:tr2bl w:val="nil"/>
            </w:tcBorders>
            <w:vAlign w:val="center"/>
          </w:tcPr>
          <w:p>
            <w:pPr>
              <w:pStyle w:val="101"/>
              <w:spacing w:before="43"/>
              <w:ind w:left="7"/>
              <w:jc w:val="center"/>
              <w:rPr>
                <w:rFonts w:ascii="Times New Roman" w:hAnsi="Times New Roman" w:cs="宋体"/>
                <w:color w:val="auto"/>
                <w:szCs w:val="21"/>
                <w:lang w:val="en-US"/>
              </w:rPr>
            </w:pPr>
            <w:r>
              <w:rPr>
                <w:rFonts w:ascii="Times New Roman" w:hAnsi="Times New Roman" w:cs="宋体"/>
                <w:color w:val="auto"/>
                <w:szCs w:val="21"/>
                <w:lang w:val="en-US"/>
              </w:rPr>
              <w:t>9</w:t>
            </w:r>
          </w:p>
        </w:tc>
        <w:tc>
          <w:tcPr>
            <w:tcW w:w="2515" w:type="dxa"/>
            <w:tcBorders>
              <w:tl2br w:val="nil"/>
              <w:tr2bl w:val="nil"/>
            </w:tcBorders>
            <w:vAlign w:val="center"/>
          </w:tcPr>
          <w:p>
            <w:pPr>
              <w:tabs>
                <w:tab w:val="center" w:pos="4153"/>
                <w:tab w:val="right" w:pos="8306"/>
              </w:tabs>
              <w:snapToGrid w:val="0"/>
              <w:jc w:val="center"/>
              <w:rPr>
                <w:rFonts w:ascii="Times New Roman" w:hAnsi="Times New Roman" w:cs="宋体"/>
                <w:color w:val="auto"/>
                <w:szCs w:val="21"/>
              </w:rPr>
            </w:pPr>
            <w:r>
              <w:rPr>
                <w:rFonts w:hint="eastAsia" w:ascii="Times New Roman" w:hAnsi="Times New Roman" w:cs="宋体"/>
                <w:color w:val="auto"/>
                <w:szCs w:val="21"/>
              </w:rPr>
              <w:t>多功能声级计</w:t>
            </w:r>
          </w:p>
        </w:tc>
        <w:tc>
          <w:tcPr>
            <w:tcW w:w="1820" w:type="dxa"/>
            <w:tcBorders>
              <w:tl2br w:val="nil"/>
              <w:tr2bl w:val="nil"/>
            </w:tcBorders>
            <w:vAlign w:val="center"/>
          </w:tcPr>
          <w:p>
            <w:pPr>
              <w:tabs>
                <w:tab w:val="center" w:pos="4153"/>
                <w:tab w:val="right" w:pos="8306"/>
              </w:tabs>
              <w:snapToGrid w:val="0"/>
              <w:jc w:val="center"/>
              <w:rPr>
                <w:rFonts w:ascii="Times New Roman" w:hAnsi="Times New Roman" w:cs="宋体"/>
                <w:color w:val="auto"/>
                <w:szCs w:val="21"/>
              </w:rPr>
            </w:pPr>
            <w:r>
              <w:rPr>
                <w:rFonts w:ascii="Times New Roman" w:hAnsi="Times New Roman" w:cs="宋体"/>
                <w:color w:val="auto"/>
                <w:szCs w:val="21"/>
              </w:rPr>
              <w:t>AWA5688</w:t>
            </w:r>
          </w:p>
        </w:tc>
        <w:tc>
          <w:tcPr>
            <w:tcW w:w="2032" w:type="dxa"/>
            <w:tcBorders>
              <w:tl2br w:val="nil"/>
              <w:tr2bl w:val="nil"/>
            </w:tcBorders>
            <w:vAlign w:val="center"/>
          </w:tcPr>
          <w:p>
            <w:pPr>
              <w:tabs>
                <w:tab w:val="center" w:pos="4153"/>
                <w:tab w:val="right" w:pos="8306"/>
              </w:tabs>
              <w:snapToGrid w:val="0"/>
              <w:jc w:val="center"/>
              <w:rPr>
                <w:rFonts w:ascii="Times New Roman" w:hAnsi="Times New Roman" w:cs="宋体"/>
                <w:color w:val="auto"/>
                <w:szCs w:val="21"/>
              </w:rPr>
            </w:pPr>
            <w:r>
              <w:rPr>
                <w:rFonts w:ascii="Times New Roman" w:hAnsi="Times New Roman" w:cs="宋体"/>
                <w:color w:val="auto"/>
                <w:szCs w:val="21"/>
              </w:rPr>
              <w:t>00315140</w:t>
            </w:r>
          </w:p>
        </w:tc>
        <w:tc>
          <w:tcPr>
            <w:tcW w:w="2104" w:type="dxa"/>
            <w:tcBorders>
              <w:tl2br w:val="nil"/>
              <w:tr2bl w:val="nil"/>
            </w:tcBorders>
            <w:vAlign w:val="center"/>
          </w:tcPr>
          <w:p>
            <w:pPr>
              <w:tabs>
                <w:tab w:val="center" w:pos="4153"/>
                <w:tab w:val="right" w:pos="8306"/>
              </w:tabs>
              <w:snapToGrid w:val="0"/>
              <w:jc w:val="center"/>
              <w:rPr>
                <w:rFonts w:ascii="Times New Roman" w:hAnsi="Times New Roman" w:cs="宋体"/>
                <w:color w:val="auto"/>
                <w:szCs w:val="21"/>
              </w:rPr>
            </w:pPr>
            <w:r>
              <w:rPr>
                <w:rFonts w:ascii="Times New Roman" w:hAnsi="Times New Roman" w:cs="宋体"/>
                <w:color w:val="auto"/>
                <w:szCs w:val="21"/>
              </w:rPr>
              <w:t>AHSDP-YQ-23</w:t>
            </w:r>
          </w:p>
        </w:tc>
      </w:tr>
    </w:tbl>
    <w:p>
      <w:pPr>
        <w:pStyle w:val="6"/>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color w:val="auto"/>
        </w:rPr>
      </w:pPr>
      <w:bookmarkStart w:id="159" w:name="_Toc2414"/>
      <w:r>
        <w:rPr>
          <w:rFonts w:hint="eastAsia" w:ascii="Times New Roman" w:hAnsi="Times New Roman"/>
          <w:color w:val="auto"/>
        </w:rPr>
        <w:t>8.3人员资质</w:t>
      </w:r>
      <w:bookmarkEnd w:id="158"/>
      <w:bookmarkEnd w:id="159"/>
    </w:p>
    <w:p>
      <w:pPr>
        <w:pageBreakBefore w:val="0"/>
        <w:widowControl w:val="0"/>
        <w:kinsoku/>
        <w:wordWrap/>
        <w:overflowPunct/>
        <w:topLinePunct w:val="0"/>
        <w:autoSpaceDE/>
        <w:autoSpaceDN/>
        <w:bidi w:val="0"/>
        <w:adjustRightInd/>
        <w:snapToGrid/>
        <w:spacing w:line="360" w:lineRule="auto"/>
        <w:ind w:firstLine="482"/>
        <w:textAlignment w:val="auto"/>
        <w:rPr>
          <w:rFonts w:hint="eastAsia" w:ascii="Times New Roman" w:hAnsi="Times New Roman" w:eastAsia="宋体" w:cs="Times New Roman"/>
          <w:color w:val="auto"/>
          <w:sz w:val="24"/>
          <w:szCs w:val="20"/>
        </w:rPr>
      </w:pPr>
      <w:r>
        <w:rPr>
          <w:rFonts w:hint="eastAsia" w:ascii="Times New Roman" w:hAnsi="Times New Roman" w:eastAsia="宋体" w:cs="Times New Roman"/>
          <w:color w:val="auto"/>
          <w:sz w:val="24"/>
          <w:szCs w:val="20"/>
        </w:rPr>
        <w:t>本次监测所有的采样及检测分析人员均经过培训，仪器分析人员均经过培训和考核，并得到公司授权。</w:t>
      </w:r>
    </w:p>
    <w:p>
      <w:pPr>
        <w:pStyle w:val="6"/>
        <w:pageBreakBefore w:val="0"/>
        <w:widowControl w:val="0"/>
        <w:kinsoku/>
        <w:wordWrap/>
        <w:overflowPunct/>
        <w:topLinePunct w:val="0"/>
        <w:autoSpaceDE/>
        <w:autoSpaceDN/>
        <w:bidi w:val="0"/>
        <w:adjustRightInd/>
        <w:snapToGrid/>
        <w:spacing w:before="0" w:after="0" w:line="360" w:lineRule="auto"/>
        <w:ind w:left="0" w:leftChars="0" w:right="0" w:rightChars="0"/>
        <w:jc w:val="both"/>
        <w:textAlignment w:val="auto"/>
        <w:rPr>
          <w:rFonts w:ascii="Times New Roman" w:hAnsi="Times New Roman"/>
          <w:color w:val="auto"/>
          <w:sz w:val="30"/>
          <w:szCs w:val="30"/>
        </w:rPr>
      </w:pPr>
      <w:bookmarkStart w:id="160" w:name="_Toc12517"/>
      <w:bookmarkStart w:id="161" w:name="_Toc8445"/>
      <w:r>
        <w:rPr>
          <w:rFonts w:ascii="Times New Roman" w:hAnsi="Times New Roman"/>
          <w:color w:val="auto"/>
          <w:sz w:val="30"/>
          <w:szCs w:val="30"/>
        </w:rPr>
        <w:t>8.4气体监测分析中的质量控制和质量保证</w:t>
      </w:r>
      <w:bookmarkEnd w:id="160"/>
      <w:bookmarkEnd w:id="161"/>
    </w:p>
    <w:p>
      <w:pPr>
        <w:pageBreakBefore w:val="0"/>
        <w:widowControl w:val="0"/>
        <w:kinsoku/>
        <w:wordWrap/>
        <w:overflowPunct/>
        <w:topLinePunct w:val="0"/>
        <w:autoSpaceDE/>
        <w:autoSpaceDN/>
        <w:bidi w:val="0"/>
        <w:adjustRightInd/>
        <w:snapToGrid/>
        <w:spacing w:line="360" w:lineRule="auto"/>
        <w:ind w:left="0" w:leftChars="0" w:right="0" w:rightChars="0" w:firstLine="480"/>
        <w:jc w:val="both"/>
        <w:textAlignment w:val="auto"/>
        <w:rPr>
          <w:rFonts w:ascii="Times New Roman" w:hAnsi="Times New Roman"/>
          <w:color w:val="auto"/>
          <w:sz w:val="24"/>
          <w:szCs w:val="24"/>
        </w:rPr>
      </w:pPr>
      <w:r>
        <w:rPr>
          <w:rFonts w:ascii="Times New Roman" w:hAnsi="Times New Roman"/>
          <w:color w:val="auto"/>
          <w:sz w:val="24"/>
        </w:rPr>
        <w:t>监测仪器均符合国家有关标准或技术要求，仪器经计量部门检定合格，并在检定有效期内使用。监测前对使用的大气采样仪器均进行流量校准和标准气体校核，按规定对废气测试仪进行现场检漏，严格按照《固定污染源监测质量保证与质量控制技术规范（试行）》（HJ/T 373-2007）、《固定源废气监测技术规范》（HJ/T 397-2007）和《大气污染物无组织排放监测技术导则》（HJT 55-2000）执行，样品的采集、运输、储存、样品分析、数值计算均按照《环境监测质量保证手册》中的质量保证要求做</w:t>
      </w:r>
      <w:r>
        <w:rPr>
          <w:rFonts w:hint="eastAsia" w:ascii="Times New Roman" w:hAnsi="Times New Roman"/>
          <w:color w:val="auto"/>
          <w:sz w:val="24"/>
          <w:lang w:eastAsia="zh-CN"/>
        </w:rPr>
        <w:t>。废水</w:t>
      </w:r>
      <w:r>
        <w:rPr>
          <w:rFonts w:ascii="Times New Roman" w:hAnsi="Times New Roman" w:cs="Times New Roman"/>
          <w:color w:val="auto"/>
          <w:sz w:val="24"/>
          <w:szCs w:val="24"/>
        </w:rPr>
        <w:t>以《水污染物排放总量监测技术规范》作为依据</w:t>
      </w:r>
      <w:r>
        <w:rPr>
          <w:rFonts w:ascii="Times New Roman" w:hAnsi="Times New Roman"/>
          <w:color w:val="auto"/>
          <w:sz w:val="24"/>
          <w:szCs w:val="24"/>
        </w:rPr>
        <w:t>。</w:t>
      </w:r>
    </w:p>
    <w:p>
      <w:pPr>
        <w:pStyle w:val="6"/>
        <w:pageBreakBefore w:val="0"/>
        <w:widowControl w:val="0"/>
        <w:kinsoku/>
        <w:wordWrap/>
        <w:overflowPunct/>
        <w:topLinePunct w:val="0"/>
        <w:autoSpaceDE/>
        <w:autoSpaceDN/>
        <w:bidi w:val="0"/>
        <w:adjustRightInd/>
        <w:snapToGrid/>
        <w:spacing w:before="0" w:after="0" w:line="360" w:lineRule="auto"/>
        <w:ind w:left="0" w:leftChars="0" w:right="0" w:rightChars="0"/>
        <w:jc w:val="both"/>
        <w:textAlignment w:val="auto"/>
        <w:rPr>
          <w:rFonts w:ascii="Times New Roman" w:hAnsi="Times New Roman"/>
          <w:color w:val="auto"/>
          <w:sz w:val="30"/>
          <w:szCs w:val="30"/>
        </w:rPr>
      </w:pPr>
      <w:bookmarkStart w:id="162" w:name="_Toc29848"/>
      <w:bookmarkStart w:id="163" w:name="_Toc21690"/>
      <w:r>
        <w:rPr>
          <w:rFonts w:ascii="Times New Roman" w:hAnsi="Times New Roman"/>
          <w:color w:val="auto"/>
          <w:sz w:val="30"/>
          <w:szCs w:val="30"/>
        </w:rPr>
        <w:t>8.5噪声监测分析中的质量控制和质量保证</w:t>
      </w:r>
      <w:bookmarkEnd w:id="162"/>
      <w:bookmarkEnd w:id="163"/>
    </w:p>
    <w:p>
      <w:pPr>
        <w:pageBreakBefore w:val="0"/>
        <w:widowControl w:val="0"/>
        <w:kinsoku/>
        <w:wordWrap/>
        <w:overflowPunct/>
        <w:topLinePunct w:val="0"/>
        <w:autoSpaceDE/>
        <w:autoSpaceDN/>
        <w:bidi w:val="0"/>
        <w:adjustRightInd/>
        <w:snapToGrid/>
        <w:spacing w:line="360" w:lineRule="auto"/>
        <w:ind w:left="0" w:leftChars="0" w:right="0" w:rightChars="0"/>
        <w:jc w:val="both"/>
        <w:textAlignment w:val="auto"/>
        <w:rPr>
          <w:rFonts w:hint="eastAsia" w:ascii="Times New Roman" w:hAnsi="Times New Roman"/>
          <w:color w:val="auto"/>
        </w:rPr>
      </w:pPr>
      <w:r>
        <w:rPr>
          <w:rFonts w:ascii="Times New Roman" w:hAnsi="Times New Roman"/>
          <w:color w:val="auto"/>
          <w:sz w:val="24"/>
        </w:rPr>
        <w:t xml:space="preserve">    测量方法及环境气象条件的的选择按照国家有关技术规范执行。监测时使用经计量部门检定、并在有效使用期内的声级计；声级计在测试前后用标准发生源进行校准，测量前后仪器的灵敏度相差不大于0.5dB(A)，若大于0.5dB(A)测试数据无效。声级计校验表见表8</w:t>
      </w:r>
      <w:r>
        <w:rPr>
          <w:rFonts w:hint="eastAsia" w:ascii="Times New Roman" w:hAnsi="Times New Roman"/>
          <w:color w:val="auto"/>
          <w:sz w:val="24"/>
          <w:lang w:val="en-US" w:eastAsia="zh-CN"/>
        </w:rPr>
        <w:t>.5-1</w:t>
      </w:r>
      <w:r>
        <w:rPr>
          <w:rFonts w:ascii="Times New Roman" w:hAnsi="Times New Roman"/>
          <w:color w:val="auto"/>
          <w:sz w:val="24"/>
        </w:rPr>
        <w:t>。</w:t>
      </w:r>
    </w:p>
    <w:p>
      <w:pPr>
        <w:pageBreakBefore w:val="0"/>
        <w:widowControl w:val="0"/>
        <w:kinsoku/>
        <w:wordWrap/>
        <w:overflowPunct/>
        <w:topLinePunct w:val="0"/>
        <w:autoSpaceDE/>
        <w:autoSpaceDN/>
        <w:bidi w:val="0"/>
        <w:adjustRightInd/>
        <w:snapToGrid/>
        <w:spacing w:line="360" w:lineRule="auto"/>
        <w:jc w:val="center"/>
        <w:textAlignment w:val="auto"/>
        <w:rPr>
          <w:rFonts w:ascii="Times New Roman" w:hAnsi="Times New Roman" w:cs="Times New Roman"/>
          <w:b/>
          <w:color w:val="auto"/>
          <w:szCs w:val="21"/>
        </w:rPr>
      </w:pPr>
      <w:r>
        <w:rPr>
          <w:rFonts w:hint="eastAsia" w:ascii="Times New Roman" w:hAnsi="Times New Roman" w:cs="Times New Roman"/>
          <w:b/>
          <w:color w:val="auto"/>
          <w:szCs w:val="21"/>
        </w:rPr>
        <w:t>表</w:t>
      </w:r>
      <w:r>
        <w:rPr>
          <w:rFonts w:ascii="Times New Roman" w:hAnsi="Times New Roman" w:cs="Times New Roman"/>
          <w:b/>
          <w:color w:val="auto"/>
          <w:szCs w:val="21"/>
        </w:rPr>
        <w:t>8</w:t>
      </w:r>
      <w:r>
        <w:rPr>
          <w:rFonts w:hint="eastAsia" w:ascii="Times New Roman" w:hAnsi="Times New Roman" w:cs="Times New Roman"/>
          <w:b/>
          <w:color w:val="auto"/>
          <w:szCs w:val="21"/>
        </w:rPr>
        <w:t>.</w:t>
      </w:r>
      <w:r>
        <w:rPr>
          <w:rFonts w:hint="eastAsia" w:ascii="Times New Roman" w:hAnsi="Times New Roman" w:cs="Times New Roman"/>
          <w:b/>
          <w:color w:val="auto"/>
          <w:szCs w:val="21"/>
          <w:lang w:val="en-US" w:eastAsia="zh-CN"/>
        </w:rPr>
        <w:t>5</w:t>
      </w:r>
      <w:r>
        <w:rPr>
          <w:rFonts w:ascii="Times New Roman" w:hAnsi="Times New Roman" w:cs="Times New Roman"/>
          <w:b/>
          <w:color w:val="auto"/>
          <w:szCs w:val="21"/>
        </w:rPr>
        <w:t>-</w:t>
      </w:r>
      <w:r>
        <w:rPr>
          <w:rFonts w:hint="eastAsia" w:ascii="Times New Roman" w:hAnsi="Times New Roman" w:cs="Times New Roman"/>
          <w:b/>
          <w:color w:val="auto"/>
          <w:szCs w:val="21"/>
        </w:rPr>
        <w:t>1</w:t>
      </w:r>
      <w:r>
        <w:rPr>
          <w:rFonts w:hint="eastAsia" w:ascii="Times New Roman" w:hAnsi="Times New Roman" w:cs="Times New Roman"/>
          <w:b/>
          <w:color w:val="auto"/>
          <w:szCs w:val="21"/>
          <w:lang w:val="en-US" w:eastAsia="zh-CN"/>
        </w:rPr>
        <w:t xml:space="preserve"> </w:t>
      </w:r>
      <w:r>
        <w:rPr>
          <w:rFonts w:hint="eastAsia" w:ascii="Times New Roman" w:hAnsi="Times New Roman" w:cs="Times New Roman"/>
          <w:b/>
          <w:color w:val="auto"/>
          <w:szCs w:val="21"/>
        </w:rPr>
        <w:t>噪声仪校准记录表</w:t>
      </w:r>
    </w:p>
    <w:tbl>
      <w:tblPr>
        <w:tblStyle w:val="29"/>
        <w:tblW w:w="4999"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797"/>
        <w:gridCol w:w="1333"/>
        <w:gridCol w:w="1566"/>
        <w:gridCol w:w="1566"/>
        <w:gridCol w:w="1566"/>
        <w:gridCol w:w="1570"/>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56" w:type="pct"/>
            <w:vMerge w:val="restart"/>
            <w:vAlign w:val="center"/>
          </w:tcPr>
          <w:p>
            <w:pPr>
              <w:adjustRightInd w:val="0"/>
              <w:spacing w:line="360" w:lineRule="auto"/>
              <w:jc w:val="center"/>
              <w:rPr>
                <w:rFonts w:ascii="Times New Roman" w:hAnsi="Times New Roman" w:cs="Times New Roman"/>
                <w:b/>
                <w:color w:val="auto"/>
                <w:kern w:val="0"/>
                <w:szCs w:val="21"/>
              </w:rPr>
            </w:pPr>
            <w:r>
              <w:rPr>
                <w:rFonts w:ascii="Times New Roman" w:hAnsi="Times New Roman" w:cs="Times New Roman"/>
                <w:b/>
                <w:color w:val="auto"/>
                <w:kern w:val="0"/>
                <w:szCs w:val="21"/>
              </w:rPr>
              <w:t>校准日期</w:t>
            </w:r>
          </w:p>
        </w:tc>
        <w:tc>
          <w:tcPr>
            <w:tcW w:w="4043" w:type="pct"/>
            <w:gridSpan w:val="5"/>
            <w:vAlign w:val="center"/>
          </w:tcPr>
          <w:p>
            <w:pPr>
              <w:adjustRightInd w:val="0"/>
              <w:spacing w:line="360" w:lineRule="auto"/>
              <w:jc w:val="center"/>
              <w:rPr>
                <w:rFonts w:ascii="Times New Roman" w:hAnsi="Times New Roman" w:cs="Times New Roman"/>
                <w:b/>
                <w:color w:val="auto"/>
                <w:kern w:val="0"/>
                <w:szCs w:val="21"/>
              </w:rPr>
            </w:pPr>
            <w:r>
              <w:rPr>
                <w:rFonts w:ascii="Times New Roman" w:hAnsi="Times New Roman" w:cs="Times New Roman"/>
                <w:b/>
                <w:color w:val="auto"/>
                <w:kern w:val="0"/>
                <w:szCs w:val="21"/>
              </w:rPr>
              <w:t>声级校准（dB（A））</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56" w:type="pct"/>
            <w:vMerge w:val="continue"/>
            <w:vAlign w:val="center"/>
          </w:tcPr>
          <w:p>
            <w:pPr>
              <w:adjustRightInd w:val="0"/>
              <w:spacing w:line="360" w:lineRule="auto"/>
              <w:jc w:val="center"/>
              <w:rPr>
                <w:rFonts w:ascii="Times New Roman" w:hAnsi="Times New Roman" w:cs="Times New Roman"/>
                <w:b/>
                <w:color w:val="auto"/>
                <w:kern w:val="0"/>
                <w:szCs w:val="21"/>
              </w:rPr>
            </w:pPr>
          </w:p>
        </w:tc>
        <w:tc>
          <w:tcPr>
            <w:tcW w:w="709" w:type="pct"/>
            <w:vAlign w:val="center"/>
          </w:tcPr>
          <w:p>
            <w:pPr>
              <w:adjustRightInd w:val="0"/>
              <w:spacing w:line="360" w:lineRule="auto"/>
              <w:jc w:val="center"/>
              <w:rPr>
                <w:rFonts w:ascii="Times New Roman" w:hAnsi="Times New Roman" w:cs="Times New Roman"/>
                <w:b/>
                <w:color w:val="auto"/>
                <w:kern w:val="0"/>
                <w:szCs w:val="21"/>
              </w:rPr>
            </w:pPr>
            <w:r>
              <w:rPr>
                <w:rFonts w:ascii="Times New Roman" w:hAnsi="Times New Roman" w:cs="Times New Roman"/>
                <w:b/>
                <w:color w:val="auto"/>
                <w:kern w:val="0"/>
                <w:szCs w:val="21"/>
              </w:rPr>
              <w:t>校准前</w:t>
            </w:r>
          </w:p>
        </w:tc>
        <w:tc>
          <w:tcPr>
            <w:tcW w:w="833" w:type="pct"/>
            <w:vAlign w:val="center"/>
          </w:tcPr>
          <w:p>
            <w:pPr>
              <w:adjustRightInd w:val="0"/>
              <w:spacing w:line="360" w:lineRule="auto"/>
              <w:jc w:val="center"/>
              <w:rPr>
                <w:rFonts w:ascii="Times New Roman" w:hAnsi="Times New Roman" w:cs="Times New Roman"/>
                <w:b/>
                <w:color w:val="auto"/>
                <w:kern w:val="0"/>
                <w:szCs w:val="21"/>
              </w:rPr>
            </w:pPr>
            <w:r>
              <w:rPr>
                <w:rFonts w:ascii="Times New Roman" w:hAnsi="Times New Roman" w:cs="Times New Roman"/>
                <w:b/>
                <w:color w:val="auto"/>
                <w:kern w:val="0"/>
                <w:szCs w:val="21"/>
              </w:rPr>
              <w:t>校准后</w:t>
            </w:r>
          </w:p>
        </w:tc>
        <w:tc>
          <w:tcPr>
            <w:tcW w:w="833" w:type="pct"/>
            <w:vAlign w:val="center"/>
          </w:tcPr>
          <w:p>
            <w:pPr>
              <w:adjustRightInd w:val="0"/>
              <w:spacing w:line="360" w:lineRule="auto"/>
              <w:jc w:val="center"/>
              <w:rPr>
                <w:rFonts w:ascii="Times New Roman" w:hAnsi="Times New Roman" w:cs="Times New Roman"/>
                <w:b/>
                <w:color w:val="auto"/>
                <w:kern w:val="0"/>
                <w:szCs w:val="21"/>
              </w:rPr>
            </w:pPr>
            <w:r>
              <w:rPr>
                <w:rFonts w:ascii="Times New Roman" w:hAnsi="Times New Roman" w:cs="Times New Roman"/>
                <w:b/>
                <w:color w:val="auto"/>
                <w:kern w:val="0"/>
                <w:szCs w:val="21"/>
              </w:rPr>
              <w:t>示值偏差</w:t>
            </w:r>
          </w:p>
        </w:tc>
        <w:tc>
          <w:tcPr>
            <w:tcW w:w="833" w:type="pct"/>
            <w:vAlign w:val="center"/>
          </w:tcPr>
          <w:p>
            <w:pPr>
              <w:adjustRightInd w:val="0"/>
              <w:spacing w:line="360" w:lineRule="auto"/>
              <w:jc w:val="center"/>
              <w:rPr>
                <w:rFonts w:ascii="Times New Roman" w:hAnsi="Times New Roman" w:cs="Times New Roman"/>
                <w:b/>
                <w:color w:val="auto"/>
                <w:kern w:val="0"/>
                <w:szCs w:val="21"/>
              </w:rPr>
            </w:pPr>
            <w:r>
              <w:rPr>
                <w:rFonts w:ascii="Times New Roman" w:hAnsi="Times New Roman" w:cs="Times New Roman"/>
                <w:b/>
                <w:color w:val="auto"/>
                <w:kern w:val="0"/>
                <w:szCs w:val="21"/>
              </w:rPr>
              <w:t>标准值</w:t>
            </w:r>
          </w:p>
        </w:tc>
        <w:tc>
          <w:tcPr>
            <w:tcW w:w="833" w:type="pct"/>
            <w:vAlign w:val="center"/>
          </w:tcPr>
          <w:p>
            <w:pPr>
              <w:adjustRightInd w:val="0"/>
              <w:jc w:val="center"/>
              <w:rPr>
                <w:rFonts w:ascii="Times New Roman" w:hAnsi="Times New Roman" w:cs="Times New Roman"/>
                <w:b/>
                <w:color w:val="auto"/>
                <w:kern w:val="0"/>
                <w:szCs w:val="21"/>
              </w:rPr>
            </w:pPr>
            <w:r>
              <w:rPr>
                <w:rFonts w:ascii="Times New Roman" w:hAnsi="Times New Roman" w:cs="Times New Roman"/>
                <w:b/>
                <w:color w:val="auto"/>
                <w:kern w:val="0"/>
                <w:szCs w:val="21"/>
              </w:rPr>
              <w:t>是否</w:t>
            </w:r>
          </w:p>
          <w:p>
            <w:pPr>
              <w:adjustRightInd w:val="0"/>
              <w:jc w:val="center"/>
              <w:rPr>
                <w:rFonts w:ascii="Times New Roman" w:hAnsi="Times New Roman" w:cs="Times New Roman"/>
                <w:b/>
                <w:color w:val="auto"/>
                <w:kern w:val="0"/>
                <w:szCs w:val="21"/>
              </w:rPr>
            </w:pPr>
            <w:r>
              <w:rPr>
                <w:rFonts w:ascii="Times New Roman" w:hAnsi="Times New Roman" w:cs="Times New Roman"/>
                <w:b/>
                <w:color w:val="auto"/>
                <w:kern w:val="0"/>
                <w:szCs w:val="21"/>
              </w:rPr>
              <w:t>合格</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56" w:type="pct"/>
            <w:vAlign w:val="center"/>
          </w:tcPr>
          <w:p>
            <w:pPr>
              <w:adjustRightInd w:val="0"/>
              <w:jc w:val="center"/>
              <w:rPr>
                <w:rFonts w:ascii="Times New Roman" w:hAnsi="Times New Roman" w:cs="Times New Roman"/>
                <w:color w:val="auto"/>
                <w:kern w:val="0"/>
                <w:szCs w:val="21"/>
              </w:rPr>
            </w:pPr>
            <w:r>
              <w:rPr>
                <w:rFonts w:hint="eastAsia" w:ascii="Times New Roman" w:hAnsi="Times New Roman" w:cs="Times New Roman"/>
                <w:color w:val="auto"/>
                <w:kern w:val="0"/>
                <w:szCs w:val="21"/>
              </w:rPr>
              <w:t>2020.</w:t>
            </w:r>
            <w:r>
              <w:rPr>
                <w:rFonts w:hint="eastAsia" w:ascii="Times New Roman" w:hAnsi="Times New Roman" w:cs="Times New Roman"/>
                <w:color w:val="auto"/>
                <w:kern w:val="0"/>
                <w:szCs w:val="21"/>
                <w:lang w:val="en-US" w:eastAsia="zh-CN"/>
              </w:rPr>
              <w:t>10</w:t>
            </w:r>
            <w:r>
              <w:rPr>
                <w:rFonts w:hint="eastAsia" w:ascii="Times New Roman" w:hAnsi="Times New Roman" w:cs="Times New Roman"/>
                <w:color w:val="auto"/>
                <w:kern w:val="0"/>
                <w:szCs w:val="21"/>
              </w:rPr>
              <w:t>.</w:t>
            </w:r>
            <w:r>
              <w:rPr>
                <w:rFonts w:hint="eastAsia" w:ascii="Times New Roman" w:hAnsi="Times New Roman" w:cs="Times New Roman"/>
                <w:color w:val="auto"/>
                <w:kern w:val="0"/>
                <w:szCs w:val="21"/>
                <w:lang w:val="en-US" w:eastAsia="zh-CN"/>
              </w:rPr>
              <w:t>23</w:t>
            </w:r>
            <w:r>
              <w:rPr>
                <w:rFonts w:hint="eastAsia" w:ascii="Times New Roman" w:hAnsi="Times New Roman" w:cs="Times New Roman"/>
                <w:color w:val="auto"/>
                <w:kern w:val="0"/>
                <w:szCs w:val="21"/>
              </w:rPr>
              <w:t>昼间</w:t>
            </w:r>
          </w:p>
        </w:tc>
        <w:tc>
          <w:tcPr>
            <w:tcW w:w="709" w:type="pct"/>
            <w:vAlign w:val="center"/>
          </w:tcPr>
          <w:p>
            <w:pPr>
              <w:adjustRightInd w:val="0"/>
              <w:jc w:val="center"/>
              <w:rPr>
                <w:rFonts w:ascii="Times New Roman" w:hAnsi="Times New Roman" w:cs="Times New Roman"/>
                <w:color w:val="auto"/>
                <w:kern w:val="0"/>
                <w:szCs w:val="21"/>
              </w:rPr>
            </w:pPr>
            <w:r>
              <w:rPr>
                <w:rFonts w:ascii="Times New Roman" w:hAnsi="Times New Roman" w:cs="Times New Roman"/>
                <w:color w:val="auto"/>
                <w:kern w:val="0"/>
                <w:szCs w:val="21"/>
              </w:rPr>
              <w:t>93.8</w:t>
            </w:r>
          </w:p>
        </w:tc>
        <w:tc>
          <w:tcPr>
            <w:tcW w:w="833" w:type="pct"/>
            <w:vAlign w:val="center"/>
          </w:tcPr>
          <w:p>
            <w:pPr>
              <w:adjustRightInd w:val="0"/>
              <w:jc w:val="center"/>
              <w:rPr>
                <w:rFonts w:ascii="Times New Roman" w:hAnsi="Times New Roman" w:cs="Times New Roman"/>
                <w:color w:val="auto"/>
                <w:kern w:val="0"/>
                <w:szCs w:val="21"/>
              </w:rPr>
            </w:pPr>
            <w:r>
              <w:rPr>
                <w:rFonts w:ascii="Times New Roman" w:hAnsi="Times New Roman" w:cs="Times New Roman"/>
                <w:color w:val="auto"/>
                <w:kern w:val="0"/>
                <w:szCs w:val="21"/>
              </w:rPr>
              <w:t>93.8</w:t>
            </w:r>
          </w:p>
        </w:tc>
        <w:tc>
          <w:tcPr>
            <w:tcW w:w="833" w:type="pct"/>
            <w:vAlign w:val="center"/>
          </w:tcPr>
          <w:p>
            <w:pPr>
              <w:autoSpaceDE w:val="0"/>
              <w:autoSpaceDN w:val="0"/>
              <w:adjustRightInd w:val="0"/>
              <w:jc w:val="center"/>
              <w:rPr>
                <w:rFonts w:ascii="Times New Roman" w:hAnsi="Times New Roman" w:cs="Times New Roman"/>
                <w:color w:val="auto"/>
                <w:kern w:val="0"/>
                <w:szCs w:val="21"/>
              </w:rPr>
            </w:pPr>
            <w:r>
              <w:rPr>
                <w:rFonts w:ascii="Times New Roman" w:hAnsi="Times New Roman" w:cs="Times New Roman"/>
                <w:color w:val="auto"/>
                <w:kern w:val="0"/>
                <w:szCs w:val="21"/>
              </w:rPr>
              <w:t>0</w:t>
            </w:r>
          </w:p>
        </w:tc>
        <w:tc>
          <w:tcPr>
            <w:tcW w:w="833" w:type="pct"/>
            <w:vAlign w:val="center"/>
          </w:tcPr>
          <w:p>
            <w:pPr>
              <w:autoSpaceDE w:val="0"/>
              <w:autoSpaceDN w:val="0"/>
              <w:adjustRightInd w:val="0"/>
              <w:jc w:val="center"/>
              <w:rPr>
                <w:rFonts w:ascii="Times New Roman" w:hAnsi="Times New Roman" w:cs="Times New Roman"/>
                <w:color w:val="auto"/>
                <w:kern w:val="0"/>
                <w:szCs w:val="21"/>
              </w:rPr>
            </w:pPr>
            <w:r>
              <w:rPr>
                <w:rFonts w:ascii="Times New Roman" w:hAnsi="Times New Roman" w:cs="Times New Roman"/>
                <w:color w:val="auto"/>
                <w:kern w:val="0"/>
                <w:szCs w:val="21"/>
              </w:rPr>
              <w:t>±0.5</w:t>
            </w:r>
          </w:p>
        </w:tc>
        <w:tc>
          <w:tcPr>
            <w:tcW w:w="833" w:type="pct"/>
            <w:vAlign w:val="center"/>
          </w:tcPr>
          <w:p>
            <w:pPr>
              <w:autoSpaceDE w:val="0"/>
              <w:autoSpaceDN w:val="0"/>
              <w:adjustRightInd w:val="0"/>
              <w:jc w:val="center"/>
              <w:rPr>
                <w:rFonts w:ascii="Times New Roman" w:hAnsi="Times New Roman" w:cs="Times New Roman"/>
                <w:color w:val="auto"/>
                <w:kern w:val="0"/>
                <w:szCs w:val="21"/>
              </w:rPr>
            </w:pPr>
            <w:r>
              <w:rPr>
                <w:rFonts w:ascii="Times New Roman" w:hAnsi="Times New Roman" w:cs="Times New Roman"/>
                <w:color w:val="auto"/>
                <w:kern w:val="0"/>
                <w:szCs w:val="21"/>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56" w:type="pct"/>
            <w:vAlign w:val="center"/>
          </w:tcPr>
          <w:p>
            <w:pPr>
              <w:adjustRightInd w:val="0"/>
              <w:jc w:val="center"/>
              <w:rPr>
                <w:rFonts w:ascii="Times New Roman" w:hAnsi="Times New Roman" w:cs="Times New Roman"/>
                <w:color w:val="auto"/>
                <w:kern w:val="0"/>
                <w:szCs w:val="21"/>
              </w:rPr>
            </w:pPr>
            <w:r>
              <w:rPr>
                <w:rFonts w:hint="eastAsia" w:ascii="Times New Roman" w:hAnsi="Times New Roman" w:cs="Times New Roman"/>
                <w:color w:val="auto"/>
                <w:kern w:val="0"/>
                <w:szCs w:val="21"/>
              </w:rPr>
              <w:t>2020.</w:t>
            </w:r>
            <w:r>
              <w:rPr>
                <w:rFonts w:hint="eastAsia" w:ascii="Times New Roman" w:hAnsi="Times New Roman" w:cs="Times New Roman"/>
                <w:color w:val="auto"/>
                <w:kern w:val="0"/>
                <w:szCs w:val="21"/>
                <w:lang w:val="en-US" w:eastAsia="zh-CN"/>
              </w:rPr>
              <w:t>10</w:t>
            </w:r>
            <w:r>
              <w:rPr>
                <w:rFonts w:hint="eastAsia" w:ascii="Times New Roman" w:hAnsi="Times New Roman" w:cs="Times New Roman"/>
                <w:color w:val="auto"/>
                <w:kern w:val="0"/>
                <w:szCs w:val="21"/>
              </w:rPr>
              <w:t>.</w:t>
            </w:r>
            <w:r>
              <w:rPr>
                <w:rFonts w:hint="eastAsia" w:ascii="Times New Roman" w:hAnsi="Times New Roman" w:cs="Times New Roman"/>
                <w:color w:val="auto"/>
                <w:kern w:val="0"/>
                <w:szCs w:val="21"/>
                <w:lang w:val="en-US" w:eastAsia="zh-CN"/>
              </w:rPr>
              <w:t>2</w:t>
            </w:r>
            <w:r>
              <w:rPr>
                <w:rFonts w:hint="eastAsia" w:ascii="Times New Roman" w:hAnsi="Times New Roman" w:cs="Times New Roman"/>
                <w:color w:val="auto"/>
                <w:kern w:val="0"/>
                <w:szCs w:val="21"/>
              </w:rPr>
              <w:t>4夜间</w:t>
            </w:r>
          </w:p>
        </w:tc>
        <w:tc>
          <w:tcPr>
            <w:tcW w:w="709" w:type="pct"/>
            <w:vAlign w:val="center"/>
          </w:tcPr>
          <w:p>
            <w:pPr>
              <w:adjustRightInd w:val="0"/>
              <w:jc w:val="center"/>
              <w:rPr>
                <w:rFonts w:ascii="Times New Roman" w:hAnsi="Times New Roman" w:cs="Times New Roman"/>
                <w:color w:val="auto"/>
                <w:kern w:val="0"/>
                <w:szCs w:val="21"/>
              </w:rPr>
            </w:pPr>
            <w:r>
              <w:rPr>
                <w:rFonts w:ascii="Times New Roman" w:hAnsi="Times New Roman" w:cs="Times New Roman"/>
                <w:color w:val="auto"/>
                <w:kern w:val="0"/>
                <w:szCs w:val="21"/>
              </w:rPr>
              <w:t>93.8</w:t>
            </w:r>
          </w:p>
        </w:tc>
        <w:tc>
          <w:tcPr>
            <w:tcW w:w="833" w:type="pct"/>
            <w:vAlign w:val="center"/>
          </w:tcPr>
          <w:p>
            <w:pPr>
              <w:adjustRightInd w:val="0"/>
              <w:jc w:val="center"/>
              <w:rPr>
                <w:rFonts w:ascii="Times New Roman" w:hAnsi="Times New Roman" w:cs="Times New Roman"/>
                <w:color w:val="auto"/>
                <w:kern w:val="0"/>
                <w:szCs w:val="21"/>
              </w:rPr>
            </w:pPr>
            <w:r>
              <w:rPr>
                <w:rFonts w:ascii="Times New Roman" w:hAnsi="Times New Roman" w:cs="Times New Roman"/>
                <w:color w:val="auto"/>
                <w:kern w:val="0"/>
                <w:szCs w:val="21"/>
              </w:rPr>
              <w:t>93.8</w:t>
            </w:r>
          </w:p>
        </w:tc>
        <w:tc>
          <w:tcPr>
            <w:tcW w:w="833" w:type="pct"/>
            <w:vAlign w:val="center"/>
          </w:tcPr>
          <w:p>
            <w:pPr>
              <w:autoSpaceDE w:val="0"/>
              <w:autoSpaceDN w:val="0"/>
              <w:adjustRightInd w:val="0"/>
              <w:jc w:val="center"/>
              <w:rPr>
                <w:rFonts w:ascii="Times New Roman" w:hAnsi="Times New Roman" w:cs="Times New Roman"/>
                <w:color w:val="auto"/>
                <w:kern w:val="0"/>
                <w:szCs w:val="21"/>
              </w:rPr>
            </w:pPr>
            <w:r>
              <w:rPr>
                <w:rFonts w:ascii="Times New Roman" w:hAnsi="Times New Roman" w:cs="Times New Roman"/>
                <w:color w:val="auto"/>
                <w:kern w:val="0"/>
                <w:szCs w:val="21"/>
              </w:rPr>
              <w:t>0</w:t>
            </w:r>
          </w:p>
        </w:tc>
        <w:tc>
          <w:tcPr>
            <w:tcW w:w="833" w:type="pct"/>
            <w:vAlign w:val="center"/>
          </w:tcPr>
          <w:p>
            <w:pPr>
              <w:autoSpaceDE w:val="0"/>
              <w:autoSpaceDN w:val="0"/>
              <w:adjustRightInd w:val="0"/>
              <w:jc w:val="center"/>
              <w:rPr>
                <w:rFonts w:ascii="Times New Roman" w:hAnsi="Times New Roman" w:cs="Times New Roman"/>
                <w:color w:val="auto"/>
                <w:kern w:val="0"/>
                <w:szCs w:val="21"/>
              </w:rPr>
            </w:pPr>
            <w:r>
              <w:rPr>
                <w:rFonts w:ascii="Times New Roman" w:hAnsi="Times New Roman" w:cs="Times New Roman"/>
                <w:color w:val="auto"/>
                <w:kern w:val="0"/>
                <w:szCs w:val="21"/>
              </w:rPr>
              <w:t>±0.5</w:t>
            </w:r>
          </w:p>
        </w:tc>
        <w:tc>
          <w:tcPr>
            <w:tcW w:w="833" w:type="pct"/>
            <w:vAlign w:val="center"/>
          </w:tcPr>
          <w:p>
            <w:pPr>
              <w:autoSpaceDE w:val="0"/>
              <w:autoSpaceDN w:val="0"/>
              <w:adjustRightInd w:val="0"/>
              <w:jc w:val="center"/>
              <w:rPr>
                <w:rFonts w:ascii="Times New Roman" w:hAnsi="Times New Roman" w:cs="Times New Roman"/>
                <w:color w:val="auto"/>
                <w:kern w:val="0"/>
                <w:szCs w:val="21"/>
              </w:rPr>
            </w:pPr>
            <w:r>
              <w:rPr>
                <w:rFonts w:ascii="Times New Roman" w:hAnsi="Times New Roman" w:cs="Times New Roman"/>
                <w:color w:val="auto"/>
                <w:kern w:val="0"/>
                <w:szCs w:val="21"/>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56" w:type="pct"/>
            <w:vAlign w:val="center"/>
          </w:tcPr>
          <w:p>
            <w:pPr>
              <w:adjustRightInd w:val="0"/>
              <w:jc w:val="center"/>
              <w:rPr>
                <w:rFonts w:ascii="Times New Roman" w:hAnsi="Times New Roman" w:cs="Times New Roman"/>
                <w:color w:val="auto"/>
                <w:kern w:val="0"/>
                <w:szCs w:val="21"/>
              </w:rPr>
            </w:pPr>
            <w:r>
              <w:rPr>
                <w:rFonts w:hint="eastAsia" w:ascii="Times New Roman" w:hAnsi="Times New Roman" w:cs="Times New Roman"/>
                <w:color w:val="auto"/>
                <w:kern w:val="0"/>
                <w:szCs w:val="21"/>
              </w:rPr>
              <w:t>2020.</w:t>
            </w:r>
            <w:r>
              <w:rPr>
                <w:rFonts w:hint="eastAsia" w:ascii="Times New Roman" w:hAnsi="Times New Roman" w:cs="Times New Roman"/>
                <w:color w:val="auto"/>
                <w:kern w:val="0"/>
                <w:szCs w:val="21"/>
                <w:lang w:val="en-US" w:eastAsia="zh-CN"/>
              </w:rPr>
              <w:t>10</w:t>
            </w:r>
            <w:r>
              <w:rPr>
                <w:rFonts w:hint="eastAsia" w:ascii="Times New Roman" w:hAnsi="Times New Roman" w:cs="Times New Roman"/>
                <w:color w:val="auto"/>
                <w:kern w:val="0"/>
                <w:szCs w:val="21"/>
              </w:rPr>
              <w:t>.</w:t>
            </w:r>
            <w:r>
              <w:rPr>
                <w:rFonts w:hint="eastAsia" w:ascii="Times New Roman" w:hAnsi="Times New Roman" w:cs="Times New Roman"/>
                <w:color w:val="auto"/>
                <w:kern w:val="0"/>
                <w:szCs w:val="21"/>
                <w:lang w:val="en-US" w:eastAsia="zh-CN"/>
              </w:rPr>
              <w:t>23</w:t>
            </w:r>
            <w:r>
              <w:rPr>
                <w:rFonts w:hint="eastAsia" w:ascii="Times New Roman" w:hAnsi="Times New Roman" w:cs="Times New Roman"/>
                <w:color w:val="auto"/>
                <w:kern w:val="0"/>
                <w:szCs w:val="21"/>
              </w:rPr>
              <w:t>昼间</w:t>
            </w:r>
          </w:p>
        </w:tc>
        <w:tc>
          <w:tcPr>
            <w:tcW w:w="709" w:type="pct"/>
            <w:vAlign w:val="center"/>
          </w:tcPr>
          <w:p>
            <w:pPr>
              <w:adjustRightInd w:val="0"/>
              <w:jc w:val="center"/>
              <w:rPr>
                <w:rFonts w:ascii="Times New Roman" w:hAnsi="Times New Roman" w:cs="Times New Roman"/>
                <w:color w:val="auto"/>
                <w:kern w:val="0"/>
                <w:szCs w:val="21"/>
              </w:rPr>
            </w:pPr>
            <w:r>
              <w:rPr>
                <w:rFonts w:ascii="Times New Roman" w:hAnsi="Times New Roman" w:cs="Times New Roman"/>
                <w:color w:val="auto"/>
                <w:kern w:val="0"/>
                <w:szCs w:val="21"/>
              </w:rPr>
              <w:t>93.8</w:t>
            </w:r>
          </w:p>
        </w:tc>
        <w:tc>
          <w:tcPr>
            <w:tcW w:w="833" w:type="pct"/>
            <w:vAlign w:val="center"/>
          </w:tcPr>
          <w:p>
            <w:pPr>
              <w:adjustRightInd w:val="0"/>
              <w:jc w:val="center"/>
              <w:rPr>
                <w:rFonts w:ascii="Times New Roman" w:hAnsi="Times New Roman" w:cs="Times New Roman"/>
                <w:color w:val="auto"/>
                <w:kern w:val="0"/>
                <w:szCs w:val="21"/>
              </w:rPr>
            </w:pPr>
            <w:r>
              <w:rPr>
                <w:rFonts w:ascii="Times New Roman" w:hAnsi="Times New Roman" w:cs="Times New Roman"/>
                <w:color w:val="auto"/>
                <w:kern w:val="0"/>
                <w:szCs w:val="21"/>
              </w:rPr>
              <w:t>93.8</w:t>
            </w:r>
          </w:p>
        </w:tc>
        <w:tc>
          <w:tcPr>
            <w:tcW w:w="833" w:type="pct"/>
            <w:vAlign w:val="center"/>
          </w:tcPr>
          <w:p>
            <w:pPr>
              <w:autoSpaceDE w:val="0"/>
              <w:autoSpaceDN w:val="0"/>
              <w:adjustRightInd w:val="0"/>
              <w:jc w:val="center"/>
              <w:rPr>
                <w:rFonts w:ascii="Times New Roman" w:hAnsi="Times New Roman" w:cs="Times New Roman"/>
                <w:color w:val="auto"/>
                <w:kern w:val="0"/>
                <w:szCs w:val="21"/>
              </w:rPr>
            </w:pPr>
            <w:r>
              <w:rPr>
                <w:rFonts w:ascii="Times New Roman" w:hAnsi="Times New Roman" w:cs="Times New Roman"/>
                <w:color w:val="auto"/>
                <w:kern w:val="0"/>
                <w:szCs w:val="21"/>
              </w:rPr>
              <w:t>0</w:t>
            </w:r>
          </w:p>
        </w:tc>
        <w:tc>
          <w:tcPr>
            <w:tcW w:w="833" w:type="pct"/>
            <w:vAlign w:val="center"/>
          </w:tcPr>
          <w:p>
            <w:pPr>
              <w:autoSpaceDE w:val="0"/>
              <w:autoSpaceDN w:val="0"/>
              <w:adjustRightInd w:val="0"/>
              <w:jc w:val="center"/>
              <w:rPr>
                <w:rFonts w:ascii="Times New Roman" w:hAnsi="Times New Roman" w:cs="Times New Roman"/>
                <w:color w:val="auto"/>
                <w:kern w:val="0"/>
                <w:szCs w:val="21"/>
              </w:rPr>
            </w:pPr>
            <w:r>
              <w:rPr>
                <w:rFonts w:ascii="Times New Roman" w:hAnsi="Times New Roman" w:cs="Times New Roman"/>
                <w:color w:val="auto"/>
                <w:kern w:val="0"/>
                <w:szCs w:val="21"/>
              </w:rPr>
              <w:t>±0.5</w:t>
            </w:r>
          </w:p>
        </w:tc>
        <w:tc>
          <w:tcPr>
            <w:tcW w:w="833" w:type="pct"/>
            <w:vAlign w:val="center"/>
          </w:tcPr>
          <w:p>
            <w:pPr>
              <w:autoSpaceDE w:val="0"/>
              <w:autoSpaceDN w:val="0"/>
              <w:adjustRightInd w:val="0"/>
              <w:jc w:val="center"/>
              <w:rPr>
                <w:rFonts w:ascii="Times New Roman" w:hAnsi="Times New Roman" w:cs="Times New Roman"/>
                <w:color w:val="auto"/>
                <w:kern w:val="0"/>
                <w:szCs w:val="21"/>
              </w:rPr>
            </w:pPr>
            <w:r>
              <w:rPr>
                <w:rFonts w:ascii="Times New Roman" w:hAnsi="Times New Roman" w:cs="Times New Roman"/>
                <w:color w:val="auto"/>
                <w:kern w:val="0"/>
                <w:szCs w:val="21"/>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56" w:type="pct"/>
            <w:vAlign w:val="center"/>
          </w:tcPr>
          <w:p>
            <w:pPr>
              <w:adjustRightInd w:val="0"/>
              <w:jc w:val="center"/>
              <w:rPr>
                <w:rFonts w:ascii="Times New Roman" w:hAnsi="Times New Roman" w:cs="Times New Roman"/>
                <w:color w:val="auto"/>
                <w:kern w:val="0"/>
                <w:szCs w:val="21"/>
              </w:rPr>
            </w:pPr>
            <w:r>
              <w:rPr>
                <w:rFonts w:hint="eastAsia" w:ascii="Times New Roman" w:hAnsi="Times New Roman" w:cs="Times New Roman"/>
                <w:color w:val="auto"/>
                <w:kern w:val="0"/>
                <w:szCs w:val="21"/>
              </w:rPr>
              <w:t>2020.</w:t>
            </w:r>
            <w:r>
              <w:rPr>
                <w:rFonts w:hint="eastAsia" w:ascii="Times New Roman" w:hAnsi="Times New Roman" w:cs="Times New Roman"/>
                <w:color w:val="auto"/>
                <w:kern w:val="0"/>
                <w:szCs w:val="21"/>
                <w:lang w:val="en-US" w:eastAsia="zh-CN"/>
              </w:rPr>
              <w:t>10</w:t>
            </w:r>
            <w:r>
              <w:rPr>
                <w:rFonts w:hint="eastAsia" w:ascii="Times New Roman" w:hAnsi="Times New Roman" w:cs="Times New Roman"/>
                <w:color w:val="auto"/>
                <w:kern w:val="0"/>
                <w:szCs w:val="21"/>
              </w:rPr>
              <w:t>.</w:t>
            </w:r>
            <w:r>
              <w:rPr>
                <w:rFonts w:hint="eastAsia" w:ascii="Times New Roman" w:hAnsi="Times New Roman" w:cs="Times New Roman"/>
                <w:color w:val="auto"/>
                <w:kern w:val="0"/>
                <w:szCs w:val="21"/>
                <w:lang w:val="en-US" w:eastAsia="zh-CN"/>
              </w:rPr>
              <w:t>24</w:t>
            </w:r>
            <w:r>
              <w:rPr>
                <w:rFonts w:hint="eastAsia" w:ascii="Times New Roman" w:hAnsi="Times New Roman" w:cs="Times New Roman"/>
                <w:color w:val="auto"/>
                <w:kern w:val="0"/>
                <w:szCs w:val="21"/>
              </w:rPr>
              <w:t>夜间</w:t>
            </w:r>
          </w:p>
        </w:tc>
        <w:tc>
          <w:tcPr>
            <w:tcW w:w="709" w:type="pct"/>
            <w:vAlign w:val="center"/>
          </w:tcPr>
          <w:p>
            <w:pPr>
              <w:adjustRightInd w:val="0"/>
              <w:jc w:val="center"/>
              <w:rPr>
                <w:rFonts w:ascii="Times New Roman" w:hAnsi="Times New Roman" w:cs="Times New Roman"/>
                <w:color w:val="auto"/>
                <w:kern w:val="0"/>
                <w:szCs w:val="21"/>
              </w:rPr>
            </w:pPr>
            <w:r>
              <w:rPr>
                <w:rFonts w:ascii="Times New Roman" w:hAnsi="Times New Roman" w:cs="Times New Roman"/>
                <w:color w:val="auto"/>
                <w:kern w:val="0"/>
                <w:szCs w:val="21"/>
              </w:rPr>
              <w:t>93.8</w:t>
            </w:r>
          </w:p>
        </w:tc>
        <w:tc>
          <w:tcPr>
            <w:tcW w:w="833" w:type="pct"/>
            <w:vAlign w:val="center"/>
          </w:tcPr>
          <w:p>
            <w:pPr>
              <w:adjustRightInd w:val="0"/>
              <w:jc w:val="center"/>
              <w:rPr>
                <w:rFonts w:ascii="Times New Roman" w:hAnsi="Times New Roman" w:cs="Times New Roman"/>
                <w:color w:val="auto"/>
                <w:kern w:val="0"/>
                <w:szCs w:val="21"/>
              </w:rPr>
            </w:pPr>
            <w:r>
              <w:rPr>
                <w:rFonts w:ascii="Times New Roman" w:hAnsi="Times New Roman" w:cs="Times New Roman"/>
                <w:color w:val="auto"/>
                <w:kern w:val="0"/>
                <w:szCs w:val="21"/>
              </w:rPr>
              <w:t>93.8</w:t>
            </w:r>
          </w:p>
        </w:tc>
        <w:tc>
          <w:tcPr>
            <w:tcW w:w="833" w:type="pct"/>
            <w:vAlign w:val="center"/>
          </w:tcPr>
          <w:p>
            <w:pPr>
              <w:autoSpaceDE w:val="0"/>
              <w:autoSpaceDN w:val="0"/>
              <w:adjustRightInd w:val="0"/>
              <w:jc w:val="center"/>
              <w:rPr>
                <w:rFonts w:ascii="Times New Roman" w:hAnsi="Times New Roman" w:cs="Times New Roman"/>
                <w:color w:val="auto"/>
                <w:kern w:val="0"/>
                <w:szCs w:val="21"/>
              </w:rPr>
            </w:pPr>
            <w:r>
              <w:rPr>
                <w:rFonts w:ascii="Times New Roman" w:hAnsi="Times New Roman" w:cs="Times New Roman"/>
                <w:color w:val="auto"/>
                <w:kern w:val="0"/>
                <w:szCs w:val="21"/>
              </w:rPr>
              <w:t>0</w:t>
            </w:r>
          </w:p>
        </w:tc>
        <w:tc>
          <w:tcPr>
            <w:tcW w:w="833" w:type="pct"/>
            <w:vAlign w:val="center"/>
          </w:tcPr>
          <w:p>
            <w:pPr>
              <w:autoSpaceDE w:val="0"/>
              <w:autoSpaceDN w:val="0"/>
              <w:adjustRightInd w:val="0"/>
              <w:jc w:val="center"/>
              <w:rPr>
                <w:rFonts w:ascii="Times New Roman" w:hAnsi="Times New Roman" w:cs="Times New Roman"/>
                <w:color w:val="auto"/>
                <w:kern w:val="0"/>
                <w:szCs w:val="21"/>
              </w:rPr>
            </w:pPr>
            <w:r>
              <w:rPr>
                <w:rFonts w:ascii="Times New Roman" w:hAnsi="Times New Roman" w:cs="Times New Roman"/>
                <w:color w:val="auto"/>
                <w:kern w:val="0"/>
                <w:szCs w:val="21"/>
              </w:rPr>
              <w:t>±0.5</w:t>
            </w:r>
          </w:p>
        </w:tc>
        <w:tc>
          <w:tcPr>
            <w:tcW w:w="833" w:type="pct"/>
            <w:vAlign w:val="center"/>
          </w:tcPr>
          <w:p>
            <w:pPr>
              <w:autoSpaceDE w:val="0"/>
              <w:autoSpaceDN w:val="0"/>
              <w:adjustRightInd w:val="0"/>
              <w:jc w:val="center"/>
              <w:rPr>
                <w:rFonts w:ascii="Times New Roman" w:hAnsi="Times New Roman" w:cs="Times New Roman"/>
                <w:color w:val="auto"/>
                <w:kern w:val="0"/>
                <w:szCs w:val="21"/>
              </w:rPr>
            </w:pPr>
            <w:r>
              <w:rPr>
                <w:rFonts w:ascii="Times New Roman" w:hAnsi="Times New Roman" w:cs="Times New Roman"/>
                <w:color w:val="auto"/>
                <w:kern w:val="0"/>
                <w:szCs w:val="21"/>
              </w:rPr>
              <w:t>√</w:t>
            </w:r>
          </w:p>
        </w:tc>
      </w:tr>
    </w:tbl>
    <w:p>
      <w:pPr>
        <w:rPr>
          <w:rFonts w:ascii="Times New Roman" w:hAnsi="Times New Roman"/>
          <w:color w:val="auto"/>
        </w:rPr>
      </w:pPr>
      <w:bookmarkStart w:id="164" w:name="_Toc507454892"/>
    </w:p>
    <w:p>
      <w:pPr>
        <w:rPr>
          <w:rFonts w:ascii="Times New Roman" w:hAnsi="Times New Roman"/>
          <w:color w:val="auto"/>
        </w:rPr>
      </w:pPr>
    </w:p>
    <w:p>
      <w:pPr>
        <w:pStyle w:val="5"/>
        <w:spacing w:before="156" w:after="156"/>
        <w:jc w:val="center"/>
        <w:rPr>
          <w:rFonts w:ascii="Times New Roman" w:hAnsi="Times New Roman"/>
          <w:color w:val="auto"/>
        </w:rPr>
        <w:sectPr>
          <w:pgSz w:w="11906" w:h="16838"/>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p>
    <w:p>
      <w:pPr>
        <w:pStyle w:val="5"/>
        <w:pageBreakBefore w:val="0"/>
        <w:widowControl w:val="0"/>
        <w:kinsoku/>
        <w:wordWrap/>
        <w:overflowPunct/>
        <w:topLinePunct w:val="0"/>
        <w:autoSpaceDE/>
        <w:autoSpaceDN/>
        <w:bidi w:val="0"/>
        <w:adjustRightInd/>
        <w:snapToGrid/>
        <w:spacing w:beforeLines="0" w:afterLines="0" w:line="360" w:lineRule="auto"/>
        <w:jc w:val="center"/>
        <w:textAlignment w:val="auto"/>
        <w:rPr>
          <w:rFonts w:ascii="Times New Roman" w:hAnsi="Times New Roman"/>
          <w:color w:val="auto"/>
        </w:rPr>
      </w:pPr>
      <w:bookmarkStart w:id="165" w:name="_Toc1282"/>
      <w:r>
        <w:rPr>
          <w:rFonts w:hint="eastAsia" w:ascii="Times New Roman" w:hAnsi="Times New Roman"/>
          <w:color w:val="auto"/>
        </w:rPr>
        <w:t>九、验收监测结果</w:t>
      </w:r>
      <w:bookmarkEnd w:id="164"/>
      <w:bookmarkEnd w:id="165"/>
    </w:p>
    <w:p>
      <w:pPr>
        <w:pStyle w:val="6"/>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color w:val="auto"/>
          <w:lang w:eastAsia="zh-CN"/>
        </w:rPr>
      </w:pPr>
      <w:bookmarkStart w:id="166" w:name="_Toc507454893"/>
      <w:bookmarkStart w:id="167" w:name="_Toc8578"/>
      <w:r>
        <w:rPr>
          <w:rFonts w:ascii="Times New Roman" w:hAnsi="Times New Roman"/>
          <w:color w:val="auto"/>
        </w:rPr>
        <w:t>9.1</w:t>
      </w:r>
      <w:bookmarkEnd w:id="166"/>
      <w:r>
        <w:rPr>
          <w:rFonts w:hint="eastAsia" w:ascii="Times New Roman" w:hAnsi="Times New Roman"/>
          <w:color w:val="auto"/>
          <w:lang w:eastAsia="zh-CN"/>
        </w:rPr>
        <w:t>无组织废气监测结果</w:t>
      </w:r>
      <w:bookmarkEnd w:id="167"/>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color w:val="auto"/>
        </w:rPr>
      </w:pPr>
      <w:r>
        <w:rPr>
          <w:rFonts w:hint="eastAsia" w:ascii="Times New Roman" w:hAnsi="Times New Roman"/>
          <w:color w:val="auto"/>
        </w:rPr>
        <w:t>监测期间气象参数详见表9.</w:t>
      </w:r>
      <w:r>
        <w:rPr>
          <w:rFonts w:hint="eastAsia" w:ascii="Times New Roman" w:hAnsi="Times New Roman"/>
          <w:color w:val="auto"/>
          <w:lang w:val="en-US" w:eastAsia="zh-CN"/>
        </w:rPr>
        <w:t>1</w:t>
      </w:r>
      <w:r>
        <w:rPr>
          <w:rFonts w:hint="eastAsia" w:ascii="Times New Roman" w:hAnsi="Times New Roman"/>
          <w:color w:val="auto"/>
        </w:rPr>
        <w:t>-</w:t>
      </w:r>
      <w:r>
        <w:rPr>
          <w:rFonts w:hint="eastAsia" w:ascii="Times New Roman" w:hAnsi="Times New Roman"/>
          <w:color w:val="auto"/>
          <w:lang w:val="en-US" w:eastAsia="zh-CN"/>
        </w:rPr>
        <w:t>1</w:t>
      </w:r>
      <w:r>
        <w:rPr>
          <w:rFonts w:hint="eastAsia" w:ascii="Times New Roman" w:hAnsi="Times New Roman"/>
          <w:color w:val="auto"/>
        </w:rPr>
        <w:t>：</w:t>
      </w:r>
    </w:p>
    <w:p>
      <w:pPr>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color w:val="auto"/>
        </w:rPr>
      </w:pPr>
      <w:r>
        <w:rPr>
          <w:rFonts w:ascii="Times New Roman" w:hAnsi="Times New Roman" w:cs="Times New Roman"/>
          <w:b/>
          <w:color w:val="auto"/>
          <w:szCs w:val="21"/>
        </w:rPr>
        <w:t>表9.</w:t>
      </w:r>
      <w:r>
        <w:rPr>
          <w:rFonts w:hint="eastAsia" w:ascii="Times New Roman" w:hAnsi="Times New Roman" w:cs="Times New Roman"/>
          <w:b/>
          <w:color w:val="auto"/>
          <w:szCs w:val="21"/>
          <w:lang w:val="en-US" w:eastAsia="zh-CN"/>
        </w:rPr>
        <w:t>1</w:t>
      </w:r>
      <w:r>
        <w:rPr>
          <w:rFonts w:hint="eastAsia" w:ascii="Times New Roman" w:hAnsi="Times New Roman" w:cs="Times New Roman"/>
          <w:b/>
          <w:color w:val="auto"/>
          <w:szCs w:val="21"/>
        </w:rPr>
        <w:t>-</w:t>
      </w:r>
      <w:r>
        <w:rPr>
          <w:rFonts w:hint="eastAsia" w:ascii="Times New Roman" w:hAnsi="Times New Roman" w:cs="Times New Roman"/>
          <w:b/>
          <w:color w:val="auto"/>
          <w:szCs w:val="21"/>
          <w:lang w:val="en-US" w:eastAsia="zh-CN"/>
        </w:rPr>
        <w:t>1</w:t>
      </w:r>
      <w:r>
        <w:rPr>
          <w:rFonts w:ascii="Times New Roman" w:hAnsi="Times New Roman" w:cs="Times New Roman"/>
          <w:b/>
          <w:color w:val="auto"/>
          <w:szCs w:val="21"/>
        </w:rPr>
        <w:t xml:space="preserve"> </w:t>
      </w:r>
      <w:r>
        <w:rPr>
          <w:rFonts w:hint="eastAsia" w:ascii="Times New Roman" w:hAnsi="Times New Roman" w:cs="Times New Roman"/>
          <w:b/>
          <w:color w:val="auto"/>
          <w:szCs w:val="21"/>
        </w:rPr>
        <w:t>监测期间气象参数</w:t>
      </w:r>
      <w:r>
        <w:rPr>
          <w:rFonts w:ascii="Times New Roman" w:hAnsi="Times New Roman" w:cs="Times New Roman"/>
          <w:b/>
          <w:color w:val="auto"/>
          <w:szCs w:val="21"/>
        </w:rPr>
        <w:t>表</w:t>
      </w:r>
    </w:p>
    <w:tbl>
      <w:tblPr>
        <w:tblStyle w:val="29"/>
        <w:tblW w:w="933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921"/>
        <w:gridCol w:w="1307"/>
        <w:gridCol w:w="1114"/>
        <w:gridCol w:w="843"/>
        <w:gridCol w:w="1225"/>
        <w:gridCol w:w="1292"/>
        <w:gridCol w:w="163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921" w:type="dxa"/>
            <w:tcBorders>
              <w:tl2br w:val="nil"/>
              <w:tr2bl w:val="nil"/>
            </w:tcBorders>
            <w:vAlign w:val="center"/>
          </w:tcPr>
          <w:p>
            <w:pPr>
              <w:pStyle w:val="12"/>
              <w:jc w:val="center"/>
              <w:rPr>
                <w:rFonts w:ascii="Times New Roman" w:hAnsi="Times New Roman"/>
                <w:b/>
                <w:bCs/>
                <w:color w:val="auto"/>
                <w:lang w:val="en-US"/>
              </w:rPr>
            </w:pPr>
            <w:r>
              <w:rPr>
                <w:rFonts w:hint="eastAsia" w:ascii="Times New Roman" w:hAnsi="Times New Roman"/>
                <w:b/>
                <w:bCs/>
                <w:color w:val="auto"/>
                <w:lang w:val="en-US"/>
              </w:rPr>
              <w:t>监测日期</w:t>
            </w:r>
          </w:p>
        </w:tc>
        <w:tc>
          <w:tcPr>
            <w:tcW w:w="1307" w:type="dxa"/>
            <w:tcBorders>
              <w:tl2br w:val="nil"/>
              <w:tr2bl w:val="nil"/>
            </w:tcBorders>
            <w:vAlign w:val="center"/>
          </w:tcPr>
          <w:p>
            <w:pPr>
              <w:widowControl/>
              <w:snapToGrid w:val="0"/>
              <w:spacing w:line="240" w:lineRule="exact"/>
              <w:jc w:val="center"/>
              <w:rPr>
                <w:rFonts w:ascii="Times New Roman" w:hAnsi="Times New Roman" w:cs="宋体"/>
                <w:b/>
                <w:bCs/>
                <w:color w:val="auto"/>
                <w:sz w:val="32"/>
              </w:rPr>
            </w:pPr>
            <w:r>
              <w:rPr>
                <w:rFonts w:hint="eastAsia" w:ascii="Times New Roman" w:hAnsi="Times New Roman" w:cs="宋体"/>
                <w:b/>
                <w:bCs/>
                <w:color w:val="auto"/>
                <w:szCs w:val="21"/>
              </w:rPr>
              <w:t>监测时段</w:t>
            </w:r>
          </w:p>
        </w:tc>
        <w:tc>
          <w:tcPr>
            <w:tcW w:w="1114" w:type="dxa"/>
            <w:tcBorders>
              <w:tl2br w:val="nil"/>
              <w:tr2bl w:val="nil"/>
            </w:tcBorders>
            <w:vAlign w:val="center"/>
          </w:tcPr>
          <w:p>
            <w:pPr>
              <w:widowControl/>
              <w:snapToGrid w:val="0"/>
              <w:spacing w:line="240" w:lineRule="exact"/>
              <w:jc w:val="center"/>
              <w:rPr>
                <w:rFonts w:ascii="Times New Roman" w:hAnsi="Times New Roman" w:cs="宋体"/>
                <w:b/>
                <w:bCs/>
                <w:color w:val="auto"/>
                <w:sz w:val="32"/>
              </w:rPr>
            </w:pPr>
            <w:r>
              <w:rPr>
                <w:rFonts w:hint="eastAsia" w:ascii="Times New Roman" w:hAnsi="Times New Roman" w:cs="宋体"/>
                <w:b/>
                <w:bCs/>
                <w:color w:val="auto"/>
                <w:szCs w:val="21"/>
                <w:lang w:val="zh-CN"/>
              </w:rPr>
              <w:t>天气状况</w:t>
            </w:r>
          </w:p>
        </w:tc>
        <w:tc>
          <w:tcPr>
            <w:tcW w:w="843" w:type="dxa"/>
            <w:tcBorders>
              <w:tl2br w:val="nil"/>
              <w:tr2bl w:val="nil"/>
            </w:tcBorders>
            <w:vAlign w:val="center"/>
          </w:tcPr>
          <w:p>
            <w:pPr>
              <w:widowControl/>
              <w:snapToGrid w:val="0"/>
              <w:spacing w:line="240" w:lineRule="exact"/>
              <w:jc w:val="center"/>
              <w:rPr>
                <w:rFonts w:ascii="Times New Roman" w:hAnsi="Times New Roman" w:cs="宋体"/>
                <w:b/>
                <w:bCs/>
                <w:color w:val="auto"/>
                <w:szCs w:val="21"/>
                <w:lang w:val="zh-CN"/>
              </w:rPr>
            </w:pPr>
            <w:r>
              <w:rPr>
                <w:rFonts w:hint="eastAsia" w:ascii="Times New Roman" w:hAnsi="Times New Roman" w:cs="宋体"/>
                <w:b/>
                <w:bCs/>
                <w:color w:val="auto"/>
                <w:szCs w:val="21"/>
                <w:lang w:val="zh-CN"/>
              </w:rPr>
              <w:t>风向</w:t>
            </w:r>
          </w:p>
        </w:tc>
        <w:tc>
          <w:tcPr>
            <w:tcW w:w="1225" w:type="dxa"/>
            <w:tcBorders>
              <w:tl2br w:val="nil"/>
              <w:tr2bl w:val="nil"/>
            </w:tcBorders>
            <w:vAlign w:val="center"/>
          </w:tcPr>
          <w:p>
            <w:pPr>
              <w:widowControl/>
              <w:snapToGrid w:val="0"/>
              <w:spacing w:line="240" w:lineRule="exact"/>
              <w:jc w:val="center"/>
              <w:rPr>
                <w:rFonts w:ascii="Times New Roman" w:hAnsi="Times New Roman" w:cs="宋体"/>
                <w:b/>
                <w:bCs/>
                <w:color w:val="auto"/>
                <w:sz w:val="32"/>
              </w:rPr>
            </w:pPr>
            <w:r>
              <w:rPr>
                <w:rFonts w:hint="eastAsia" w:ascii="Times New Roman" w:hAnsi="Times New Roman" w:cs="宋体"/>
                <w:b/>
                <w:bCs/>
                <w:color w:val="auto"/>
                <w:szCs w:val="21"/>
              </w:rPr>
              <w:t>风速（</w:t>
            </w:r>
            <w:r>
              <w:rPr>
                <w:rFonts w:ascii="Times New Roman" w:hAnsi="Times New Roman" w:cs="宋体"/>
                <w:b/>
                <w:bCs/>
                <w:color w:val="auto"/>
                <w:szCs w:val="21"/>
              </w:rPr>
              <w:t>m/s</w:t>
            </w:r>
            <w:r>
              <w:rPr>
                <w:rFonts w:hint="eastAsia" w:ascii="Times New Roman" w:hAnsi="Times New Roman" w:cs="宋体"/>
                <w:b/>
                <w:bCs/>
                <w:color w:val="auto"/>
                <w:szCs w:val="21"/>
              </w:rPr>
              <w:t>）</w:t>
            </w:r>
          </w:p>
        </w:tc>
        <w:tc>
          <w:tcPr>
            <w:tcW w:w="1292" w:type="dxa"/>
            <w:tcBorders>
              <w:tl2br w:val="nil"/>
              <w:tr2bl w:val="nil"/>
            </w:tcBorders>
            <w:vAlign w:val="center"/>
          </w:tcPr>
          <w:p>
            <w:pPr>
              <w:widowControl/>
              <w:snapToGrid w:val="0"/>
              <w:spacing w:line="240" w:lineRule="exact"/>
              <w:jc w:val="center"/>
              <w:rPr>
                <w:rFonts w:ascii="Times New Roman" w:hAnsi="Times New Roman" w:cs="宋体"/>
                <w:b/>
                <w:bCs/>
                <w:color w:val="auto"/>
                <w:szCs w:val="21"/>
              </w:rPr>
            </w:pPr>
            <w:r>
              <w:rPr>
                <w:rFonts w:hint="eastAsia" w:ascii="Times New Roman" w:hAnsi="Times New Roman" w:cs="宋体"/>
                <w:b/>
                <w:bCs/>
                <w:color w:val="auto"/>
                <w:szCs w:val="21"/>
              </w:rPr>
              <w:t>温度</w:t>
            </w:r>
            <w:r>
              <w:rPr>
                <w:rFonts w:hint="eastAsia" w:ascii="Times New Roman" w:hAnsi="Times New Roman" w:cs="宋体"/>
                <w:b/>
                <w:bCs/>
                <w:color w:val="auto"/>
                <w:szCs w:val="21"/>
                <w:lang w:val="zh-CN"/>
              </w:rPr>
              <w:t>（℃）</w:t>
            </w:r>
          </w:p>
        </w:tc>
        <w:tc>
          <w:tcPr>
            <w:tcW w:w="1635" w:type="dxa"/>
            <w:tcBorders>
              <w:tl2br w:val="nil"/>
              <w:tr2bl w:val="nil"/>
            </w:tcBorders>
            <w:vAlign w:val="center"/>
          </w:tcPr>
          <w:p>
            <w:pPr>
              <w:widowControl/>
              <w:snapToGrid w:val="0"/>
              <w:spacing w:line="240" w:lineRule="exact"/>
              <w:jc w:val="center"/>
              <w:rPr>
                <w:rFonts w:ascii="Times New Roman" w:hAnsi="Times New Roman" w:cs="宋体"/>
                <w:b/>
                <w:bCs/>
                <w:color w:val="auto"/>
                <w:sz w:val="32"/>
              </w:rPr>
            </w:pPr>
            <w:r>
              <w:rPr>
                <w:rFonts w:hint="eastAsia" w:ascii="Times New Roman" w:hAnsi="Times New Roman" w:cs="宋体"/>
                <w:b/>
                <w:bCs/>
                <w:color w:val="auto"/>
                <w:szCs w:val="21"/>
                <w:lang w:val="zh-CN"/>
              </w:rPr>
              <w:t>气压（</w:t>
            </w:r>
            <w:r>
              <w:rPr>
                <w:rFonts w:ascii="Times New Roman" w:hAnsi="Times New Roman" w:cs="宋体"/>
                <w:b/>
                <w:bCs/>
                <w:color w:val="auto"/>
                <w:szCs w:val="21"/>
                <w:lang w:val="zh-CN"/>
              </w:rPr>
              <w:t>kPa</w:t>
            </w:r>
            <w:r>
              <w:rPr>
                <w:rFonts w:hint="eastAsia" w:ascii="Times New Roman" w:hAnsi="Times New Roman" w:cs="宋体"/>
                <w:b/>
                <w:bCs/>
                <w:color w:val="auto"/>
                <w:szCs w:val="21"/>
                <w:lang w:val="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921" w:type="dxa"/>
            <w:tcBorders>
              <w:tl2br w:val="nil"/>
              <w:tr2bl w:val="nil"/>
            </w:tcBorders>
            <w:vAlign w:val="center"/>
          </w:tcPr>
          <w:p>
            <w:pPr>
              <w:pStyle w:val="12"/>
              <w:jc w:val="center"/>
              <w:rPr>
                <w:rFonts w:ascii="Times New Roman" w:hAnsi="Times New Roman"/>
                <w:b w:val="0"/>
                <w:bCs w:val="0"/>
                <w:color w:val="auto"/>
                <w:lang w:val="en-US"/>
              </w:rPr>
            </w:pPr>
            <w:r>
              <w:rPr>
                <w:rFonts w:ascii="Times New Roman" w:hAnsi="Times New Roman"/>
                <w:color w:val="auto"/>
                <w:lang w:val="en-US"/>
              </w:rPr>
              <w:t>2020</w:t>
            </w:r>
            <w:r>
              <w:rPr>
                <w:rFonts w:hint="eastAsia" w:ascii="Times New Roman" w:hAnsi="Times New Roman"/>
                <w:color w:val="auto"/>
                <w:lang w:val="en-US"/>
              </w:rPr>
              <w:t>年</w:t>
            </w:r>
            <w:r>
              <w:rPr>
                <w:rFonts w:ascii="Times New Roman" w:hAnsi="Times New Roman"/>
                <w:color w:val="auto"/>
                <w:lang w:val="en-US"/>
              </w:rPr>
              <w:t>10</w:t>
            </w:r>
            <w:r>
              <w:rPr>
                <w:rFonts w:hint="eastAsia" w:ascii="Times New Roman" w:hAnsi="Times New Roman"/>
                <w:color w:val="auto"/>
                <w:lang w:val="en-US"/>
              </w:rPr>
              <w:t>月</w:t>
            </w:r>
            <w:r>
              <w:rPr>
                <w:rFonts w:ascii="Times New Roman" w:hAnsi="Times New Roman"/>
                <w:color w:val="auto"/>
                <w:lang w:val="en-US"/>
              </w:rPr>
              <w:t>23</w:t>
            </w:r>
            <w:r>
              <w:rPr>
                <w:rFonts w:hint="eastAsia" w:ascii="Times New Roman" w:hAnsi="Times New Roman"/>
                <w:color w:val="auto"/>
                <w:lang w:val="en-US"/>
              </w:rPr>
              <w:t>日</w:t>
            </w:r>
          </w:p>
        </w:tc>
        <w:tc>
          <w:tcPr>
            <w:tcW w:w="1307" w:type="dxa"/>
            <w:tcBorders>
              <w:tl2br w:val="nil"/>
              <w:tr2bl w:val="nil"/>
            </w:tcBorders>
            <w:vAlign w:val="center"/>
          </w:tcPr>
          <w:p>
            <w:pPr>
              <w:pStyle w:val="12"/>
              <w:jc w:val="center"/>
              <w:rPr>
                <w:rFonts w:ascii="Times New Roman" w:hAnsi="Times New Roman"/>
                <w:b w:val="0"/>
                <w:bCs w:val="0"/>
                <w:color w:val="auto"/>
                <w:lang w:val="en-US"/>
              </w:rPr>
            </w:pPr>
            <w:r>
              <w:rPr>
                <w:rFonts w:ascii="Times New Roman" w:hAnsi="Times New Roman"/>
                <w:b w:val="0"/>
                <w:bCs w:val="0"/>
                <w:color w:val="auto"/>
                <w:lang w:val="en-US"/>
              </w:rPr>
              <w:t>2:00-20:00</w:t>
            </w:r>
          </w:p>
        </w:tc>
        <w:tc>
          <w:tcPr>
            <w:tcW w:w="1114" w:type="dxa"/>
            <w:tcBorders>
              <w:tl2br w:val="nil"/>
              <w:tr2bl w:val="nil"/>
            </w:tcBorders>
            <w:vAlign w:val="center"/>
          </w:tcPr>
          <w:p>
            <w:pPr>
              <w:pStyle w:val="12"/>
              <w:jc w:val="center"/>
              <w:rPr>
                <w:rFonts w:ascii="Times New Roman" w:hAnsi="Times New Roman"/>
                <w:b w:val="0"/>
                <w:bCs w:val="0"/>
                <w:color w:val="auto"/>
                <w:lang w:val="en-US"/>
              </w:rPr>
            </w:pPr>
            <w:r>
              <w:rPr>
                <w:rFonts w:hint="eastAsia" w:ascii="Times New Roman" w:hAnsi="Times New Roman"/>
                <w:b w:val="0"/>
                <w:bCs w:val="0"/>
                <w:color w:val="auto"/>
                <w:lang w:val="en-US"/>
              </w:rPr>
              <w:t>多云</w:t>
            </w:r>
          </w:p>
        </w:tc>
        <w:tc>
          <w:tcPr>
            <w:tcW w:w="843" w:type="dxa"/>
            <w:tcBorders>
              <w:tl2br w:val="nil"/>
              <w:tr2bl w:val="nil"/>
            </w:tcBorders>
            <w:vAlign w:val="center"/>
          </w:tcPr>
          <w:p>
            <w:pPr>
              <w:jc w:val="center"/>
              <w:rPr>
                <w:rFonts w:ascii="Times New Roman" w:hAnsi="Times New Roman" w:cs="宋体"/>
                <w:color w:val="auto"/>
                <w:szCs w:val="21"/>
              </w:rPr>
            </w:pPr>
            <w:r>
              <w:rPr>
                <w:rFonts w:hint="eastAsia" w:ascii="Times New Roman" w:hAnsi="Times New Roman" w:cs="宋体"/>
                <w:color w:val="auto"/>
                <w:szCs w:val="21"/>
              </w:rPr>
              <w:t>东南</w:t>
            </w:r>
          </w:p>
        </w:tc>
        <w:tc>
          <w:tcPr>
            <w:tcW w:w="1225" w:type="dxa"/>
            <w:tcBorders>
              <w:tl2br w:val="nil"/>
              <w:tr2bl w:val="nil"/>
            </w:tcBorders>
            <w:vAlign w:val="center"/>
          </w:tcPr>
          <w:p>
            <w:pPr>
              <w:pStyle w:val="12"/>
              <w:jc w:val="center"/>
              <w:rPr>
                <w:rFonts w:ascii="Times New Roman" w:hAnsi="Times New Roman"/>
                <w:b w:val="0"/>
                <w:bCs w:val="0"/>
                <w:color w:val="auto"/>
                <w:lang w:val="en-US"/>
              </w:rPr>
            </w:pPr>
            <w:r>
              <w:rPr>
                <w:rFonts w:ascii="Times New Roman" w:hAnsi="Times New Roman"/>
                <w:b w:val="0"/>
                <w:bCs w:val="0"/>
                <w:color w:val="auto"/>
                <w:lang w:val="en-US"/>
              </w:rPr>
              <w:t>1.2-1.5</w:t>
            </w:r>
          </w:p>
        </w:tc>
        <w:tc>
          <w:tcPr>
            <w:tcW w:w="1292" w:type="dxa"/>
            <w:tcBorders>
              <w:tl2br w:val="nil"/>
              <w:tr2bl w:val="nil"/>
            </w:tcBorders>
            <w:vAlign w:val="center"/>
          </w:tcPr>
          <w:p>
            <w:pPr>
              <w:pStyle w:val="12"/>
              <w:jc w:val="center"/>
              <w:rPr>
                <w:rFonts w:ascii="Times New Roman" w:hAnsi="Times New Roman"/>
                <w:b w:val="0"/>
                <w:bCs w:val="0"/>
                <w:color w:val="auto"/>
                <w:lang w:val="en-US"/>
              </w:rPr>
            </w:pPr>
            <w:r>
              <w:rPr>
                <w:rFonts w:ascii="Times New Roman" w:hAnsi="Times New Roman"/>
                <w:b w:val="0"/>
                <w:bCs w:val="0"/>
                <w:color w:val="auto"/>
                <w:lang w:val="en-US"/>
              </w:rPr>
              <w:t>27-32</w:t>
            </w:r>
          </w:p>
        </w:tc>
        <w:tc>
          <w:tcPr>
            <w:tcW w:w="1635" w:type="dxa"/>
            <w:tcBorders>
              <w:tl2br w:val="nil"/>
              <w:tr2bl w:val="nil"/>
            </w:tcBorders>
            <w:vAlign w:val="center"/>
          </w:tcPr>
          <w:p>
            <w:pPr>
              <w:pStyle w:val="12"/>
              <w:jc w:val="center"/>
              <w:rPr>
                <w:rFonts w:ascii="Times New Roman" w:hAnsi="Times New Roman"/>
                <w:b w:val="0"/>
                <w:bCs w:val="0"/>
                <w:color w:val="auto"/>
                <w:lang w:val="en-US"/>
              </w:rPr>
            </w:pPr>
            <w:r>
              <w:rPr>
                <w:rFonts w:ascii="Times New Roman" w:hAnsi="Times New Roman"/>
                <w:b w:val="0"/>
                <w:bCs w:val="0"/>
                <w:color w:val="auto"/>
                <w:lang w:val="en-US"/>
              </w:rPr>
              <w:t>101.2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921" w:type="dxa"/>
            <w:tcBorders>
              <w:tl2br w:val="nil"/>
              <w:tr2bl w:val="nil"/>
            </w:tcBorders>
            <w:vAlign w:val="center"/>
          </w:tcPr>
          <w:p>
            <w:pPr>
              <w:pStyle w:val="12"/>
              <w:jc w:val="center"/>
              <w:rPr>
                <w:rFonts w:ascii="Times New Roman" w:hAnsi="Times New Roman"/>
                <w:color w:val="auto"/>
              </w:rPr>
            </w:pPr>
            <w:r>
              <w:rPr>
                <w:rFonts w:ascii="Times New Roman" w:hAnsi="Times New Roman"/>
                <w:color w:val="auto"/>
                <w:lang w:val="en-US"/>
              </w:rPr>
              <w:t>2020</w:t>
            </w:r>
            <w:r>
              <w:rPr>
                <w:rFonts w:hint="eastAsia" w:ascii="Times New Roman" w:hAnsi="Times New Roman"/>
                <w:color w:val="auto"/>
                <w:lang w:val="en-US"/>
              </w:rPr>
              <w:t>年</w:t>
            </w:r>
            <w:r>
              <w:rPr>
                <w:rFonts w:ascii="Times New Roman" w:hAnsi="Times New Roman"/>
                <w:color w:val="auto"/>
                <w:lang w:val="en-US"/>
              </w:rPr>
              <w:t>10</w:t>
            </w:r>
            <w:r>
              <w:rPr>
                <w:rFonts w:hint="eastAsia" w:ascii="Times New Roman" w:hAnsi="Times New Roman"/>
                <w:color w:val="auto"/>
                <w:lang w:val="en-US"/>
              </w:rPr>
              <w:t>月</w:t>
            </w:r>
            <w:r>
              <w:rPr>
                <w:rFonts w:ascii="Times New Roman" w:hAnsi="Times New Roman"/>
                <w:color w:val="auto"/>
                <w:lang w:val="en-US"/>
              </w:rPr>
              <w:t>24</w:t>
            </w:r>
            <w:r>
              <w:rPr>
                <w:rFonts w:hint="eastAsia" w:ascii="Times New Roman" w:hAnsi="Times New Roman"/>
                <w:color w:val="auto"/>
                <w:lang w:val="en-US"/>
              </w:rPr>
              <w:t>日</w:t>
            </w:r>
          </w:p>
        </w:tc>
        <w:tc>
          <w:tcPr>
            <w:tcW w:w="1307" w:type="dxa"/>
            <w:tcBorders>
              <w:tl2br w:val="nil"/>
              <w:tr2bl w:val="nil"/>
            </w:tcBorders>
            <w:vAlign w:val="center"/>
          </w:tcPr>
          <w:p>
            <w:pPr>
              <w:pStyle w:val="12"/>
              <w:jc w:val="center"/>
              <w:rPr>
                <w:rFonts w:ascii="Times New Roman" w:hAnsi="Times New Roman"/>
                <w:b w:val="0"/>
                <w:bCs w:val="0"/>
                <w:color w:val="auto"/>
                <w:lang w:val="en-US"/>
              </w:rPr>
            </w:pPr>
            <w:r>
              <w:rPr>
                <w:rFonts w:ascii="Times New Roman" w:hAnsi="Times New Roman"/>
                <w:b w:val="0"/>
                <w:bCs w:val="0"/>
                <w:color w:val="auto"/>
                <w:lang w:val="en-US"/>
              </w:rPr>
              <w:t>2:00-20:00</w:t>
            </w:r>
          </w:p>
        </w:tc>
        <w:tc>
          <w:tcPr>
            <w:tcW w:w="1114" w:type="dxa"/>
            <w:tcBorders>
              <w:tl2br w:val="nil"/>
              <w:tr2bl w:val="nil"/>
            </w:tcBorders>
            <w:vAlign w:val="center"/>
          </w:tcPr>
          <w:p>
            <w:pPr>
              <w:jc w:val="center"/>
              <w:rPr>
                <w:rFonts w:ascii="Times New Roman" w:hAnsi="Times New Roman" w:cs="宋体"/>
                <w:color w:val="auto"/>
                <w:szCs w:val="21"/>
              </w:rPr>
            </w:pPr>
            <w:r>
              <w:rPr>
                <w:rFonts w:hint="eastAsia" w:ascii="Times New Roman" w:hAnsi="Times New Roman" w:cs="宋体"/>
                <w:color w:val="auto"/>
                <w:szCs w:val="21"/>
              </w:rPr>
              <w:t>阴</w:t>
            </w:r>
          </w:p>
        </w:tc>
        <w:tc>
          <w:tcPr>
            <w:tcW w:w="843" w:type="dxa"/>
            <w:tcBorders>
              <w:tl2br w:val="nil"/>
              <w:tr2bl w:val="nil"/>
            </w:tcBorders>
            <w:vAlign w:val="center"/>
          </w:tcPr>
          <w:p>
            <w:pPr>
              <w:jc w:val="center"/>
              <w:rPr>
                <w:rFonts w:ascii="Times New Roman" w:hAnsi="Times New Roman" w:cs="宋体"/>
                <w:color w:val="auto"/>
                <w:szCs w:val="21"/>
              </w:rPr>
            </w:pPr>
            <w:r>
              <w:rPr>
                <w:rFonts w:hint="eastAsia" w:ascii="Times New Roman" w:hAnsi="Times New Roman" w:cs="宋体"/>
                <w:color w:val="auto"/>
                <w:szCs w:val="21"/>
              </w:rPr>
              <w:t>东南</w:t>
            </w:r>
          </w:p>
        </w:tc>
        <w:tc>
          <w:tcPr>
            <w:tcW w:w="1225" w:type="dxa"/>
            <w:tcBorders>
              <w:tl2br w:val="nil"/>
              <w:tr2bl w:val="nil"/>
            </w:tcBorders>
            <w:vAlign w:val="center"/>
          </w:tcPr>
          <w:p>
            <w:pPr>
              <w:pStyle w:val="12"/>
              <w:jc w:val="center"/>
              <w:rPr>
                <w:rFonts w:ascii="Times New Roman" w:hAnsi="Times New Roman"/>
                <w:b w:val="0"/>
                <w:bCs w:val="0"/>
                <w:color w:val="auto"/>
                <w:lang w:val="en-US"/>
              </w:rPr>
            </w:pPr>
            <w:r>
              <w:rPr>
                <w:rFonts w:ascii="Times New Roman" w:hAnsi="Times New Roman"/>
                <w:b w:val="0"/>
                <w:bCs w:val="0"/>
                <w:color w:val="auto"/>
                <w:lang w:val="en-US"/>
              </w:rPr>
              <w:t>1.1-1.4</w:t>
            </w:r>
          </w:p>
        </w:tc>
        <w:tc>
          <w:tcPr>
            <w:tcW w:w="1292" w:type="dxa"/>
            <w:tcBorders>
              <w:tl2br w:val="nil"/>
              <w:tr2bl w:val="nil"/>
            </w:tcBorders>
            <w:vAlign w:val="center"/>
          </w:tcPr>
          <w:p>
            <w:pPr>
              <w:jc w:val="center"/>
              <w:rPr>
                <w:rFonts w:ascii="Times New Roman" w:hAnsi="Times New Roman" w:cs="宋体"/>
                <w:color w:val="auto"/>
                <w:szCs w:val="21"/>
              </w:rPr>
            </w:pPr>
            <w:r>
              <w:rPr>
                <w:rFonts w:ascii="Times New Roman" w:hAnsi="Times New Roman" w:cs="宋体"/>
                <w:color w:val="auto"/>
                <w:szCs w:val="21"/>
              </w:rPr>
              <w:t>26-34</w:t>
            </w:r>
          </w:p>
        </w:tc>
        <w:tc>
          <w:tcPr>
            <w:tcW w:w="1635" w:type="dxa"/>
            <w:tcBorders>
              <w:tl2br w:val="nil"/>
              <w:tr2bl w:val="nil"/>
            </w:tcBorders>
            <w:vAlign w:val="center"/>
          </w:tcPr>
          <w:p>
            <w:pPr>
              <w:pStyle w:val="12"/>
              <w:jc w:val="center"/>
              <w:rPr>
                <w:rFonts w:ascii="Times New Roman" w:hAnsi="Times New Roman"/>
                <w:b w:val="0"/>
                <w:bCs w:val="0"/>
                <w:color w:val="auto"/>
                <w:lang w:val="en-US"/>
              </w:rPr>
            </w:pPr>
            <w:r>
              <w:rPr>
                <w:rFonts w:ascii="Times New Roman" w:hAnsi="Times New Roman"/>
                <w:b w:val="0"/>
                <w:bCs w:val="0"/>
                <w:color w:val="auto"/>
                <w:lang w:val="en-US"/>
              </w:rPr>
              <w:t>101.1</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color w:val="auto"/>
          <w:sz w:val="24"/>
        </w:rPr>
      </w:pPr>
      <w:r>
        <w:rPr>
          <w:rFonts w:ascii="Times New Roman" w:hAnsi="Times New Roman"/>
          <w:color w:val="auto"/>
          <w:sz w:val="24"/>
        </w:rPr>
        <w:t>无组织废气监测结果见表</w:t>
      </w:r>
      <w:r>
        <w:rPr>
          <w:rFonts w:hint="eastAsia" w:ascii="Times New Roman" w:hAnsi="Times New Roman"/>
          <w:color w:val="auto"/>
          <w:sz w:val="24"/>
          <w:lang w:val="en-US" w:eastAsia="zh-CN"/>
        </w:rPr>
        <w:t>9.1-2</w:t>
      </w:r>
      <w:r>
        <w:rPr>
          <w:rFonts w:ascii="Times New Roman" w:hAnsi="Times New Roman"/>
          <w:color w:val="auto"/>
          <w:sz w:val="24"/>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Theme="majorEastAsia"/>
          <w:color w:val="auto"/>
          <w:lang w:val="en-US" w:eastAsia="zh-CN"/>
        </w:rPr>
      </w:pPr>
      <w:r>
        <w:rPr>
          <w:rFonts w:hint="eastAsia" w:ascii="Times New Roman" w:hAnsi="Times New Roman"/>
          <w:color w:val="auto"/>
          <w:sz w:val="24"/>
          <w:lang w:val="en-US" w:eastAsia="zh-CN"/>
        </w:rPr>
        <w:t xml:space="preserve"> </w:t>
      </w:r>
      <w:r>
        <w:rPr>
          <w:rFonts w:hint="eastAsia" w:ascii="Times New Roman" w:hAnsi="Times New Roman"/>
          <w:b/>
          <w:bCs/>
          <w:color w:val="auto"/>
          <w:szCs w:val="21"/>
        </w:rPr>
        <w:t>表</w:t>
      </w:r>
      <w:r>
        <w:rPr>
          <w:rFonts w:hint="eastAsia" w:ascii="Times New Roman" w:hAnsi="Times New Roman"/>
          <w:b/>
          <w:bCs/>
          <w:color w:val="auto"/>
          <w:szCs w:val="21"/>
          <w:lang w:val="en-US" w:eastAsia="zh-CN"/>
        </w:rPr>
        <w:t>9.1-2</w:t>
      </w:r>
      <w:r>
        <w:rPr>
          <w:rFonts w:hint="eastAsia" w:ascii="Times New Roman" w:hAnsi="Times New Roman"/>
          <w:b/>
          <w:bCs/>
          <w:color w:val="auto"/>
          <w:szCs w:val="21"/>
        </w:rPr>
        <w:t xml:space="preserve"> </w:t>
      </w:r>
      <w:r>
        <w:rPr>
          <w:rFonts w:hint="eastAsia" w:ascii="Times New Roman" w:hAnsi="Times New Roman"/>
          <w:b/>
          <w:bCs/>
          <w:color w:val="auto"/>
          <w:szCs w:val="21"/>
          <w:lang w:val="en-US" w:eastAsia="zh-CN"/>
        </w:rPr>
        <w:t xml:space="preserve"> </w:t>
      </w:r>
      <w:r>
        <w:rPr>
          <w:rFonts w:hint="eastAsia" w:ascii="Times New Roman" w:hAnsi="Times New Roman"/>
          <w:b/>
          <w:bCs/>
          <w:color w:val="auto"/>
          <w:szCs w:val="21"/>
        </w:rPr>
        <w:t>无组织废气监测结果表  （单位：m</w:t>
      </w:r>
      <w:r>
        <w:rPr>
          <w:rFonts w:ascii="Times New Roman" w:hAnsi="Times New Roman"/>
          <w:b/>
          <w:bCs/>
          <w:color w:val="auto"/>
          <w:szCs w:val="21"/>
        </w:rPr>
        <w:t>g/m</w:t>
      </w:r>
      <w:r>
        <w:rPr>
          <w:rFonts w:ascii="Times New Roman" w:hAnsi="Times New Roman"/>
          <w:b/>
          <w:bCs/>
          <w:color w:val="auto"/>
          <w:szCs w:val="21"/>
          <w:vertAlign w:val="superscript"/>
        </w:rPr>
        <w:t>3</w:t>
      </w:r>
      <w:r>
        <w:rPr>
          <w:rFonts w:hint="eastAsia" w:ascii="Times New Roman" w:hAnsi="Times New Roman"/>
          <w:b/>
          <w:bCs/>
          <w:color w:val="auto"/>
          <w:szCs w:val="21"/>
        </w:rPr>
        <w:t>）</w:t>
      </w:r>
    </w:p>
    <w:tbl>
      <w:tblPr>
        <w:tblStyle w:val="29"/>
        <w:tblW w:w="4995"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638"/>
        <w:gridCol w:w="3879"/>
        <w:gridCol w:w="387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restar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color w:val="auto"/>
                <w:lang w:val="en-US"/>
              </w:rPr>
            </w:pPr>
            <w:bookmarkStart w:id="168" w:name="_Toc48659653"/>
            <w:bookmarkStart w:id="169" w:name="_Toc53502032"/>
            <w:r>
              <w:rPr>
                <w:rFonts w:hint="eastAsia" w:ascii="Times New Roman" w:hAnsi="Times New Roman"/>
                <w:color w:val="auto"/>
                <w:lang w:val="en-US"/>
              </w:rPr>
              <w:t>检测点位</w:t>
            </w:r>
          </w:p>
        </w:tc>
        <w:tc>
          <w:tcPr>
            <w:tcW w:w="4127" w:type="pct"/>
            <w:gridSpan w:val="2"/>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color w:val="auto"/>
                <w:lang w:val="en-US"/>
              </w:rPr>
            </w:pPr>
            <w:r>
              <w:rPr>
                <w:rFonts w:hint="eastAsia" w:ascii="Times New Roman" w:hAnsi="Times New Roman"/>
                <w:color w:val="auto"/>
                <w:lang w:val="en-US"/>
              </w:rPr>
              <w:t>检测项目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continue"/>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color w:val="auto"/>
              </w:rPr>
            </w:pPr>
          </w:p>
        </w:tc>
        <w:tc>
          <w:tcPr>
            <w:tcW w:w="4127" w:type="pct"/>
            <w:gridSpan w:val="2"/>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color w:val="auto"/>
                <w:lang w:val="en-US"/>
              </w:rPr>
            </w:pPr>
            <w:r>
              <w:rPr>
                <w:rFonts w:hint="eastAsia" w:ascii="Times New Roman" w:hAnsi="Times New Roman"/>
                <w:color w:val="auto"/>
                <w:lang w:val="en-US"/>
              </w:rPr>
              <w:t>颗粒物（</w:t>
            </w:r>
            <w:r>
              <w:rPr>
                <w:rFonts w:ascii="Times New Roman" w:hAnsi="Times New Roman"/>
                <w:color w:val="auto"/>
              </w:rPr>
              <w:t>mg/m</w:t>
            </w:r>
            <w:r>
              <w:rPr>
                <w:rFonts w:ascii="Times New Roman" w:hAnsi="Times New Roman"/>
                <w:color w:val="auto"/>
                <w:vertAlign w:val="superscript"/>
              </w:rPr>
              <w:t>3</w:t>
            </w:r>
            <w:r>
              <w:rPr>
                <w:rFonts w:hint="eastAsia" w:ascii="Times New Roman" w:hAnsi="Times New Roman"/>
                <w:color w:val="auto"/>
                <w:lang w:val="en-US"/>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color w:val="auto"/>
                <w:lang w:val="en-US"/>
              </w:rPr>
            </w:pPr>
            <w:r>
              <w:rPr>
                <w:rFonts w:hint="eastAsia" w:ascii="Times New Roman" w:hAnsi="Times New Roman"/>
                <w:color w:val="auto"/>
                <w:lang w:val="en-US"/>
              </w:rPr>
              <w:t>监测时间</w:t>
            </w:r>
          </w:p>
        </w:tc>
        <w:tc>
          <w:tcPr>
            <w:tcW w:w="2065" w:type="pc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color w:val="auto"/>
                <w:lang w:val="en-US"/>
              </w:rPr>
            </w:pPr>
            <w:r>
              <w:rPr>
                <w:rFonts w:ascii="Times New Roman" w:hAnsi="Times New Roman"/>
                <w:color w:val="auto"/>
                <w:lang w:val="en-US"/>
              </w:rPr>
              <w:t>2020</w:t>
            </w:r>
            <w:r>
              <w:rPr>
                <w:rFonts w:hint="eastAsia" w:ascii="Times New Roman" w:hAnsi="Times New Roman"/>
                <w:color w:val="auto"/>
                <w:lang w:val="en-US"/>
              </w:rPr>
              <w:t>年</w:t>
            </w:r>
            <w:r>
              <w:rPr>
                <w:rFonts w:ascii="Times New Roman" w:hAnsi="Times New Roman"/>
                <w:color w:val="auto"/>
                <w:lang w:val="en-US"/>
              </w:rPr>
              <w:t>10</w:t>
            </w:r>
            <w:r>
              <w:rPr>
                <w:rFonts w:hint="eastAsia" w:ascii="Times New Roman" w:hAnsi="Times New Roman"/>
                <w:color w:val="auto"/>
                <w:lang w:val="en-US"/>
              </w:rPr>
              <w:t>月</w:t>
            </w:r>
            <w:r>
              <w:rPr>
                <w:rFonts w:ascii="Times New Roman" w:hAnsi="Times New Roman"/>
                <w:color w:val="auto"/>
                <w:lang w:val="en-US"/>
              </w:rPr>
              <w:t>23</w:t>
            </w:r>
            <w:r>
              <w:rPr>
                <w:rFonts w:hint="eastAsia" w:ascii="Times New Roman" w:hAnsi="Times New Roman"/>
                <w:color w:val="auto"/>
                <w:lang w:val="en-US"/>
              </w:rPr>
              <w:t>日</w:t>
            </w:r>
          </w:p>
        </w:tc>
        <w:tc>
          <w:tcPr>
            <w:tcW w:w="2062" w:type="pc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Theme="minorEastAsia"/>
                <w:color w:val="auto"/>
                <w:lang w:val="en-US" w:eastAsia="zh-CN"/>
              </w:rPr>
            </w:pPr>
            <w:r>
              <w:rPr>
                <w:rFonts w:hint="eastAsia" w:ascii="Times New Roman" w:hAnsi="Times New Roman"/>
                <w:color w:val="auto"/>
                <w:lang w:val="en-US" w:eastAsia="zh-CN"/>
              </w:rPr>
              <w:t>2020年10月24日</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restar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color w:val="auto"/>
                <w:lang w:val="en-US"/>
              </w:rPr>
            </w:pPr>
            <w:r>
              <w:rPr>
                <w:rFonts w:hint="eastAsia" w:ascii="Times New Roman" w:hAnsi="Times New Roman"/>
                <w:color w:val="auto"/>
                <w:lang w:val="en-US"/>
              </w:rPr>
              <w:t>上风向参照点</w:t>
            </w:r>
          </w:p>
        </w:tc>
        <w:tc>
          <w:tcPr>
            <w:tcW w:w="2065" w:type="pc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b w:val="0"/>
                <w:bCs w:val="0"/>
                <w:color w:val="auto"/>
                <w:lang w:val="en-US"/>
              </w:rPr>
            </w:pPr>
            <w:r>
              <w:rPr>
                <w:rFonts w:ascii="Times New Roman" w:hAnsi="Times New Roman"/>
                <w:b w:val="0"/>
                <w:bCs w:val="0"/>
                <w:color w:val="auto"/>
                <w:lang w:val="en-US"/>
              </w:rPr>
              <w:t>0.125</w:t>
            </w:r>
          </w:p>
        </w:tc>
        <w:tc>
          <w:tcPr>
            <w:tcW w:w="2062" w:type="pc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Theme="minorEastAsia" w:cstheme="minorBidi"/>
                <w:b w:val="0"/>
                <w:bCs w:val="0"/>
                <w:color w:val="auto"/>
                <w:kern w:val="2"/>
                <w:sz w:val="21"/>
                <w:szCs w:val="22"/>
                <w:lang w:val="en-US" w:eastAsia="zh-CN" w:bidi="ar-SA"/>
              </w:rPr>
            </w:pPr>
            <w:r>
              <w:rPr>
                <w:rFonts w:ascii="Times New Roman" w:hAnsi="Times New Roman"/>
                <w:b w:val="0"/>
                <w:bCs w:val="0"/>
                <w:color w:val="auto"/>
                <w:lang w:val="en-US"/>
              </w:rPr>
              <w:t>0.185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continue"/>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color w:val="auto"/>
              </w:rPr>
            </w:pPr>
          </w:p>
        </w:tc>
        <w:tc>
          <w:tcPr>
            <w:tcW w:w="2065" w:type="pc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b w:val="0"/>
                <w:bCs w:val="0"/>
                <w:color w:val="auto"/>
                <w:lang w:val="en-US"/>
              </w:rPr>
            </w:pPr>
            <w:r>
              <w:rPr>
                <w:rFonts w:ascii="Times New Roman" w:hAnsi="Times New Roman"/>
                <w:b w:val="0"/>
                <w:bCs w:val="0"/>
                <w:color w:val="auto"/>
                <w:lang w:val="en-US"/>
              </w:rPr>
              <w:t>0.124</w:t>
            </w:r>
          </w:p>
        </w:tc>
        <w:tc>
          <w:tcPr>
            <w:tcW w:w="2062" w:type="pc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Theme="minorEastAsia" w:cstheme="minorBidi"/>
                <w:b w:val="0"/>
                <w:bCs w:val="0"/>
                <w:color w:val="auto"/>
                <w:kern w:val="2"/>
                <w:sz w:val="21"/>
                <w:szCs w:val="22"/>
                <w:lang w:val="en-US" w:eastAsia="zh-CN" w:bidi="ar-SA"/>
              </w:rPr>
            </w:pPr>
            <w:r>
              <w:rPr>
                <w:rFonts w:ascii="Times New Roman" w:hAnsi="Times New Roman"/>
                <w:b w:val="0"/>
                <w:bCs w:val="0"/>
                <w:color w:val="auto"/>
                <w:lang w:val="en-US"/>
              </w:rPr>
              <w:t>0.165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continue"/>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color w:val="auto"/>
              </w:rPr>
            </w:pPr>
          </w:p>
        </w:tc>
        <w:tc>
          <w:tcPr>
            <w:tcW w:w="2065" w:type="pc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b w:val="0"/>
                <w:bCs w:val="0"/>
                <w:color w:val="auto"/>
                <w:lang w:val="en-US"/>
              </w:rPr>
            </w:pPr>
            <w:r>
              <w:rPr>
                <w:rFonts w:ascii="Times New Roman" w:hAnsi="Times New Roman"/>
                <w:b w:val="0"/>
                <w:bCs w:val="0"/>
                <w:color w:val="auto"/>
                <w:lang w:val="en-US"/>
              </w:rPr>
              <w:t>0.125</w:t>
            </w:r>
          </w:p>
        </w:tc>
        <w:tc>
          <w:tcPr>
            <w:tcW w:w="2062" w:type="pc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Theme="minorEastAsia" w:cstheme="minorBidi"/>
                <w:b w:val="0"/>
                <w:bCs w:val="0"/>
                <w:color w:val="auto"/>
                <w:kern w:val="2"/>
                <w:sz w:val="21"/>
                <w:szCs w:val="22"/>
                <w:lang w:val="en-US" w:eastAsia="zh-CN" w:bidi="ar-SA"/>
              </w:rPr>
            </w:pPr>
            <w:r>
              <w:rPr>
                <w:rFonts w:ascii="Times New Roman" w:hAnsi="Times New Roman"/>
                <w:b w:val="0"/>
                <w:bCs w:val="0"/>
                <w:color w:val="auto"/>
                <w:lang w:val="en-US"/>
              </w:rPr>
              <w:t>0.114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continue"/>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color w:val="auto"/>
                <w:lang w:val="en-US"/>
              </w:rPr>
            </w:pPr>
          </w:p>
        </w:tc>
        <w:tc>
          <w:tcPr>
            <w:tcW w:w="2065" w:type="pc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b w:val="0"/>
                <w:bCs w:val="0"/>
                <w:color w:val="auto"/>
                <w:lang w:val="en-US"/>
              </w:rPr>
            </w:pPr>
            <w:r>
              <w:rPr>
                <w:rFonts w:ascii="Times New Roman" w:hAnsi="Times New Roman"/>
                <w:b w:val="0"/>
                <w:bCs w:val="0"/>
                <w:color w:val="auto"/>
                <w:lang w:val="en-US"/>
              </w:rPr>
              <w:t>0.135</w:t>
            </w:r>
          </w:p>
        </w:tc>
        <w:tc>
          <w:tcPr>
            <w:tcW w:w="2062" w:type="pc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Theme="minorEastAsia" w:cstheme="minorBidi"/>
                <w:b w:val="0"/>
                <w:bCs w:val="0"/>
                <w:color w:val="auto"/>
                <w:kern w:val="2"/>
                <w:sz w:val="21"/>
                <w:szCs w:val="22"/>
                <w:lang w:val="en-US" w:eastAsia="zh-CN" w:bidi="ar-SA"/>
              </w:rPr>
            </w:pPr>
            <w:r>
              <w:rPr>
                <w:rFonts w:ascii="Times New Roman" w:hAnsi="Times New Roman"/>
                <w:b w:val="0"/>
                <w:bCs w:val="0"/>
                <w:color w:val="auto"/>
                <w:lang w:val="en-US"/>
              </w:rPr>
              <w:t>0.125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cs="宋体"/>
                <w:b/>
                <w:bCs/>
                <w:color w:val="auto"/>
                <w:szCs w:val="21"/>
              </w:rPr>
            </w:pPr>
            <w:r>
              <w:rPr>
                <w:rFonts w:hint="eastAsia" w:ascii="Times New Roman" w:hAnsi="Times New Roman" w:cs="宋体"/>
                <w:b w:val="0"/>
                <w:bCs w:val="0"/>
                <w:color w:val="auto"/>
                <w:szCs w:val="21"/>
              </w:rPr>
              <w:t>下风向监控点</w:t>
            </w:r>
            <w:r>
              <w:rPr>
                <w:rFonts w:ascii="Times New Roman" w:hAnsi="Times New Roman" w:cs="宋体"/>
                <w:b w:val="0"/>
                <w:bCs w:val="0"/>
                <w:color w:val="auto"/>
                <w:szCs w:val="21"/>
              </w:rPr>
              <w:t>1#</w:t>
            </w:r>
          </w:p>
        </w:tc>
        <w:tc>
          <w:tcPr>
            <w:tcW w:w="2065" w:type="pc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b w:val="0"/>
                <w:bCs w:val="0"/>
                <w:color w:val="auto"/>
                <w:lang w:val="en-US"/>
              </w:rPr>
            </w:pPr>
            <w:r>
              <w:rPr>
                <w:rFonts w:ascii="Times New Roman" w:hAnsi="Times New Roman"/>
                <w:b w:val="0"/>
                <w:bCs w:val="0"/>
                <w:color w:val="auto"/>
                <w:lang w:val="en-US"/>
              </w:rPr>
              <w:t>0.210</w:t>
            </w:r>
          </w:p>
        </w:tc>
        <w:tc>
          <w:tcPr>
            <w:tcW w:w="2062" w:type="pc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Theme="minorEastAsia" w:cstheme="minorBidi"/>
                <w:b w:val="0"/>
                <w:bCs w:val="0"/>
                <w:color w:val="auto"/>
                <w:kern w:val="2"/>
                <w:sz w:val="21"/>
                <w:szCs w:val="22"/>
                <w:lang w:val="en-US" w:eastAsia="zh-CN" w:bidi="ar-SA"/>
              </w:rPr>
            </w:pPr>
            <w:r>
              <w:rPr>
                <w:rFonts w:ascii="Times New Roman" w:hAnsi="Times New Roman"/>
                <w:b w:val="0"/>
                <w:bCs w:val="0"/>
                <w:color w:val="auto"/>
                <w:lang w:val="en-US"/>
              </w:rPr>
              <w:t>0.168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cs="宋体"/>
                <w:b/>
                <w:bCs/>
                <w:color w:val="auto"/>
                <w:szCs w:val="21"/>
              </w:rPr>
            </w:pPr>
          </w:p>
        </w:tc>
        <w:tc>
          <w:tcPr>
            <w:tcW w:w="2065" w:type="pc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b w:val="0"/>
                <w:bCs w:val="0"/>
                <w:color w:val="auto"/>
                <w:lang w:val="en-US"/>
              </w:rPr>
            </w:pPr>
            <w:r>
              <w:rPr>
                <w:rFonts w:ascii="Times New Roman" w:hAnsi="Times New Roman"/>
                <w:b w:val="0"/>
                <w:bCs w:val="0"/>
                <w:color w:val="auto"/>
                <w:lang w:val="en-US"/>
              </w:rPr>
              <w:t>0.214</w:t>
            </w:r>
          </w:p>
        </w:tc>
        <w:tc>
          <w:tcPr>
            <w:tcW w:w="2062" w:type="pc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Theme="minorEastAsia" w:cstheme="minorBidi"/>
                <w:b w:val="0"/>
                <w:bCs w:val="0"/>
                <w:color w:val="auto"/>
                <w:kern w:val="2"/>
                <w:sz w:val="21"/>
                <w:szCs w:val="22"/>
                <w:lang w:val="en-US" w:eastAsia="zh-CN" w:bidi="ar-SA"/>
              </w:rPr>
            </w:pPr>
            <w:r>
              <w:rPr>
                <w:rFonts w:ascii="Times New Roman" w:hAnsi="Times New Roman"/>
                <w:b w:val="0"/>
                <w:bCs w:val="0"/>
                <w:color w:val="auto"/>
                <w:lang w:val="en-US"/>
              </w:rPr>
              <w:t>0.210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cs="宋体"/>
                <w:b/>
                <w:bCs/>
                <w:color w:val="auto"/>
                <w:szCs w:val="21"/>
              </w:rPr>
            </w:pPr>
          </w:p>
        </w:tc>
        <w:tc>
          <w:tcPr>
            <w:tcW w:w="2065" w:type="pc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b w:val="0"/>
                <w:bCs w:val="0"/>
                <w:color w:val="auto"/>
                <w:lang w:val="en-US"/>
              </w:rPr>
            </w:pPr>
            <w:r>
              <w:rPr>
                <w:rFonts w:ascii="Times New Roman" w:hAnsi="Times New Roman"/>
                <w:b w:val="0"/>
                <w:bCs w:val="0"/>
                <w:color w:val="auto"/>
                <w:lang w:val="en-US"/>
              </w:rPr>
              <w:t>0.215</w:t>
            </w:r>
          </w:p>
        </w:tc>
        <w:tc>
          <w:tcPr>
            <w:tcW w:w="2062" w:type="pc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Theme="minorEastAsia" w:cstheme="minorBidi"/>
                <w:b w:val="0"/>
                <w:bCs w:val="0"/>
                <w:color w:val="auto"/>
                <w:kern w:val="2"/>
                <w:sz w:val="21"/>
                <w:szCs w:val="22"/>
                <w:lang w:val="en-US" w:eastAsia="zh-CN" w:bidi="ar-SA"/>
              </w:rPr>
            </w:pPr>
            <w:r>
              <w:rPr>
                <w:rFonts w:ascii="Times New Roman" w:hAnsi="Times New Roman"/>
                <w:b w:val="0"/>
                <w:bCs w:val="0"/>
                <w:color w:val="auto"/>
                <w:lang w:val="en-US"/>
              </w:rPr>
              <w:t>0.225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cs="宋体"/>
                <w:b/>
                <w:bCs/>
                <w:color w:val="auto"/>
                <w:szCs w:val="21"/>
              </w:rPr>
            </w:pPr>
          </w:p>
        </w:tc>
        <w:tc>
          <w:tcPr>
            <w:tcW w:w="2065" w:type="pc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b w:val="0"/>
                <w:bCs w:val="0"/>
                <w:color w:val="auto"/>
                <w:lang w:val="en-US"/>
              </w:rPr>
            </w:pPr>
            <w:r>
              <w:rPr>
                <w:rFonts w:ascii="Times New Roman" w:hAnsi="Times New Roman"/>
                <w:b w:val="0"/>
                <w:bCs w:val="0"/>
                <w:color w:val="auto"/>
                <w:lang w:val="en-US"/>
              </w:rPr>
              <w:t>0.225</w:t>
            </w:r>
          </w:p>
        </w:tc>
        <w:tc>
          <w:tcPr>
            <w:tcW w:w="2062" w:type="pc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Theme="minorEastAsia" w:cstheme="minorBidi"/>
                <w:b w:val="0"/>
                <w:bCs w:val="0"/>
                <w:color w:val="auto"/>
                <w:kern w:val="2"/>
                <w:sz w:val="21"/>
                <w:szCs w:val="22"/>
                <w:lang w:val="en-US" w:eastAsia="zh-CN" w:bidi="ar-SA"/>
              </w:rPr>
            </w:pPr>
            <w:r>
              <w:rPr>
                <w:rFonts w:ascii="Times New Roman" w:hAnsi="Times New Roman"/>
                <w:b w:val="0"/>
                <w:bCs w:val="0"/>
                <w:color w:val="auto"/>
                <w:lang w:val="en-US"/>
              </w:rPr>
              <w:t>0.224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restar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color w:val="auto"/>
              </w:rPr>
            </w:pPr>
            <w:r>
              <w:rPr>
                <w:rFonts w:hint="eastAsia" w:ascii="Times New Roman" w:hAnsi="Times New Roman"/>
                <w:color w:val="auto"/>
                <w:lang w:val="en-US"/>
              </w:rPr>
              <w:t>下风向监控点</w:t>
            </w:r>
            <w:r>
              <w:rPr>
                <w:rFonts w:ascii="Times New Roman" w:hAnsi="Times New Roman"/>
                <w:color w:val="auto"/>
                <w:lang w:val="en-US"/>
              </w:rPr>
              <w:t>2#</w:t>
            </w:r>
          </w:p>
        </w:tc>
        <w:tc>
          <w:tcPr>
            <w:tcW w:w="2065" w:type="pc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b w:val="0"/>
                <w:bCs w:val="0"/>
                <w:color w:val="auto"/>
                <w:lang w:val="en-US"/>
              </w:rPr>
            </w:pPr>
            <w:r>
              <w:rPr>
                <w:rFonts w:ascii="Times New Roman" w:hAnsi="Times New Roman"/>
                <w:b w:val="0"/>
                <w:bCs w:val="0"/>
                <w:color w:val="auto"/>
                <w:lang w:val="en-US"/>
              </w:rPr>
              <w:t>0.241</w:t>
            </w:r>
          </w:p>
        </w:tc>
        <w:tc>
          <w:tcPr>
            <w:tcW w:w="2062" w:type="pc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Theme="minorEastAsia" w:cstheme="minorBidi"/>
                <w:b w:val="0"/>
                <w:bCs w:val="0"/>
                <w:color w:val="auto"/>
                <w:kern w:val="2"/>
                <w:sz w:val="21"/>
                <w:szCs w:val="22"/>
                <w:lang w:val="en-US" w:eastAsia="zh-CN" w:bidi="ar-SA"/>
              </w:rPr>
            </w:pPr>
            <w:r>
              <w:rPr>
                <w:rFonts w:ascii="Times New Roman" w:hAnsi="Times New Roman"/>
                <w:b w:val="0"/>
                <w:bCs w:val="0"/>
                <w:color w:val="auto"/>
                <w:lang w:val="en-US"/>
              </w:rPr>
              <w:t>0.228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cs="宋体"/>
                <w:b/>
                <w:bCs/>
                <w:color w:val="auto"/>
                <w:szCs w:val="21"/>
              </w:rPr>
            </w:pPr>
          </w:p>
        </w:tc>
        <w:tc>
          <w:tcPr>
            <w:tcW w:w="2065" w:type="pc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b w:val="0"/>
                <w:bCs w:val="0"/>
                <w:color w:val="auto"/>
                <w:lang w:val="en-US"/>
              </w:rPr>
            </w:pPr>
            <w:r>
              <w:rPr>
                <w:rFonts w:ascii="Times New Roman" w:hAnsi="Times New Roman"/>
                <w:b w:val="0"/>
                <w:bCs w:val="0"/>
                <w:color w:val="auto"/>
                <w:lang w:val="en-US"/>
              </w:rPr>
              <w:t>0.235</w:t>
            </w:r>
          </w:p>
        </w:tc>
        <w:tc>
          <w:tcPr>
            <w:tcW w:w="2062" w:type="pc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Theme="minorEastAsia" w:cstheme="minorBidi"/>
                <w:b w:val="0"/>
                <w:bCs w:val="0"/>
                <w:color w:val="auto"/>
                <w:kern w:val="2"/>
                <w:sz w:val="21"/>
                <w:szCs w:val="22"/>
                <w:lang w:val="en-US" w:eastAsia="zh-CN" w:bidi="ar-SA"/>
              </w:rPr>
            </w:pPr>
            <w:r>
              <w:rPr>
                <w:rFonts w:ascii="Times New Roman" w:hAnsi="Times New Roman"/>
                <w:b w:val="0"/>
                <w:bCs w:val="0"/>
                <w:color w:val="auto"/>
                <w:lang w:val="en-US"/>
              </w:rPr>
              <w:t>0.231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cs="宋体"/>
                <w:b/>
                <w:bCs/>
                <w:color w:val="auto"/>
                <w:szCs w:val="21"/>
              </w:rPr>
            </w:pPr>
          </w:p>
        </w:tc>
        <w:tc>
          <w:tcPr>
            <w:tcW w:w="2065" w:type="pc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b w:val="0"/>
                <w:bCs w:val="0"/>
                <w:color w:val="auto"/>
                <w:lang w:val="en-US"/>
              </w:rPr>
            </w:pPr>
            <w:r>
              <w:rPr>
                <w:rFonts w:ascii="Times New Roman" w:hAnsi="Times New Roman"/>
                <w:b w:val="0"/>
                <w:bCs w:val="0"/>
                <w:color w:val="auto"/>
                <w:lang w:val="en-US"/>
              </w:rPr>
              <w:t>0.224</w:t>
            </w:r>
          </w:p>
        </w:tc>
        <w:tc>
          <w:tcPr>
            <w:tcW w:w="2062" w:type="pc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Theme="minorEastAsia" w:cstheme="minorBidi"/>
                <w:b w:val="0"/>
                <w:bCs w:val="0"/>
                <w:color w:val="auto"/>
                <w:kern w:val="2"/>
                <w:sz w:val="21"/>
                <w:szCs w:val="22"/>
                <w:lang w:val="en-US" w:eastAsia="zh-CN" w:bidi="ar-SA"/>
              </w:rPr>
            </w:pPr>
            <w:r>
              <w:rPr>
                <w:rFonts w:ascii="Times New Roman" w:hAnsi="Times New Roman"/>
                <w:b w:val="0"/>
                <w:bCs w:val="0"/>
                <w:color w:val="auto"/>
                <w:lang w:val="en-US"/>
              </w:rPr>
              <w:t>0.248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cs="宋体"/>
                <w:b/>
                <w:bCs/>
                <w:color w:val="auto"/>
                <w:szCs w:val="21"/>
              </w:rPr>
            </w:pPr>
          </w:p>
        </w:tc>
        <w:tc>
          <w:tcPr>
            <w:tcW w:w="2065" w:type="pc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b w:val="0"/>
                <w:bCs w:val="0"/>
                <w:color w:val="auto"/>
                <w:lang w:val="en-US"/>
              </w:rPr>
            </w:pPr>
            <w:r>
              <w:rPr>
                <w:rFonts w:ascii="Times New Roman" w:hAnsi="Times New Roman"/>
                <w:b w:val="0"/>
                <w:bCs w:val="0"/>
                <w:color w:val="auto"/>
                <w:lang w:val="en-US"/>
              </w:rPr>
              <w:t>0.224</w:t>
            </w:r>
          </w:p>
        </w:tc>
        <w:tc>
          <w:tcPr>
            <w:tcW w:w="2062" w:type="pc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Theme="minorEastAsia" w:cstheme="minorBidi"/>
                <w:b w:val="0"/>
                <w:bCs w:val="0"/>
                <w:color w:val="auto"/>
                <w:kern w:val="2"/>
                <w:sz w:val="21"/>
                <w:szCs w:val="22"/>
                <w:lang w:val="en-US" w:eastAsia="zh-CN" w:bidi="ar-SA"/>
              </w:rPr>
            </w:pPr>
            <w:r>
              <w:rPr>
                <w:rFonts w:ascii="Times New Roman" w:hAnsi="Times New Roman"/>
                <w:b w:val="0"/>
                <w:bCs w:val="0"/>
                <w:color w:val="auto"/>
                <w:lang w:val="en-US"/>
              </w:rPr>
              <w:t>0.251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restar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color w:val="auto"/>
              </w:rPr>
            </w:pPr>
            <w:r>
              <w:rPr>
                <w:rFonts w:hint="eastAsia" w:ascii="Times New Roman" w:hAnsi="Times New Roman"/>
                <w:color w:val="auto"/>
                <w:lang w:val="en-US"/>
              </w:rPr>
              <w:t>下风向监控点</w:t>
            </w:r>
            <w:r>
              <w:rPr>
                <w:rFonts w:ascii="Times New Roman" w:hAnsi="Times New Roman"/>
                <w:color w:val="auto"/>
                <w:lang w:val="en-US"/>
              </w:rPr>
              <w:t>3#</w:t>
            </w:r>
          </w:p>
        </w:tc>
        <w:tc>
          <w:tcPr>
            <w:tcW w:w="2065" w:type="pc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b w:val="0"/>
                <w:bCs w:val="0"/>
                <w:color w:val="auto"/>
                <w:lang w:val="en-US"/>
              </w:rPr>
            </w:pPr>
            <w:r>
              <w:rPr>
                <w:rFonts w:ascii="Times New Roman" w:hAnsi="Times New Roman"/>
                <w:b w:val="0"/>
                <w:bCs w:val="0"/>
                <w:color w:val="auto"/>
                <w:lang w:val="en-US"/>
              </w:rPr>
              <w:t>0.228</w:t>
            </w:r>
          </w:p>
        </w:tc>
        <w:tc>
          <w:tcPr>
            <w:tcW w:w="2062" w:type="pc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Theme="minorEastAsia" w:cstheme="minorBidi"/>
                <w:b w:val="0"/>
                <w:bCs w:val="0"/>
                <w:color w:val="auto"/>
                <w:kern w:val="2"/>
                <w:sz w:val="21"/>
                <w:szCs w:val="22"/>
                <w:lang w:val="en-US" w:eastAsia="zh-CN" w:bidi="ar-SA"/>
              </w:rPr>
            </w:pPr>
            <w:r>
              <w:rPr>
                <w:rFonts w:ascii="Times New Roman" w:hAnsi="Times New Roman"/>
                <w:b w:val="0"/>
                <w:bCs w:val="0"/>
                <w:color w:val="auto"/>
                <w:lang w:val="en-US"/>
              </w:rPr>
              <w:t>0.248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cs="宋体"/>
                <w:color w:val="auto"/>
                <w:szCs w:val="21"/>
              </w:rPr>
            </w:pPr>
          </w:p>
        </w:tc>
        <w:tc>
          <w:tcPr>
            <w:tcW w:w="2065" w:type="pc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b w:val="0"/>
                <w:bCs w:val="0"/>
                <w:color w:val="auto"/>
                <w:lang w:val="en-US"/>
              </w:rPr>
            </w:pPr>
            <w:r>
              <w:rPr>
                <w:rFonts w:ascii="Times New Roman" w:hAnsi="Times New Roman"/>
                <w:b w:val="0"/>
                <w:bCs w:val="0"/>
                <w:color w:val="auto"/>
                <w:lang w:val="en-US"/>
              </w:rPr>
              <w:t>0.231</w:t>
            </w:r>
          </w:p>
        </w:tc>
        <w:tc>
          <w:tcPr>
            <w:tcW w:w="2062" w:type="pc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Theme="minorEastAsia" w:cstheme="minorBidi"/>
                <w:b w:val="0"/>
                <w:bCs w:val="0"/>
                <w:color w:val="auto"/>
                <w:kern w:val="2"/>
                <w:sz w:val="21"/>
                <w:szCs w:val="22"/>
                <w:lang w:val="en-US" w:eastAsia="zh-CN" w:bidi="ar-SA"/>
              </w:rPr>
            </w:pPr>
            <w:r>
              <w:rPr>
                <w:rFonts w:ascii="Times New Roman" w:hAnsi="Times New Roman"/>
                <w:b w:val="0"/>
                <w:bCs w:val="0"/>
                <w:color w:val="auto"/>
                <w:lang w:val="en-US"/>
              </w:rPr>
              <w:t>0.255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cs="宋体"/>
                <w:color w:val="auto"/>
                <w:szCs w:val="21"/>
              </w:rPr>
            </w:pPr>
          </w:p>
        </w:tc>
        <w:tc>
          <w:tcPr>
            <w:tcW w:w="2065" w:type="pc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b w:val="0"/>
                <w:bCs w:val="0"/>
                <w:color w:val="auto"/>
                <w:lang w:val="en-US"/>
              </w:rPr>
            </w:pPr>
            <w:r>
              <w:rPr>
                <w:rFonts w:ascii="Times New Roman" w:hAnsi="Times New Roman"/>
                <w:b w:val="0"/>
                <w:bCs w:val="0"/>
                <w:color w:val="auto"/>
                <w:lang w:val="en-US"/>
              </w:rPr>
              <w:t>0.241</w:t>
            </w:r>
          </w:p>
        </w:tc>
        <w:tc>
          <w:tcPr>
            <w:tcW w:w="2062" w:type="pc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Theme="minorEastAsia" w:cstheme="minorBidi"/>
                <w:b w:val="0"/>
                <w:bCs w:val="0"/>
                <w:color w:val="auto"/>
                <w:kern w:val="2"/>
                <w:sz w:val="21"/>
                <w:szCs w:val="22"/>
                <w:lang w:val="en-US" w:eastAsia="zh-CN" w:bidi="ar-SA"/>
              </w:rPr>
            </w:pPr>
            <w:r>
              <w:rPr>
                <w:rFonts w:ascii="Times New Roman" w:hAnsi="Times New Roman"/>
                <w:b w:val="0"/>
                <w:bCs w:val="0"/>
                <w:color w:val="auto"/>
                <w:lang w:val="en-US"/>
              </w:rPr>
              <w:t>0.247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cs="宋体"/>
                <w:color w:val="auto"/>
                <w:szCs w:val="21"/>
              </w:rPr>
            </w:pPr>
          </w:p>
        </w:tc>
        <w:tc>
          <w:tcPr>
            <w:tcW w:w="2065" w:type="pc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b w:val="0"/>
                <w:bCs w:val="0"/>
                <w:color w:val="auto"/>
                <w:lang w:val="en-US"/>
              </w:rPr>
            </w:pPr>
            <w:r>
              <w:rPr>
                <w:rFonts w:ascii="Times New Roman" w:hAnsi="Times New Roman"/>
                <w:b w:val="0"/>
                <w:bCs w:val="0"/>
                <w:color w:val="auto"/>
                <w:lang w:val="en-US"/>
              </w:rPr>
              <w:t>0.241</w:t>
            </w:r>
          </w:p>
        </w:tc>
        <w:tc>
          <w:tcPr>
            <w:tcW w:w="2062" w:type="pc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Theme="minorEastAsia" w:cstheme="minorBidi"/>
                <w:b w:val="0"/>
                <w:bCs w:val="0"/>
                <w:color w:val="auto"/>
                <w:kern w:val="2"/>
                <w:sz w:val="21"/>
                <w:szCs w:val="22"/>
                <w:lang w:val="en-US" w:eastAsia="zh-CN" w:bidi="ar-SA"/>
              </w:rPr>
            </w:pPr>
            <w:r>
              <w:rPr>
                <w:rFonts w:ascii="Times New Roman" w:hAnsi="Times New Roman"/>
                <w:b w:val="0"/>
                <w:bCs w:val="0"/>
                <w:color w:val="auto"/>
                <w:lang w:val="en-US"/>
              </w:rPr>
              <w:t>0.247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cs="宋体" w:eastAsiaTheme="minorEastAsia"/>
                <w:b/>
                <w:bCs/>
                <w:color w:val="auto"/>
                <w:szCs w:val="21"/>
                <w:lang w:eastAsia="zh-CN"/>
              </w:rPr>
            </w:pPr>
            <w:r>
              <w:rPr>
                <w:rFonts w:hint="eastAsia" w:ascii="Times New Roman" w:hAnsi="Times New Roman" w:cs="宋体"/>
                <w:b/>
                <w:bCs/>
                <w:color w:val="auto"/>
                <w:szCs w:val="21"/>
                <w:lang w:eastAsia="zh-CN"/>
              </w:rPr>
              <w:t>标准限值</w:t>
            </w:r>
          </w:p>
        </w:tc>
        <w:tc>
          <w:tcPr>
            <w:tcW w:w="2065" w:type="pc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Theme="minorEastAsia"/>
                <w:b/>
                <w:bCs/>
                <w:color w:val="auto"/>
                <w:lang w:val="en-US" w:eastAsia="zh-CN"/>
              </w:rPr>
            </w:pPr>
            <w:r>
              <w:rPr>
                <w:rFonts w:hint="eastAsia" w:ascii="Times New Roman" w:hAnsi="Times New Roman"/>
                <w:b/>
                <w:bCs/>
                <w:color w:val="auto"/>
                <w:lang w:val="en-US" w:eastAsia="zh-CN"/>
              </w:rPr>
              <w:t>1.0</w:t>
            </w:r>
          </w:p>
        </w:tc>
        <w:tc>
          <w:tcPr>
            <w:tcW w:w="2062" w:type="pc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Theme="minorEastAsia"/>
                <w:b/>
                <w:bCs/>
                <w:color w:val="auto"/>
                <w:lang w:val="en-US" w:eastAsia="zh-CN"/>
              </w:rPr>
            </w:pPr>
            <w:r>
              <w:rPr>
                <w:rFonts w:hint="eastAsia" w:ascii="Times New Roman" w:hAnsi="Times New Roman"/>
                <w:b/>
                <w:bCs/>
                <w:color w:val="auto"/>
                <w:lang w:val="en-US" w:eastAsia="zh-CN"/>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cs="宋体"/>
                <w:b/>
                <w:bCs/>
                <w:color w:val="auto"/>
                <w:szCs w:val="21"/>
                <w:lang w:eastAsia="zh-CN"/>
              </w:rPr>
            </w:pPr>
            <w:r>
              <w:rPr>
                <w:rFonts w:hint="eastAsia" w:ascii="Times New Roman" w:hAnsi="Times New Roman" w:cs="宋体"/>
                <w:b/>
                <w:bCs/>
                <w:color w:val="auto"/>
                <w:szCs w:val="21"/>
                <w:lang w:eastAsia="zh-CN"/>
              </w:rPr>
              <w:t>达标情况</w:t>
            </w:r>
          </w:p>
        </w:tc>
        <w:tc>
          <w:tcPr>
            <w:tcW w:w="2065" w:type="pc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Theme="minorEastAsia"/>
                <w:b/>
                <w:bCs/>
                <w:color w:val="auto"/>
                <w:lang w:val="en-US" w:eastAsia="zh-CN"/>
              </w:rPr>
            </w:pPr>
            <w:r>
              <w:rPr>
                <w:rFonts w:hint="eastAsia" w:ascii="Times New Roman" w:hAnsi="Times New Roman"/>
                <w:b/>
                <w:bCs/>
                <w:color w:val="auto"/>
                <w:lang w:val="en-US" w:eastAsia="zh-CN"/>
              </w:rPr>
              <w:t>达标</w:t>
            </w:r>
          </w:p>
        </w:tc>
        <w:tc>
          <w:tcPr>
            <w:tcW w:w="2062" w:type="pc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Theme="minorEastAsia"/>
                <w:b/>
                <w:bCs/>
                <w:color w:val="auto"/>
                <w:lang w:val="en-US" w:eastAsia="zh-CN"/>
              </w:rPr>
            </w:pPr>
            <w:r>
              <w:rPr>
                <w:rFonts w:hint="eastAsia" w:ascii="Times New Roman" w:hAnsi="Times New Roman"/>
                <w:b/>
                <w:bCs/>
                <w:color w:val="auto"/>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color w:val="auto"/>
                <w:sz w:val="24"/>
                <w:szCs w:val="24"/>
                <w:lang w:val="en-US"/>
              </w:rPr>
            </w:pPr>
            <w:r>
              <w:rPr>
                <w:rFonts w:hint="eastAsia" w:ascii="Times New Roman" w:hAnsi="Times New Roman"/>
                <w:color w:val="auto"/>
                <w:sz w:val="24"/>
                <w:szCs w:val="24"/>
                <w:lang w:val="en-US"/>
              </w:rPr>
              <w:t>备注</w:t>
            </w:r>
          </w:p>
        </w:tc>
        <w:tc>
          <w:tcPr>
            <w:tcW w:w="4127" w:type="pct"/>
            <w:gridSpan w:val="2"/>
            <w:tcBorders>
              <w:tl2br w:val="nil"/>
              <w:tr2bl w:val="nil"/>
            </w:tcBorders>
            <w:vAlign w:val="center"/>
          </w:tcPr>
          <w:p>
            <w:pPr>
              <w:pStyle w:val="12"/>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b w:val="0"/>
                <w:bCs w:val="0"/>
                <w:color w:val="auto"/>
                <w:lang w:val="en-US"/>
              </w:rPr>
            </w:pPr>
            <w:r>
              <w:rPr>
                <w:rFonts w:hint="eastAsia" w:ascii="Times New Roman" w:hAnsi="Times New Roman"/>
                <w:b w:val="0"/>
                <w:bCs w:val="0"/>
                <w:color w:val="auto"/>
                <w:lang w:val="en-US"/>
              </w:rPr>
              <w:t>“</w:t>
            </w:r>
            <w:r>
              <w:rPr>
                <w:rFonts w:ascii="Times New Roman" w:hAnsi="Times New Roman"/>
                <w:b w:val="0"/>
                <w:bCs w:val="0"/>
                <w:color w:val="auto"/>
                <w:lang w:val="en-US"/>
              </w:rPr>
              <w:t>L</w:t>
            </w:r>
            <w:r>
              <w:rPr>
                <w:rFonts w:hint="eastAsia" w:ascii="Times New Roman" w:hAnsi="Times New Roman"/>
                <w:b w:val="0"/>
                <w:bCs w:val="0"/>
                <w:color w:val="auto"/>
                <w:lang w:val="en-US"/>
              </w:rPr>
              <w:t>”表示未检出，检测结果低于方法检出限以</w:t>
            </w:r>
            <w:r>
              <w:rPr>
                <w:rFonts w:ascii="Times New Roman" w:hAnsi="Times New Roman"/>
                <w:b w:val="0"/>
                <w:bCs w:val="0"/>
                <w:color w:val="auto"/>
                <w:lang w:val="en-US"/>
              </w:rPr>
              <w:t>L</w:t>
            </w:r>
            <w:r>
              <w:rPr>
                <w:rFonts w:hint="eastAsia" w:ascii="Times New Roman" w:hAnsi="Times New Roman"/>
                <w:b w:val="0"/>
                <w:bCs w:val="0"/>
                <w:color w:val="auto"/>
                <w:lang w:val="en-US"/>
              </w:rPr>
              <w:t>或未检出表示</w:t>
            </w:r>
          </w:p>
        </w:tc>
      </w:tr>
      <w:bookmarkEnd w:id="168"/>
      <w:bookmarkEnd w:id="169"/>
    </w:tbl>
    <w:p>
      <w:pPr>
        <w:pStyle w:val="104"/>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ascii="Times New Roman" w:hAnsi="Times New Roman"/>
          <w:color w:val="auto"/>
          <w:szCs w:val="24"/>
        </w:rPr>
      </w:pPr>
      <w:r>
        <w:rPr>
          <w:rFonts w:hint="eastAsia" w:ascii="Times New Roman" w:hAnsi="Times New Roman"/>
          <w:color w:val="auto"/>
          <w:szCs w:val="20"/>
        </w:rPr>
        <w:t>表9.</w:t>
      </w:r>
      <w:r>
        <w:rPr>
          <w:rFonts w:hint="eastAsia" w:ascii="Times New Roman" w:hAnsi="Times New Roman"/>
          <w:color w:val="auto"/>
          <w:szCs w:val="20"/>
          <w:lang w:val="en-US" w:eastAsia="zh-CN"/>
        </w:rPr>
        <w:t>1</w:t>
      </w:r>
      <w:r>
        <w:rPr>
          <w:rFonts w:hint="eastAsia" w:ascii="Times New Roman" w:hAnsi="Times New Roman"/>
          <w:color w:val="auto"/>
          <w:szCs w:val="20"/>
        </w:rPr>
        <w:t>-</w:t>
      </w:r>
      <w:r>
        <w:rPr>
          <w:rFonts w:hint="eastAsia" w:ascii="Times New Roman" w:hAnsi="Times New Roman"/>
          <w:color w:val="auto"/>
          <w:szCs w:val="20"/>
          <w:lang w:val="en-US" w:eastAsia="zh-CN"/>
        </w:rPr>
        <w:t>2</w:t>
      </w:r>
      <w:r>
        <w:rPr>
          <w:rFonts w:hint="eastAsia" w:ascii="Times New Roman" w:hAnsi="Times New Roman"/>
          <w:color w:val="auto"/>
          <w:szCs w:val="20"/>
        </w:rPr>
        <w:t>监测结果表明：</w:t>
      </w:r>
      <w:r>
        <w:rPr>
          <w:rFonts w:hint="eastAsia" w:ascii="Times New Roman" w:hAnsi="Times New Roman"/>
          <w:color w:val="auto"/>
          <w:szCs w:val="24"/>
        </w:rPr>
        <w:t>验收监测期间，厂界</w:t>
      </w:r>
      <w:r>
        <w:rPr>
          <w:rFonts w:hint="eastAsia" w:ascii="Times New Roman" w:hAnsi="Times New Roman"/>
          <w:color w:val="auto"/>
          <w:szCs w:val="24"/>
          <w:lang w:eastAsia="zh-CN"/>
        </w:rPr>
        <w:t>颗粒物</w:t>
      </w:r>
      <w:r>
        <w:rPr>
          <w:rFonts w:hint="eastAsia" w:ascii="Times New Roman" w:hAnsi="Times New Roman"/>
          <w:color w:val="auto"/>
          <w:szCs w:val="24"/>
        </w:rPr>
        <w:t>无组织排放浓度最大值为0.</w:t>
      </w:r>
      <w:r>
        <w:rPr>
          <w:rFonts w:hint="eastAsia" w:ascii="Times New Roman" w:hAnsi="Times New Roman"/>
          <w:color w:val="auto"/>
          <w:szCs w:val="24"/>
          <w:lang w:val="en-US" w:eastAsia="zh-CN"/>
        </w:rPr>
        <w:t>255</w:t>
      </w:r>
      <w:r>
        <w:rPr>
          <w:rFonts w:ascii="Times New Roman" w:hAnsi="Times New Roman"/>
          <w:color w:val="auto"/>
          <w:szCs w:val="24"/>
        </w:rPr>
        <w:t>mg/m</w:t>
      </w:r>
      <w:r>
        <w:rPr>
          <w:rFonts w:ascii="Times New Roman" w:hAnsi="Times New Roman"/>
          <w:color w:val="auto"/>
          <w:szCs w:val="24"/>
          <w:vertAlign w:val="superscript"/>
        </w:rPr>
        <w:t>3</w:t>
      </w:r>
      <w:r>
        <w:rPr>
          <w:rFonts w:hint="eastAsia" w:ascii="Times New Roman" w:hAnsi="Times New Roman"/>
          <w:color w:val="auto"/>
          <w:szCs w:val="24"/>
        </w:rPr>
        <w:t>，</w:t>
      </w:r>
      <w:r>
        <w:rPr>
          <w:rFonts w:hint="eastAsia" w:ascii="Times New Roman" w:hAnsi="Times New Roman"/>
          <w:color w:val="auto"/>
        </w:rPr>
        <w:t>监测结果符合</w:t>
      </w:r>
      <w:r>
        <w:rPr>
          <w:rFonts w:hint="eastAsia" w:ascii="Times New Roman" w:hAnsi="Times New Roman" w:eastAsia="宋体" w:cs="宋体"/>
          <w:color w:val="auto"/>
          <w:sz w:val="24"/>
          <w:szCs w:val="24"/>
        </w:rPr>
        <w:t>《大气污染物综合排放标准》（GB16297-1996）表2中</w:t>
      </w:r>
      <w:r>
        <w:rPr>
          <w:rFonts w:hint="eastAsia" w:ascii="Times New Roman" w:hAnsi="Times New Roman" w:eastAsia="宋体" w:cs="宋体"/>
          <w:color w:val="auto"/>
          <w:sz w:val="24"/>
          <w:szCs w:val="24"/>
          <w:lang w:eastAsia="zh-CN"/>
        </w:rPr>
        <w:t>无组织排放监控浓度限值标准。</w:t>
      </w:r>
    </w:p>
    <w:p>
      <w:pPr>
        <w:pStyle w:val="6"/>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color w:val="auto"/>
          <w:lang w:eastAsia="zh-CN"/>
        </w:rPr>
      </w:pPr>
      <w:bookmarkStart w:id="170" w:name="_Toc493"/>
      <w:r>
        <w:rPr>
          <w:rFonts w:hint="eastAsia" w:ascii="Times New Roman" w:hAnsi="Times New Roman"/>
          <w:color w:val="auto"/>
          <w:lang w:val="en-US" w:eastAsia="zh-CN"/>
        </w:rPr>
        <w:t>9.2</w:t>
      </w:r>
      <w:r>
        <w:rPr>
          <w:rFonts w:hint="eastAsia" w:ascii="Times New Roman" w:hAnsi="Times New Roman"/>
          <w:color w:val="auto"/>
          <w:lang w:eastAsia="zh-CN"/>
        </w:rPr>
        <w:t>厂界噪声监测结果</w:t>
      </w:r>
      <w:bookmarkEnd w:id="170"/>
    </w:p>
    <w:p>
      <w:pPr>
        <w:pageBreakBefore w:val="0"/>
        <w:widowControl w:val="0"/>
        <w:kinsoku/>
        <w:wordWrap/>
        <w:overflowPunct/>
        <w:topLinePunct w:val="0"/>
        <w:autoSpaceDE/>
        <w:autoSpaceDN/>
        <w:bidi w:val="0"/>
        <w:adjustRightInd/>
        <w:snapToGrid/>
        <w:spacing w:line="360" w:lineRule="auto"/>
        <w:ind w:firstLine="482"/>
        <w:textAlignment w:val="auto"/>
        <w:rPr>
          <w:rFonts w:ascii="Times New Roman" w:hAnsi="Times New Roman" w:cs="Times New Roman"/>
          <w:b/>
          <w:color w:val="auto"/>
          <w:szCs w:val="21"/>
        </w:rPr>
      </w:pPr>
      <w:r>
        <w:rPr>
          <w:rFonts w:hint="eastAsia" w:ascii="Times New Roman" w:hAnsi="Times New Roman" w:eastAsia="宋体" w:cs="Times New Roman"/>
          <w:color w:val="auto"/>
          <w:sz w:val="24"/>
          <w:szCs w:val="24"/>
        </w:rPr>
        <w:t>厂界噪声监测结果详见表9.2-</w:t>
      </w:r>
      <w:r>
        <w:rPr>
          <w:rFonts w:hint="eastAsia" w:ascii="Times New Roman" w:hAnsi="Times New Roman" w:eastAsia="宋体" w:cs="Times New Roman"/>
          <w:color w:val="auto"/>
          <w:sz w:val="24"/>
          <w:szCs w:val="24"/>
          <w:lang w:val="en-US" w:eastAsia="zh-CN"/>
        </w:rPr>
        <w:t>1。</w:t>
      </w:r>
    </w:p>
    <w:p>
      <w:pPr>
        <w:pageBreakBefore w:val="0"/>
        <w:widowControl w:val="0"/>
        <w:kinsoku/>
        <w:wordWrap/>
        <w:overflowPunct/>
        <w:topLinePunct w:val="0"/>
        <w:autoSpaceDE/>
        <w:autoSpaceDN/>
        <w:bidi w:val="0"/>
        <w:adjustRightInd/>
        <w:snapToGrid/>
        <w:spacing w:line="360" w:lineRule="auto"/>
        <w:jc w:val="right"/>
        <w:textAlignment w:val="auto"/>
        <w:rPr>
          <w:rFonts w:ascii="Times New Roman" w:hAnsi="Times New Roman" w:eastAsia="宋体" w:cs="宋体"/>
          <w:color w:val="auto"/>
          <w:kern w:val="0"/>
          <w:szCs w:val="21"/>
        </w:rPr>
      </w:pPr>
      <w:r>
        <w:rPr>
          <w:rFonts w:hint="eastAsia" w:ascii="Times New Roman" w:hAnsi="Times New Roman" w:cs="Times New Roman"/>
          <w:b/>
          <w:color w:val="auto"/>
          <w:szCs w:val="21"/>
        </w:rPr>
        <w:t>表9.2-</w:t>
      </w:r>
      <w:r>
        <w:rPr>
          <w:rFonts w:hint="eastAsia" w:ascii="Times New Roman" w:hAnsi="Times New Roman" w:cs="Times New Roman"/>
          <w:b/>
          <w:color w:val="auto"/>
          <w:szCs w:val="21"/>
          <w:lang w:val="en-US" w:eastAsia="zh-CN"/>
        </w:rPr>
        <w:t>1</w:t>
      </w:r>
      <w:r>
        <w:rPr>
          <w:rFonts w:hint="eastAsia" w:ascii="Times New Roman" w:hAnsi="Times New Roman" w:cs="Times New Roman"/>
          <w:b/>
          <w:color w:val="auto"/>
          <w:szCs w:val="21"/>
        </w:rPr>
        <w:t xml:space="preserve"> </w:t>
      </w:r>
      <w:r>
        <w:rPr>
          <w:rFonts w:hint="eastAsia" w:ascii="Times New Roman" w:hAnsi="Times New Roman" w:cs="Times New Roman"/>
          <w:b/>
          <w:color w:val="auto"/>
          <w:szCs w:val="21"/>
          <w:lang w:val="en-US" w:eastAsia="zh-CN"/>
        </w:rPr>
        <w:t xml:space="preserve"> </w:t>
      </w:r>
      <w:r>
        <w:rPr>
          <w:rFonts w:hint="eastAsia" w:ascii="Times New Roman" w:hAnsi="Times New Roman" w:cs="Times New Roman"/>
          <w:b/>
          <w:color w:val="auto"/>
          <w:szCs w:val="21"/>
        </w:rPr>
        <w:t xml:space="preserve">噪声监测结果表           </w:t>
      </w:r>
      <w:r>
        <w:rPr>
          <w:rFonts w:ascii="Times New Roman" w:hAnsi="Times New Roman" w:cs="Times New Roman"/>
          <w:b/>
          <w:color w:val="auto"/>
          <w:szCs w:val="21"/>
        </w:rPr>
        <w:t>（单位：</w:t>
      </w:r>
      <w:r>
        <w:rPr>
          <w:rFonts w:hint="eastAsia" w:ascii="Times New Roman" w:hAnsi="Times New Roman" w:cs="Times New Roman"/>
          <w:b/>
          <w:color w:val="auto"/>
          <w:szCs w:val="21"/>
        </w:rPr>
        <w:t>dB(A)）</w:t>
      </w:r>
      <w:bookmarkStart w:id="171" w:name="_Toc507454895"/>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184"/>
        <w:gridCol w:w="2364"/>
        <w:gridCol w:w="1465"/>
        <w:gridCol w:w="1465"/>
        <w:gridCol w:w="1461"/>
        <w:gridCol w:w="1461"/>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30" w:type="pct"/>
            <w:vMerge w:val="restart"/>
            <w:vAlign w:val="center"/>
          </w:tcPr>
          <w:p>
            <w:pPr>
              <w:jc w:val="center"/>
              <w:rPr>
                <w:rFonts w:ascii="Times New Roman" w:hAnsi="Times New Roman"/>
                <w:b/>
                <w:color w:val="auto"/>
                <w:szCs w:val="21"/>
              </w:rPr>
            </w:pPr>
            <w:r>
              <w:rPr>
                <w:rFonts w:ascii="Times New Roman" w:hAnsi="Times New Roman"/>
                <w:b/>
                <w:color w:val="auto"/>
                <w:szCs w:val="21"/>
              </w:rPr>
              <w:t>点位</w:t>
            </w:r>
          </w:p>
          <w:p>
            <w:pPr>
              <w:jc w:val="center"/>
              <w:rPr>
                <w:rFonts w:ascii="Times New Roman" w:hAnsi="Times New Roman"/>
                <w:b/>
                <w:color w:val="auto"/>
                <w:szCs w:val="21"/>
              </w:rPr>
            </w:pPr>
            <w:r>
              <w:rPr>
                <w:rFonts w:ascii="Times New Roman" w:hAnsi="Times New Roman"/>
                <w:b/>
                <w:color w:val="auto"/>
                <w:szCs w:val="21"/>
              </w:rPr>
              <w:t>编号</w:t>
            </w:r>
          </w:p>
        </w:tc>
        <w:tc>
          <w:tcPr>
            <w:tcW w:w="1256" w:type="pct"/>
            <w:vMerge w:val="restart"/>
            <w:vAlign w:val="center"/>
          </w:tcPr>
          <w:p>
            <w:pPr>
              <w:jc w:val="center"/>
              <w:rPr>
                <w:rFonts w:ascii="Times New Roman" w:hAnsi="Times New Roman"/>
                <w:b/>
                <w:color w:val="auto"/>
                <w:szCs w:val="21"/>
              </w:rPr>
            </w:pPr>
            <w:r>
              <w:rPr>
                <w:rFonts w:ascii="Times New Roman" w:hAnsi="Times New Roman"/>
                <w:b/>
                <w:color w:val="auto"/>
                <w:szCs w:val="21"/>
              </w:rPr>
              <w:t>检测点位</w:t>
            </w:r>
          </w:p>
        </w:tc>
        <w:tc>
          <w:tcPr>
            <w:tcW w:w="1558" w:type="pct"/>
            <w:gridSpan w:val="2"/>
            <w:vAlign w:val="center"/>
          </w:tcPr>
          <w:p>
            <w:pPr>
              <w:jc w:val="center"/>
              <w:rPr>
                <w:rFonts w:hint="default" w:ascii="Times New Roman" w:hAnsi="Times New Roman" w:eastAsiaTheme="minorEastAsia"/>
                <w:b/>
                <w:color w:val="auto"/>
                <w:szCs w:val="21"/>
                <w:lang w:val="en-US" w:eastAsia="zh-CN"/>
              </w:rPr>
            </w:pPr>
            <w:r>
              <w:rPr>
                <w:rFonts w:hint="eastAsia" w:ascii="Times New Roman" w:hAnsi="Times New Roman"/>
                <w:b/>
                <w:color w:val="auto"/>
                <w:szCs w:val="21"/>
              </w:rPr>
              <w:t>2020.</w:t>
            </w:r>
            <w:r>
              <w:rPr>
                <w:rFonts w:hint="eastAsia" w:ascii="Times New Roman" w:hAnsi="Times New Roman"/>
                <w:b/>
                <w:color w:val="auto"/>
                <w:szCs w:val="21"/>
                <w:lang w:val="en-US" w:eastAsia="zh-CN"/>
              </w:rPr>
              <w:t>10</w:t>
            </w:r>
            <w:r>
              <w:rPr>
                <w:rFonts w:hint="eastAsia" w:ascii="Times New Roman" w:hAnsi="Times New Roman"/>
                <w:b/>
                <w:color w:val="auto"/>
                <w:szCs w:val="21"/>
              </w:rPr>
              <w:t>.</w:t>
            </w:r>
            <w:r>
              <w:rPr>
                <w:rFonts w:hint="eastAsia" w:ascii="Times New Roman" w:hAnsi="Times New Roman"/>
                <w:b/>
                <w:color w:val="auto"/>
                <w:szCs w:val="21"/>
                <w:lang w:val="en-US" w:eastAsia="zh-CN"/>
              </w:rPr>
              <w:t>23</w:t>
            </w:r>
          </w:p>
        </w:tc>
        <w:tc>
          <w:tcPr>
            <w:tcW w:w="1554" w:type="pct"/>
            <w:gridSpan w:val="2"/>
            <w:vAlign w:val="center"/>
          </w:tcPr>
          <w:p>
            <w:pPr>
              <w:jc w:val="center"/>
              <w:rPr>
                <w:rFonts w:hint="default" w:ascii="Times New Roman" w:hAnsi="Times New Roman" w:eastAsiaTheme="minorEastAsia"/>
                <w:b/>
                <w:color w:val="auto"/>
                <w:szCs w:val="21"/>
                <w:lang w:val="en-US" w:eastAsia="zh-CN"/>
              </w:rPr>
            </w:pPr>
            <w:r>
              <w:rPr>
                <w:rFonts w:hint="eastAsia" w:ascii="Times New Roman" w:hAnsi="Times New Roman"/>
                <w:b/>
                <w:color w:val="auto"/>
                <w:szCs w:val="21"/>
              </w:rPr>
              <w:t>2020.</w:t>
            </w:r>
            <w:r>
              <w:rPr>
                <w:rFonts w:hint="eastAsia" w:ascii="Times New Roman" w:hAnsi="Times New Roman"/>
                <w:b/>
                <w:color w:val="auto"/>
                <w:szCs w:val="21"/>
                <w:lang w:val="en-US" w:eastAsia="zh-CN"/>
              </w:rPr>
              <w:t>10</w:t>
            </w:r>
            <w:r>
              <w:rPr>
                <w:rFonts w:hint="eastAsia" w:ascii="Times New Roman" w:hAnsi="Times New Roman"/>
                <w:b/>
                <w:color w:val="auto"/>
                <w:szCs w:val="21"/>
              </w:rPr>
              <w:t>.</w:t>
            </w:r>
            <w:r>
              <w:rPr>
                <w:rFonts w:hint="eastAsia" w:ascii="Times New Roman" w:hAnsi="Times New Roman"/>
                <w:b/>
                <w:color w:val="auto"/>
                <w:szCs w:val="21"/>
                <w:lang w:val="en-US" w:eastAsia="zh-CN"/>
              </w:rPr>
              <w:t>24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30" w:type="pct"/>
            <w:vMerge w:val="continue"/>
            <w:vAlign w:val="center"/>
          </w:tcPr>
          <w:p>
            <w:pPr>
              <w:jc w:val="center"/>
              <w:rPr>
                <w:rFonts w:ascii="Times New Roman" w:hAnsi="Times New Roman"/>
                <w:b/>
                <w:color w:val="auto"/>
                <w:szCs w:val="21"/>
              </w:rPr>
            </w:pPr>
          </w:p>
        </w:tc>
        <w:tc>
          <w:tcPr>
            <w:tcW w:w="1256" w:type="pct"/>
            <w:vMerge w:val="continue"/>
            <w:vAlign w:val="center"/>
          </w:tcPr>
          <w:p>
            <w:pPr>
              <w:jc w:val="center"/>
              <w:rPr>
                <w:rFonts w:ascii="Times New Roman" w:hAnsi="Times New Roman"/>
                <w:b/>
                <w:color w:val="auto"/>
                <w:szCs w:val="21"/>
              </w:rPr>
            </w:pPr>
          </w:p>
        </w:tc>
        <w:tc>
          <w:tcPr>
            <w:tcW w:w="779" w:type="pct"/>
            <w:vAlign w:val="center"/>
          </w:tcPr>
          <w:p>
            <w:pPr>
              <w:jc w:val="center"/>
              <w:rPr>
                <w:rFonts w:ascii="Times New Roman" w:hAnsi="Times New Roman"/>
                <w:b/>
                <w:color w:val="auto"/>
                <w:szCs w:val="21"/>
              </w:rPr>
            </w:pPr>
            <w:r>
              <w:rPr>
                <w:rFonts w:ascii="Times New Roman" w:hAnsi="Times New Roman"/>
                <w:b/>
                <w:color w:val="auto"/>
                <w:szCs w:val="21"/>
              </w:rPr>
              <w:t>昼间Leq</w:t>
            </w:r>
          </w:p>
        </w:tc>
        <w:tc>
          <w:tcPr>
            <w:tcW w:w="779" w:type="pct"/>
            <w:vAlign w:val="center"/>
          </w:tcPr>
          <w:p>
            <w:pPr>
              <w:jc w:val="center"/>
              <w:rPr>
                <w:rFonts w:ascii="Times New Roman" w:hAnsi="Times New Roman"/>
                <w:b/>
                <w:color w:val="auto"/>
                <w:szCs w:val="21"/>
              </w:rPr>
            </w:pPr>
            <w:r>
              <w:rPr>
                <w:rFonts w:hint="eastAsia" w:ascii="Times New Roman" w:hAnsi="Times New Roman"/>
                <w:b/>
                <w:color w:val="auto"/>
                <w:szCs w:val="21"/>
              </w:rPr>
              <w:t>夜</w:t>
            </w:r>
            <w:r>
              <w:rPr>
                <w:rFonts w:ascii="Times New Roman" w:hAnsi="Times New Roman"/>
                <w:b/>
                <w:color w:val="auto"/>
                <w:szCs w:val="21"/>
              </w:rPr>
              <w:t>间Leq</w:t>
            </w:r>
          </w:p>
        </w:tc>
        <w:tc>
          <w:tcPr>
            <w:tcW w:w="777" w:type="pct"/>
            <w:vAlign w:val="center"/>
          </w:tcPr>
          <w:p>
            <w:pPr>
              <w:jc w:val="center"/>
              <w:rPr>
                <w:rFonts w:ascii="Times New Roman" w:hAnsi="Times New Roman"/>
                <w:b/>
                <w:color w:val="auto"/>
                <w:szCs w:val="21"/>
              </w:rPr>
            </w:pPr>
            <w:r>
              <w:rPr>
                <w:rFonts w:ascii="Times New Roman" w:hAnsi="Times New Roman"/>
                <w:b/>
                <w:color w:val="auto"/>
                <w:szCs w:val="21"/>
              </w:rPr>
              <w:t>昼间Leq</w:t>
            </w:r>
          </w:p>
        </w:tc>
        <w:tc>
          <w:tcPr>
            <w:tcW w:w="777" w:type="pct"/>
            <w:vAlign w:val="center"/>
          </w:tcPr>
          <w:p>
            <w:pPr>
              <w:jc w:val="center"/>
              <w:rPr>
                <w:rFonts w:ascii="Times New Roman" w:hAnsi="Times New Roman"/>
                <w:b/>
                <w:color w:val="auto"/>
                <w:szCs w:val="21"/>
              </w:rPr>
            </w:pPr>
            <w:r>
              <w:rPr>
                <w:rFonts w:hint="eastAsia" w:ascii="Times New Roman" w:hAnsi="Times New Roman"/>
                <w:b/>
                <w:color w:val="auto"/>
                <w:szCs w:val="21"/>
              </w:rPr>
              <w:t>夜</w:t>
            </w:r>
            <w:r>
              <w:rPr>
                <w:rFonts w:ascii="Times New Roman" w:hAnsi="Times New Roman"/>
                <w:b/>
                <w:color w:val="auto"/>
                <w:szCs w:val="21"/>
              </w:rPr>
              <w:t>间Leq</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30" w:type="pct"/>
            <w:shd w:val="clear" w:color="auto" w:fill="auto"/>
            <w:vAlign w:val="center"/>
          </w:tcPr>
          <w:p>
            <w:pPr>
              <w:adjustRightInd w:val="0"/>
              <w:snapToGrid w:val="0"/>
              <w:jc w:val="center"/>
              <w:rPr>
                <w:rFonts w:ascii="Times New Roman" w:hAnsi="Times New Roman"/>
                <w:color w:val="auto"/>
                <w:szCs w:val="21"/>
              </w:rPr>
            </w:pPr>
            <w:r>
              <w:rPr>
                <w:rFonts w:ascii="Times New Roman" w:hAnsi="Times New Roman"/>
                <w:color w:val="auto"/>
                <w:szCs w:val="21"/>
              </w:rPr>
              <w:t>N1</w:t>
            </w:r>
          </w:p>
        </w:tc>
        <w:tc>
          <w:tcPr>
            <w:tcW w:w="1256" w:type="pct"/>
            <w:shd w:val="clear" w:color="auto" w:fill="auto"/>
            <w:vAlign w:val="center"/>
          </w:tcPr>
          <w:p>
            <w:pPr>
              <w:jc w:val="center"/>
              <w:rPr>
                <w:rFonts w:ascii="Times New Roman" w:hAnsi="Times New Roman"/>
                <w:color w:val="auto"/>
                <w:szCs w:val="21"/>
              </w:rPr>
            </w:pPr>
            <w:r>
              <w:rPr>
                <w:rFonts w:hint="eastAsia" w:ascii="Times New Roman" w:hAnsi="Times New Roman"/>
                <w:color w:val="auto"/>
                <w:szCs w:val="21"/>
              </w:rPr>
              <w:t>项目区东厂界</w:t>
            </w:r>
          </w:p>
        </w:tc>
        <w:tc>
          <w:tcPr>
            <w:tcW w:w="779" w:type="pct"/>
            <w:vAlign w:val="center"/>
          </w:tcPr>
          <w:p>
            <w:pPr>
              <w:jc w:val="center"/>
              <w:rPr>
                <w:rFonts w:ascii="Times New Roman" w:hAnsi="Times New Roman" w:eastAsia="新宋体" w:cstheme="minorBidi"/>
                <w:color w:val="auto"/>
                <w:kern w:val="2"/>
                <w:sz w:val="21"/>
                <w:szCs w:val="21"/>
                <w:lang w:val="en-US" w:eastAsia="zh-CN" w:bidi="ar-SA"/>
              </w:rPr>
            </w:pPr>
            <w:r>
              <w:rPr>
                <w:rFonts w:ascii="Times New Roman" w:hAnsi="Times New Roman" w:eastAsia="新宋体"/>
                <w:color w:val="auto"/>
                <w:szCs w:val="21"/>
              </w:rPr>
              <w:t>54</w:t>
            </w:r>
          </w:p>
        </w:tc>
        <w:tc>
          <w:tcPr>
            <w:tcW w:w="779" w:type="pct"/>
            <w:vAlign w:val="center"/>
          </w:tcPr>
          <w:p>
            <w:pPr>
              <w:jc w:val="center"/>
              <w:rPr>
                <w:rFonts w:ascii="Times New Roman" w:hAnsi="Times New Roman" w:eastAsia="新宋体" w:cstheme="minorBidi"/>
                <w:color w:val="auto"/>
                <w:kern w:val="2"/>
                <w:sz w:val="21"/>
                <w:szCs w:val="21"/>
                <w:lang w:val="en-US" w:eastAsia="zh-CN" w:bidi="ar-SA"/>
              </w:rPr>
            </w:pPr>
            <w:r>
              <w:rPr>
                <w:rFonts w:ascii="Times New Roman" w:hAnsi="Times New Roman" w:eastAsia="新宋体"/>
                <w:color w:val="auto"/>
                <w:szCs w:val="21"/>
              </w:rPr>
              <w:t>45</w:t>
            </w:r>
          </w:p>
        </w:tc>
        <w:tc>
          <w:tcPr>
            <w:tcW w:w="777" w:type="pct"/>
            <w:vAlign w:val="center"/>
          </w:tcPr>
          <w:p>
            <w:pPr>
              <w:jc w:val="center"/>
              <w:rPr>
                <w:rFonts w:ascii="Times New Roman" w:hAnsi="Times New Roman" w:eastAsia="新宋体" w:cstheme="minorBidi"/>
                <w:color w:val="auto"/>
                <w:kern w:val="2"/>
                <w:sz w:val="21"/>
                <w:szCs w:val="21"/>
                <w:lang w:val="en-US" w:eastAsia="zh-CN" w:bidi="ar-SA"/>
              </w:rPr>
            </w:pPr>
            <w:r>
              <w:rPr>
                <w:rFonts w:ascii="Times New Roman" w:hAnsi="Times New Roman" w:eastAsia="新宋体"/>
                <w:color w:val="auto"/>
                <w:szCs w:val="21"/>
              </w:rPr>
              <w:t>55</w:t>
            </w:r>
          </w:p>
        </w:tc>
        <w:tc>
          <w:tcPr>
            <w:tcW w:w="777" w:type="pct"/>
            <w:vAlign w:val="center"/>
          </w:tcPr>
          <w:p>
            <w:pPr>
              <w:jc w:val="center"/>
              <w:rPr>
                <w:rFonts w:ascii="Times New Roman" w:hAnsi="Times New Roman" w:eastAsia="新宋体" w:cstheme="minorBidi"/>
                <w:color w:val="auto"/>
                <w:kern w:val="2"/>
                <w:sz w:val="21"/>
                <w:szCs w:val="21"/>
                <w:lang w:val="en-US" w:eastAsia="zh-CN" w:bidi="ar-SA"/>
              </w:rPr>
            </w:pPr>
            <w:r>
              <w:rPr>
                <w:rFonts w:ascii="Times New Roman" w:hAnsi="Times New Roman" w:eastAsia="新宋体"/>
                <w:color w:val="auto"/>
                <w:szCs w:val="21"/>
              </w:rPr>
              <w:t>45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30" w:type="pct"/>
            <w:shd w:val="clear" w:color="auto" w:fill="auto"/>
            <w:vAlign w:val="center"/>
          </w:tcPr>
          <w:p>
            <w:pPr>
              <w:adjustRightInd w:val="0"/>
              <w:snapToGrid w:val="0"/>
              <w:jc w:val="center"/>
              <w:rPr>
                <w:rFonts w:ascii="Times New Roman" w:hAnsi="Times New Roman"/>
                <w:color w:val="auto"/>
                <w:szCs w:val="21"/>
              </w:rPr>
            </w:pPr>
            <w:r>
              <w:rPr>
                <w:rFonts w:ascii="Times New Roman" w:hAnsi="Times New Roman"/>
                <w:color w:val="auto"/>
                <w:szCs w:val="21"/>
              </w:rPr>
              <w:t>N2</w:t>
            </w:r>
          </w:p>
        </w:tc>
        <w:tc>
          <w:tcPr>
            <w:tcW w:w="1256" w:type="pct"/>
            <w:shd w:val="clear" w:color="auto" w:fill="auto"/>
            <w:vAlign w:val="center"/>
          </w:tcPr>
          <w:p>
            <w:pPr>
              <w:jc w:val="center"/>
              <w:rPr>
                <w:rFonts w:ascii="Times New Roman" w:hAnsi="Times New Roman"/>
                <w:color w:val="auto"/>
                <w:szCs w:val="21"/>
              </w:rPr>
            </w:pPr>
            <w:r>
              <w:rPr>
                <w:rFonts w:hint="eastAsia" w:ascii="Times New Roman" w:hAnsi="Times New Roman"/>
                <w:color w:val="auto"/>
                <w:szCs w:val="21"/>
              </w:rPr>
              <w:t>项目区南厂界</w:t>
            </w:r>
          </w:p>
        </w:tc>
        <w:tc>
          <w:tcPr>
            <w:tcW w:w="779" w:type="pct"/>
            <w:vAlign w:val="center"/>
          </w:tcPr>
          <w:p>
            <w:pPr>
              <w:jc w:val="center"/>
              <w:rPr>
                <w:rFonts w:ascii="Times New Roman" w:hAnsi="Times New Roman" w:eastAsia="新宋体" w:cstheme="minorBidi"/>
                <w:color w:val="auto"/>
                <w:kern w:val="2"/>
                <w:sz w:val="21"/>
                <w:szCs w:val="21"/>
                <w:lang w:val="en-US" w:eastAsia="zh-CN" w:bidi="ar-SA"/>
              </w:rPr>
            </w:pPr>
            <w:r>
              <w:rPr>
                <w:rFonts w:ascii="Times New Roman" w:hAnsi="Times New Roman" w:eastAsia="新宋体"/>
                <w:color w:val="auto"/>
                <w:szCs w:val="21"/>
              </w:rPr>
              <w:t>55</w:t>
            </w:r>
          </w:p>
        </w:tc>
        <w:tc>
          <w:tcPr>
            <w:tcW w:w="779" w:type="pct"/>
            <w:vAlign w:val="center"/>
          </w:tcPr>
          <w:p>
            <w:pPr>
              <w:jc w:val="center"/>
              <w:rPr>
                <w:rFonts w:ascii="Times New Roman" w:hAnsi="Times New Roman" w:eastAsia="新宋体" w:cstheme="minorBidi"/>
                <w:color w:val="auto"/>
                <w:kern w:val="2"/>
                <w:sz w:val="21"/>
                <w:szCs w:val="21"/>
                <w:lang w:val="en-US" w:eastAsia="zh-CN" w:bidi="ar-SA"/>
              </w:rPr>
            </w:pPr>
            <w:r>
              <w:rPr>
                <w:rFonts w:ascii="Times New Roman" w:hAnsi="Times New Roman" w:eastAsia="新宋体"/>
                <w:color w:val="auto"/>
                <w:szCs w:val="21"/>
              </w:rPr>
              <w:t>46</w:t>
            </w:r>
          </w:p>
        </w:tc>
        <w:tc>
          <w:tcPr>
            <w:tcW w:w="777" w:type="pct"/>
            <w:vAlign w:val="center"/>
          </w:tcPr>
          <w:p>
            <w:pPr>
              <w:jc w:val="center"/>
              <w:rPr>
                <w:rFonts w:ascii="Times New Roman" w:hAnsi="Times New Roman" w:eastAsia="新宋体" w:cstheme="minorBidi"/>
                <w:color w:val="auto"/>
                <w:kern w:val="2"/>
                <w:sz w:val="21"/>
                <w:szCs w:val="21"/>
                <w:lang w:val="en-US" w:eastAsia="zh-CN" w:bidi="ar-SA"/>
              </w:rPr>
            </w:pPr>
            <w:r>
              <w:rPr>
                <w:rFonts w:ascii="Times New Roman" w:hAnsi="Times New Roman" w:eastAsia="新宋体"/>
                <w:color w:val="auto"/>
                <w:szCs w:val="21"/>
              </w:rPr>
              <w:t>54</w:t>
            </w:r>
          </w:p>
        </w:tc>
        <w:tc>
          <w:tcPr>
            <w:tcW w:w="777" w:type="pct"/>
            <w:vAlign w:val="center"/>
          </w:tcPr>
          <w:p>
            <w:pPr>
              <w:jc w:val="center"/>
              <w:rPr>
                <w:rFonts w:ascii="Times New Roman" w:hAnsi="Times New Roman" w:eastAsia="新宋体" w:cstheme="minorBidi"/>
                <w:color w:val="auto"/>
                <w:kern w:val="2"/>
                <w:sz w:val="21"/>
                <w:szCs w:val="21"/>
                <w:lang w:val="en-US" w:eastAsia="zh-CN" w:bidi="ar-SA"/>
              </w:rPr>
            </w:pPr>
            <w:r>
              <w:rPr>
                <w:rFonts w:ascii="Times New Roman" w:hAnsi="Times New Roman" w:eastAsia="新宋体"/>
                <w:color w:val="auto"/>
                <w:szCs w:val="21"/>
              </w:rPr>
              <w:t>45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30" w:type="pct"/>
            <w:shd w:val="clear" w:color="auto" w:fill="auto"/>
            <w:vAlign w:val="center"/>
          </w:tcPr>
          <w:p>
            <w:pPr>
              <w:adjustRightInd w:val="0"/>
              <w:snapToGrid w:val="0"/>
              <w:jc w:val="center"/>
              <w:rPr>
                <w:rFonts w:ascii="Times New Roman" w:hAnsi="Times New Roman"/>
                <w:color w:val="auto"/>
                <w:szCs w:val="21"/>
              </w:rPr>
            </w:pPr>
            <w:r>
              <w:rPr>
                <w:rFonts w:ascii="Times New Roman" w:hAnsi="Times New Roman"/>
                <w:color w:val="auto"/>
                <w:szCs w:val="21"/>
              </w:rPr>
              <w:t>N3</w:t>
            </w:r>
          </w:p>
        </w:tc>
        <w:tc>
          <w:tcPr>
            <w:tcW w:w="1256" w:type="pct"/>
            <w:shd w:val="clear" w:color="auto" w:fill="auto"/>
            <w:vAlign w:val="center"/>
          </w:tcPr>
          <w:p>
            <w:pPr>
              <w:jc w:val="center"/>
              <w:rPr>
                <w:rFonts w:ascii="Times New Roman" w:hAnsi="Times New Roman"/>
                <w:color w:val="auto"/>
                <w:szCs w:val="21"/>
              </w:rPr>
            </w:pPr>
            <w:r>
              <w:rPr>
                <w:rFonts w:hint="eastAsia" w:ascii="Times New Roman" w:hAnsi="Times New Roman"/>
                <w:color w:val="auto"/>
                <w:szCs w:val="21"/>
              </w:rPr>
              <w:t>项目区西厂界</w:t>
            </w:r>
          </w:p>
        </w:tc>
        <w:tc>
          <w:tcPr>
            <w:tcW w:w="779" w:type="pct"/>
            <w:vAlign w:val="center"/>
          </w:tcPr>
          <w:p>
            <w:pPr>
              <w:jc w:val="center"/>
              <w:rPr>
                <w:rFonts w:ascii="Times New Roman" w:hAnsi="Times New Roman" w:eastAsia="新宋体" w:cstheme="minorBidi"/>
                <w:color w:val="auto"/>
                <w:kern w:val="2"/>
                <w:sz w:val="21"/>
                <w:szCs w:val="21"/>
                <w:lang w:val="en-US" w:eastAsia="zh-CN" w:bidi="ar-SA"/>
              </w:rPr>
            </w:pPr>
            <w:r>
              <w:rPr>
                <w:rFonts w:ascii="Times New Roman" w:hAnsi="Times New Roman" w:eastAsia="新宋体"/>
                <w:color w:val="auto"/>
                <w:szCs w:val="21"/>
              </w:rPr>
              <w:t>55</w:t>
            </w:r>
          </w:p>
        </w:tc>
        <w:tc>
          <w:tcPr>
            <w:tcW w:w="779" w:type="pct"/>
            <w:vAlign w:val="center"/>
          </w:tcPr>
          <w:p>
            <w:pPr>
              <w:jc w:val="center"/>
              <w:rPr>
                <w:rFonts w:ascii="Times New Roman" w:hAnsi="Times New Roman" w:eastAsia="新宋体" w:cstheme="minorBidi"/>
                <w:color w:val="auto"/>
                <w:kern w:val="2"/>
                <w:sz w:val="21"/>
                <w:szCs w:val="21"/>
                <w:lang w:val="en-US" w:eastAsia="zh-CN" w:bidi="ar-SA"/>
              </w:rPr>
            </w:pPr>
            <w:r>
              <w:rPr>
                <w:rFonts w:ascii="Times New Roman" w:hAnsi="Times New Roman" w:eastAsia="新宋体"/>
                <w:color w:val="auto"/>
                <w:szCs w:val="21"/>
              </w:rPr>
              <w:t>44</w:t>
            </w:r>
          </w:p>
        </w:tc>
        <w:tc>
          <w:tcPr>
            <w:tcW w:w="777" w:type="pct"/>
            <w:vAlign w:val="center"/>
          </w:tcPr>
          <w:p>
            <w:pPr>
              <w:jc w:val="center"/>
              <w:rPr>
                <w:rFonts w:ascii="Times New Roman" w:hAnsi="Times New Roman" w:eastAsia="新宋体" w:cstheme="minorBidi"/>
                <w:color w:val="auto"/>
                <w:kern w:val="2"/>
                <w:sz w:val="21"/>
                <w:szCs w:val="21"/>
                <w:lang w:val="en-US" w:eastAsia="zh-CN" w:bidi="ar-SA"/>
              </w:rPr>
            </w:pPr>
            <w:r>
              <w:rPr>
                <w:rFonts w:ascii="Times New Roman" w:hAnsi="Times New Roman" w:eastAsia="新宋体"/>
                <w:color w:val="auto"/>
                <w:szCs w:val="21"/>
              </w:rPr>
              <w:t>53</w:t>
            </w:r>
          </w:p>
        </w:tc>
        <w:tc>
          <w:tcPr>
            <w:tcW w:w="777" w:type="pct"/>
            <w:vAlign w:val="center"/>
          </w:tcPr>
          <w:p>
            <w:pPr>
              <w:jc w:val="center"/>
              <w:rPr>
                <w:rFonts w:ascii="Times New Roman" w:hAnsi="Times New Roman" w:eastAsia="新宋体" w:cstheme="minorBidi"/>
                <w:color w:val="auto"/>
                <w:kern w:val="2"/>
                <w:sz w:val="21"/>
                <w:szCs w:val="21"/>
                <w:lang w:val="en-US" w:eastAsia="zh-CN" w:bidi="ar-SA"/>
              </w:rPr>
            </w:pPr>
            <w:r>
              <w:rPr>
                <w:rFonts w:ascii="Times New Roman" w:hAnsi="Times New Roman" w:eastAsia="新宋体"/>
                <w:color w:val="auto"/>
                <w:szCs w:val="21"/>
              </w:rPr>
              <w:t>43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30" w:type="pct"/>
            <w:shd w:val="clear" w:color="auto" w:fill="auto"/>
            <w:vAlign w:val="center"/>
          </w:tcPr>
          <w:p>
            <w:pPr>
              <w:adjustRightInd w:val="0"/>
              <w:snapToGrid w:val="0"/>
              <w:jc w:val="center"/>
              <w:rPr>
                <w:rFonts w:ascii="Times New Roman" w:hAnsi="Times New Roman"/>
                <w:color w:val="auto"/>
                <w:szCs w:val="21"/>
              </w:rPr>
            </w:pPr>
            <w:r>
              <w:rPr>
                <w:rFonts w:ascii="Times New Roman" w:hAnsi="Times New Roman"/>
                <w:color w:val="auto"/>
                <w:szCs w:val="21"/>
              </w:rPr>
              <w:t>N</w:t>
            </w:r>
            <w:r>
              <w:rPr>
                <w:rFonts w:hint="eastAsia" w:ascii="Times New Roman" w:hAnsi="Times New Roman"/>
                <w:color w:val="auto"/>
                <w:szCs w:val="21"/>
              </w:rPr>
              <w:t>4</w:t>
            </w:r>
          </w:p>
        </w:tc>
        <w:tc>
          <w:tcPr>
            <w:tcW w:w="1256" w:type="pct"/>
            <w:shd w:val="clear" w:color="auto" w:fill="auto"/>
            <w:vAlign w:val="center"/>
          </w:tcPr>
          <w:p>
            <w:pPr>
              <w:jc w:val="center"/>
              <w:rPr>
                <w:rFonts w:ascii="Times New Roman" w:hAnsi="Times New Roman"/>
                <w:b/>
                <w:bCs/>
                <w:color w:val="auto"/>
                <w:szCs w:val="21"/>
              </w:rPr>
            </w:pPr>
            <w:r>
              <w:rPr>
                <w:rFonts w:hint="eastAsia" w:ascii="Times New Roman" w:hAnsi="Times New Roman"/>
                <w:color w:val="auto"/>
                <w:szCs w:val="21"/>
              </w:rPr>
              <w:t>项目区北厂界</w:t>
            </w:r>
          </w:p>
        </w:tc>
        <w:tc>
          <w:tcPr>
            <w:tcW w:w="779" w:type="pct"/>
            <w:vAlign w:val="center"/>
          </w:tcPr>
          <w:p>
            <w:pPr>
              <w:jc w:val="center"/>
              <w:rPr>
                <w:rFonts w:ascii="Times New Roman" w:hAnsi="Times New Roman" w:eastAsia="新宋体" w:cstheme="minorBidi"/>
                <w:color w:val="auto"/>
                <w:kern w:val="2"/>
                <w:sz w:val="21"/>
                <w:szCs w:val="21"/>
                <w:lang w:val="en-US" w:eastAsia="zh-CN" w:bidi="ar-SA"/>
              </w:rPr>
            </w:pPr>
            <w:r>
              <w:rPr>
                <w:rFonts w:ascii="Times New Roman" w:hAnsi="Times New Roman" w:eastAsia="新宋体"/>
                <w:color w:val="auto"/>
                <w:szCs w:val="21"/>
              </w:rPr>
              <w:t>53</w:t>
            </w:r>
          </w:p>
        </w:tc>
        <w:tc>
          <w:tcPr>
            <w:tcW w:w="779" w:type="pct"/>
            <w:vAlign w:val="center"/>
          </w:tcPr>
          <w:p>
            <w:pPr>
              <w:jc w:val="center"/>
              <w:rPr>
                <w:rFonts w:ascii="Times New Roman" w:hAnsi="Times New Roman" w:eastAsia="新宋体" w:cstheme="minorBidi"/>
                <w:color w:val="auto"/>
                <w:kern w:val="2"/>
                <w:sz w:val="21"/>
                <w:szCs w:val="21"/>
                <w:lang w:val="en-US" w:eastAsia="zh-CN" w:bidi="ar-SA"/>
              </w:rPr>
            </w:pPr>
            <w:r>
              <w:rPr>
                <w:rFonts w:ascii="Times New Roman" w:hAnsi="Times New Roman" w:eastAsia="新宋体"/>
                <w:color w:val="auto"/>
                <w:szCs w:val="21"/>
              </w:rPr>
              <w:t>44</w:t>
            </w:r>
          </w:p>
        </w:tc>
        <w:tc>
          <w:tcPr>
            <w:tcW w:w="777" w:type="pct"/>
            <w:vAlign w:val="center"/>
          </w:tcPr>
          <w:p>
            <w:pPr>
              <w:jc w:val="center"/>
              <w:rPr>
                <w:rFonts w:ascii="Times New Roman" w:hAnsi="Times New Roman" w:eastAsia="新宋体" w:cstheme="minorBidi"/>
                <w:color w:val="auto"/>
                <w:kern w:val="2"/>
                <w:sz w:val="21"/>
                <w:szCs w:val="21"/>
                <w:lang w:val="en-US" w:eastAsia="zh-CN" w:bidi="ar-SA"/>
              </w:rPr>
            </w:pPr>
            <w:r>
              <w:rPr>
                <w:rFonts w:ascii="Times New Roman" w:hAnsi="Times New Roman" w:eastAsia="新宋体"/>
                <w:color w:val="auto"/>
                <w:szCs w:val="21"/>
              </w:rPr>
              <w:t>53</w:t>
            </w:r>
          </w:p>
        </w:tc>
        <w:tc>
          <w:tcPr>
            <w:tcW w:w="777" w:type="pct"/>
            <w:vAlign w:val="center"/>
          </w:tcPr>
          <w:p>
            <w:pPr>
              <w:jc w:val="center"/>
              <w:rPr>
                <w:rFonts w:ascii="Times New Roman" w:hAnsi="Times New Roman" w:eastAsia="新宋体" w:cstheme="minorBidi"/>
                <w:color w:val="auto"/>
                <w:kern w:val="2"/>
                <w:sz w:val="21"/>
                <w:szCs w:val="21"/>
                <w:lang w:val="en-US" w:eastAsia="zh-CN" w:bidi="ar-SA"/>
              </w:rPr>
            </w:pPr>
            <w:r>
              <w:rPr>
                <w:rFonts w:ascii="Times New Roman" w:hAnsi="Times New Roman" w:eastAsia="新宋体"/>
                <w:color w:val="auto"/>
                <w:szCs w:val="21"/>
              </w:rPr>
              <w:t>44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887" w:type="pct"/>
            <w:gridSpan w:val="2"/>
            <w:shd w:val="clear" w:color="auto" w:fill="auto"/>
            <w:vAlign w:val="center"/>
          </w:tcPr>
          <w:p>
            <w:pPr>
              <w:jc w:val="center"/>
              <w:rPr>
                <w:rFonts w:ascii="Times New Roman" w:hAnsi="Times New Roman"/>
                <w:b/>
                <w:color w:val="auto"/>
                <w:kern w:val="1"/>
                <w:szCs w:val="21"/>
              </w:rPr>
            </w:pPr>
            <w:r>
              <w:rPr>
                <w:rFonts w:hint="eastAsia" w:ascii="Times New Roman" w:hAnsi="Times New Roman"/>
                <w:b/>
                <w:color w:val="auto"/>
                <w:szCs w:val="21"/>
              </w:rPr>
              <w:t>标准限值</w:t>
            </w:r>
          </w:p>
        </w:tc>
        <w:tc>
          <w:tcPr>
            <w:tcW w:w="779" w:type="pct"/>
            <w:vAlign w:val="center"/>
          </w:tcPr>
          <w:p>
            <w:pPr>
              <w:spacing w:line="240" w:lineRule="exact"/>
              <w:jc w:val="center"/>
              <w:rPr>
                <w:rFonts w:hint="eastAsia" w:ascii="Times New Roman" w:hAnsi="Times New Roman" w:cs="Times New Roman" w:eastAsiaTheme="minorEastAsia"/>
                <w:b/>
                <w:color w:val="auto"/>
                <w:szCs w:val="21"/>
                <w:lang w:eastAsia="zh-CN"/>
              </w:rPr>
            </w:pPr>
            <w:r>
              <w:rPr>
                <w:rFonts w:hint="eastAsia" w:ascii="Times New Roman" w:hAnsi="Times New Roman" w:cs="Times New Roman"/>
                <w:b/>
                <w:color w:val="auto"/>
                <w:szCs w:val="21"/>
              </w:rPr>
              <w:t>6</w:t>
            </w:r>
            <w:r>
              <w:rPr>
                <w:rFonts w:hint="eastAsia" w:ascii="Times New Roman" w:hAnsi="Times New Roman" w:cs="Times New Roman"/>
                <w:b/>
                <w:color w:val="auto"/>
                <w:szCs w:val="21"/>
                <w:lang w:val="en-US" w:eastAsia="zh-CN"/>
              </w:rPr>
              <w:t>0</w:t>
            </w:r>
          </w:p>
        </w:tc>
        <w:tc>
          <w:tcPr>
            <w:tcW w:w="779" w:type="pct"/>
            <w:vAlign w:val="center"/>
          </w:tcPr>
          <w:p>
            <w:pPr>
              <w:spacing w:line="240" w:lineRule="exact"/>
              <w:jc w:val="center"/>
              <w:rPr>
                <w:rFonts w:hint="eastAsia" w:ascii="Times New Roman" w:hAnsi="Times New Roman" w:cs="Times New Roman" w:eastAsiaTheme="minorEastAsia"/>
                <w:b/>
                <w:color w:val="auto"/>
                <w:szCs w:val="21"/>
                <w:lang w:eastAsia="zh-CN"/>
              </w:rPr>
            </w:pPr>
            <w:r>
              <w:rPr>
                <w:rFonts w:hint="eastAsia" w:ascii="Times New Roman" w:hAnsi="Times New Roman" w:cs="Times New Roman"/>
                <w:b/>
                <w:color w:val="auto"/>
                <w:szCs w:val="21"/>
              </w:rPr>
              <w:t>5</w:t>
            </w:r>
            <w:r>
              <w:rPr>
                <w:rFonts w:hint="eastAsia" w:ascii="Times New Roman" w:hAnsi="Times New Roman" w:cs="Times New Roman"/>
                <w:b/>
                <w:color w:val="auto"/>
                <w:szCs w:val="21"/>
                <w:lang w:val="en-US" w:eastAsia="zh-CN"/>
              </w:rPr>
              <w:t>0</w:t>
            </w:r>
          </w:p>
        </w:tc>
        <w:tc>
          <w:tcPr>
            <w:tcW w:w="777" w:type="pct"/>
            <w:vAlign w:val="center"/>
          </w:tcPr>
          <w:p>
            <w:pPr>
              <w:spacing w:line="240" w:lineRule="exact"/>
              <w:jc w:val="center"/>
              <w:rPr>
                <w:rFonts w:hint="eastAsia" w:ascii="Times New Roman" w:hAnsi="Times New Roman" w:cs="Times New Roman" w:eastAsiaTheme="minorEastAsia"/>
                <w:b/>
                <w:color w:val="auto"/>
                <w:szCs w:val="21"/>
                <w:lang w:eastAsia="zh-CN"/>
              </w:rPr>
            </w:pPr>
            <w:r>
              <w:rPr>
                <w:rFonts w:hint="eastAsia" w:ascii="Times New Roman" w:hAnsi="Times New Roman" w:cs="Times New Roman"/>
                <w:b/>
                <w:color w:val="auto"/>
                <w:szCs w:val="21"/>
              </w:rPr>
              <w:t>6</w:t>
            </w:r>
            <w:r>
              <w:rPr>
                <w:rFonts w:hint="eastAsia" w:ascii="Times New Roman" w:hAnsi="Times New Roman" w:cs="Times New Roman"/>
                <w:b/>
                <w:color w:val="auto"/>
                <w:szCs w:val="21"/>
                <w:lang w:val="en-US" w:eastAsia="zh-CN"/>
              </w:rPr>
              <w:t>0</w:t>
            </w:r>
          </w:p>
        </w:tc>
        <w:tc>
          <w:tcPr>
            <w:tcW w:w="777" w:type="pct"/>
            <w:vAlign w:val="center"/>
          </w:tcPr>
          <w:p>
            <w:pPr>
              <w:spacing w:line="240" w:lineRule="exact"/>
              <w:jc w:val="center"/>
              <w:rPr>
                <w:rFonts w:hint="eastAsia" w:ascii="Times New Roman" w:hAnsi="Times New Roman" w:cs="Times New Roman" w:eastAsiaTheme="minorEastAsia"/>
                <w:b/>
                <w:color w:val="auto"/>
                <w:szCs w:val="21"/>
                <w:lang w:eastAsia="zh-CN"/>
              </w:rPr>
            </w:pPr>
            <w:r>
              <w:rPr>
                <w:rFonts w:hint="eastAsia" w:ascii="Times New Roman" w:hAnsi="Times New Roman" w:cs="Times New Roman"/>
                <w:b/>
                <w:color w:val="auto"/>
                <w:szCs w:val="21"/>
              </w:rPr>
              <w:t>5</w:t>
            </w:r>
            <w:r>
              <w:rPr>
                <w:rFonts w:hint="eastAsia" w:ascii="Times New Roman" w:hAnsi="Times New Roman" w:cs="Times New Roman"/>
                <w:b/>
                <w:color w:val="auto"/>
                <w:szCs w:val="21"/>
                <w:lang w:val="en-US" w:eastAsia="zh-CN"/>
              </w:rPr>
              <w:t>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887" w:type="pct"/>
            <w:gridSpan w:val="2"/>
            <w:shd w:val="clear" w:color="auto" w:fill="auto"/>
            <w:vAlign w:val="center"/>
          </w:tcPr>
          <w:p>
            <w:pPr>
              <w:jc w:val="center"/>
              <w:rPr>
                <w:rFonts w:ascii="Times New Roman" w:hAnsi="Times New Roman"/>
                <w:b/>
                <w:color w:val="auto"/>
                <w:kern w:val="1"/>
                <w:szCs w:val="21"/>
              </w:rPr>
            </w:pPr>
            <w:r>
              <w:rPr>
                <w:rFonts w:hint="eastAsia" w:ascii="Times New Roman" w:hAnsi="Times New Roman"/>
                <w:b/>
                <w:color w:val="auto"/>
                <w:szCs w:val="21"/>
              </w:rPr>
              <w:t>达标情况</w:t>
            </w:r>
          </w:p>
        </w:tc>
        <w:tc>
          <w:tcPr>
            <w:tcW w:w="779" w:type="pct"/>
            <w:vAlign w:val="center"/>
          </w:tcPr>
          <w:p>
            <w:pPr>
              <w:jc w:val="center"/>
              <w:rPr>
                <w:rFonts w:ascii="Times New Roman" w:hAnsi="Times New Roman"/>
                <w:b/>
                <w:color w:val="auto"/>
                <w:szCs w:val="21"/>
              </w:rPr>
            </w:pPr>
            <w:r>
              <w:rPr>
                <w:rFonts w:hint="eastAsia" w:ascii="Times New Roman" w:hAnsi="Times New Roman"/>
                <w:b/>
                <w:color w:val="auto"/>
                <w:szCs w:val="21"/>
              </w:rPr>
              <w:t>达标</w:t>
            </w:r>
          </w:p>
        </w:tc>
        <w:tc>
          <w:tcPr>
            <w:tcW w:w="779" w:type="pct"/>
            <w:vAlign w:val="center"/>
          </w:tcPr>
          <w:p>
            <w:pPr>
              <w:jc w:val="center"/>
              <w:rPr>
                <w:rFonts w:ascii="Times New Roman" w:hAnsi="Times New Roman"/>
                <w:b/>
                <w:color w:val="auto"/>
                <w:szCs w:val="21"/>
              </w:rPr>
            </w:pPr>
            <w:r>
              <w:rPr>
                <w:rFonts w:hint="eastAsia" w:ascii="Times New Roman" w:hAnsi="Times New Roman"/>
                <w:b/>
                <w:color w:val="auto"/>
                <w:szCs w:val="21"/>
              </w:rPr>
              <w:t>达标</w:t>
            </w:r>
          </w:p>
        </w:tc>
        <w:tc>
          <w:tcPr>
            <w:tcW w:w="777" w:type="pct"/>
            <w:vAlign w:val="center"/>
          </w:tcPr>
          <w:p>
            <w:pPr>
              <w:jc w:val="center"/>
              <w:rPr>
                <w:rFonts w:ascii="Times New Roman" w:hAnsi="Times New Roman"/>
                <w:b/>
                <w:color w:val="auto"/>
                <w:szCs w:val="21"/>
              </w:rPr>
            </w:pPr>
            <w:r>
              <w:rPr>
                <w:rFonts w:hint="eastAsia" w:ascii="Times New Roman" w:hAnsi="Times New Roman"/>
                <w:b/>
                <w:color w:val="auto"/>
                <w:szCs w:val="21"/>
              </w:rPr>
              <w:t>达标</w:t>
            </w:r>
          </w:p>
        </w:tc>
        <w:tc>
          <w:tcPr>
            <w:tcW w:w="777" w:type="pct"/>
            <w:vAlign w:val="center"/>
          </w:tcPr>
          <w:p>
            <w:pPr>
              <w:jc w:val="center"/>
              <w:rPr>
                <w:rFonts w:ascii="Times New Roman" w:hAnsi="Times New Roman"/>
                <w:b/>
                <w:color w:val="auto"/>
                <w:szCs w:val="21"/>
              </w:rPr>
            </w:pPr>
            <w:r>
              <w:rPr>
                <w:rFonts w:hint="eastAsia" w:ascii="Times New Roman" w:hAnsi="Times New Roman"/>
                <w:b/>
                <w:color w:val="auto"/>
                <w:szCs w:val="21"/>
              </w:rPr>
              <w:t>达标</w:t>
            </w:r>
          </w:p>
        </w:tc>
      </w:tr>
    </w:tbl>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color w:val="auto"/>
        </w:rPr>
      </w:pPr>
      <w:r>
        <w:rPr>
          <w:rFonts w:hint="eastAsia" w:ascii="Times New Roman" w:hAnsi="Times New Roman"/>
          <w:color w:val="auto"/>
          <w:szCs w:val="24"/>
        </w:rPr>
        <w:t>表9.2-</w:t>
      </w:r>
      <w:r>
        <w:rPr>
          <w:rFonts w:hint="eastAsia" w:ascii="Times New Roman" w:hAnsi="Times New Roman"/>
          <w:color w:val="auto"/>
          <w:szCs w:val="24"/>
          <w:lang w:val="en-US" w:eastAsia="zh-CN"/>
        </w:rPr>
        <w:t>1</w:t>
      </w:r>
      <w:r>
        <w:rPr>
          <w:rFonts w:hint="eastAsia" w:ascii="Times New Roman" w:hAnsi="Times New Roman"/>
          <w:color w:val="auto"/>
          <w:szCs w:val="20"/>
        </w:rPr>
        <w:t>监测结果表明：</w:t>
      </w:r>
      <w:r>
        <w:rPr>
          <w:rFonts w:hint="eastAsia" w:ascii="Times New Roman" w:hAnsi="Times New Roman"/>
          <w:color w:val="auto"/>
          <w:szCs w:val="24"/>
        </w:rPr>
        <w:t>验收监测期间，</w:t>
      </w:r>
      <w:r>
        <w:rPr>
          <w:rFonts w:ascii="Times New Roman" w:hAnsi="Times New Roman"/>
          <w:color w:val="auto"/>
        </w:rPr>
        <w:t>厂界</w:t>
      </w:r>
      <w:r>
        <w:rPr>
          <w:rFonts w:hint="eastAsia" w:ascii="Times New Roman" w:hAnsi="Times New Roman"/>
          <w:color w:val="auto"/>
        </w:rPr>
        <w:t>昼间噪声监测结果为5</w:t>
      </w:r>
      <w:r>
        <w:rPr>
          <w:rFonts w:hint="eastAsia" w:ascii="Times New Roman" w:hAnsi="Times New Roman"/>
          <w:color w:val="auto"/>
          <w:lang w:val="en-US" w:eastAsia="zh-CN"/>
        </w:rPr>
        <w:t>3</w:t>
      </w:r>
      <w:r>
        <w:rPr>
          <w:rFonts w:hint="eastAsia" w:ascii="Times New Roman" w:hAnsi="Times New Roman"/>
          <w:color w:val="auto"/>
        </w:rPr>
        <w:t xml:space="preserve">~ </w:t>
      </w:r>
      <w:r>
        <w:rPr>
          <w:rFonts w:hint="eastAsia" w:ascii="Times New Roman" w:hAnsi="Times New Roman"/>
          <w:color w:val="auto"/>
          <w:lang w:val="en-US" w:eastAsia="zh-CN"/>
        </w:rPr>
        <w:t>55</w:t>
      </w:r>
      <w:r>
        <w:rPr>
          <w:rFonts w:hint="eastAsia" w:ascii="Times New Roman" w:hAnsi="Times New Roman"/>
          <w:color w:val="auto"/>
        </w:rPr>
        <w:t>dB(A)，夜间噪声监测结果为</w:t>
      </w:r>
      <w:r>
        <w:rPr>
          <w:rFonts w:hint="eastAsia" w:ascii="Times New Roman" w:hAnsi="Times New Roman"/>
          <w:color w:val="auto"/>
          <w:lang w:val="en-US" w:eastAsia="zh-CN"/>
        </w:rPr>
        <w:t>43</w:t>
      </w:r>
      <w:r>
        <w:rPr>
          <w:rFonts w:hint="eastAsia" w:ascii="Times New Roman" w:hAnsi="Times New Roman"/>
          <w:color w:val="auto"/>
        </w:rPr>
        <w:t>~</w:t>
      </w:r>
      <w:r>
        <w:rPr>
          <w:rFonts w:hint="eastAsia" w:ascii="Times New Roman" w:hAnsi="Times New Roman"/>
          <w:color w:val="auto"/>
          <w:lang w:val="en-US" w:eastAsia="zh-CN"/>
        </w:rPr>
        <w:t>46</w:t>
      </w:r>
      <w:r>
        <w:rPr>
          <w:rFonts w:hint="eastAsia" w:ascii="Times New Roman" w:hAnsi="Times New Roman"/>
          <w:color w:val="auto"/>
        </w:rPr>
        <w:t xml:space="preserve"> dB(A)，</w:t>
      </w:r>
      <w:r>
        <w:rPr>
          <w:rFonts w:ascii="Times New Roman" w:hAnsi="Times New Roman"/>
          <w:color w:val="auto"/>
        </w:rPr>
        <w:t>噪声</w:t>
      </w:r>
      <w:r>
        <w:rPr>
          <w:rFonts w:hint="eastAsia" w:ascii="Times New Roman" w:hAnsi="Times New Roman"/>
          <w:color w:val="auto"/>
        </w:rPr>
        <w:t>监测结果符合</w:t>
      </w:r>
      <w:r>
        <w:rPr>
          <w:rFonts w:ascii="Times New Roman" w:hAnsi="Times New Roman"/>
          <w:color w:val="auto"/>
        </w:rPr>
        <w:t>《工业企业厂界环境噪声排放标准》</w:t>
      </w:r>
      <w:r>
        <w:rPr>
          <w:rFonts w:hint="eastAsia" w:ascii="Times New Roman" w:hAnsi="Times New Roman"/>
          <w:color w:val="auto"/>
        </w:rPr>
        <w:t>（</w:t>
      </w:r>
      <w:r>
        <w:rPr>
          <w:rFonts w:ascii="Times New Roman" w:hAnsi="Times New Roman"/>
          <w:color w:val="auto"/>
        </w:rPr>
        <w:t>GB12348-</w:t>
      </w:r>
      <w:r>
        <w:rPr>
          <w:rFonts w:hint="eastAsia" w:ascii="Times New Roman" w:hAnsi="Times New Roman"/>
          <w:color w:val="auto"/>
        </w:rPr>
        <w:t xml:space="preserve"> </w:t>
      </w:r>
      <w:r>
        <w:rPr>
          <w:rFonts w:ascii="Times New Roman" w:hAnsi="Times New Roman"/>
          <w:color w:val="auto"/>
        </w:rPr>
        <w:t>2008</w:t>
      </w:r>
      <w:r>
        <w:rPr>
          <w:rFonts w:hint="eastAsia" w:ascii="Times New Roman" w:hAnsi="Times New Roman"/>
          <w:color w:val="auto"/>
        </w:rPr>
        <w:t>）</w:t>
      </w:r>
      <w:r>
        <w:rPr>
          <w:rFonts w:ascii="Times New Roman" w:hAnsi="Times New Roman"/>
          <w:color w:val="auto"/>
        </w:rPr>
        <w:t>中</w:t>
      </w:r>
      <w:r>
        <w:rPr>
          <w:rFonts w:hint="eastAsia" w:ascii="Times New Roman" w:hAnsi="Times New Roman"/>
          <w:color w:val="auto"/>
          <w:lang w:val="en-US" w:eastAsia="zh-CN"/>
        </w:rPr>
        <w:t>2</w:t>
      </w:r>
      <w:r>
        <w:rPr>
          <w:rFonts w:ascii="Times New Roman" w:hAnsi="Times New Roman"/>
          <w:color w:val="auto"/>
        </w:rPr>
        <w:t>类标准</w:t>
      </w:r>
      <w:r>
        <w:rPr>
          <w:rFonts w:hint="eastAsia" w:ascii="Times New Roman" w:hAnsi="Times New Roman"/>
          <w:color w:val="auto"/>
        </w:rPr>
        <w:t>。</w:t>
      </w:r>
    </w:p>
    <w:p>
      <w:pPr>
        <w:pStyle w:val="6"/>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cs="Times New Roman"/>
          <w:color w:val="auto"/>
        </w:rPr>
      </w:pPr>
      <w:bookmarkStart w:id="172" w:name="_Toc17687"/>
      <w:r>
        <w:rPr>
          <w:rFonts w:ascii="Times New Roman" w:hAnsi="Times New Roman" w:cs="Times New Roman"/>
          <w:color w:val="auto"/>
        </w:rPr>
        <w:t>9.3工程建设对环境的影响</w:t>
      </w:r>
      <w:bookmarkEnd w:id="172"/>
    </w:p>
    <w:p>
      <w:pPr>
        <w:pStyle w:val="7"/>
        <w:pageBreakBefore w:val="0"/>
        <w:widowControl w:val="0"/>
        <w:kinsoku/>
        <w:wordWrap/>
        <w:overflowPunct/>
        <w:topLinePunct w:val="0"/>
        <w:autoSpaceDE/>
        <w:autoSpaceDN/>
        <w:bidi w:val="0"/>
        <w:adjustRightInd/>
        <w:snapToGrid/>
        <w:spacing w:line="360" w:lineRule="auto"/>
        <w:textAlignment w:val="auto"/>
        <w:rPr>
          <w:rFonts w:ascii="Times New Roman" w:hAnsi="Times New Roman"/>
          <w:color w:val="auto"/>
        </w:rPr>
      </w:pPr>
      <w:bookmarkStart w:id="173" w:name="_Toc48659655"/>
      <w:bookmarkStart w:id="174" w:name="_Toc31684"/>
      <w:bookmarkStart w:id="175" w:name="_Toc53502035"/>
      <w:r>
        <w:rPr>
          <w:rFonts w:hint="eastAsia" w:ascii="Times New Roman" w:hAnsi="Times New Roman"/>
          <w:color w:val="auto"/>
        </w:rPr>
        <w:t>9.3.1地下水监测</w:t>
      </w:r>
      <w:bookmarkEnd w:id="173"/>
      <w:bookmarkEnd w:id="174"/>
      <w:bookmarkEnd w:id="175"/>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color w:val="auto"/>
        </w:rPr>
      </w:pPr>
      <w:r>
        <w:rPr>
          <w:rFonts w:hint="eastAsia" w:ascii="Times New Roman" w:hAnsi="Times New Roman"/>
          <w:color w:val="auto"/>
        </w:rPr>
        <w:t>地下水监测结果详见表9.3-1</w:t>
      </w:r>
      <w:r>
        <w:rPr>
          <w:rFonts w:hint="eastAsia" w:ascii="Times New Roman" w:hAnsi="Times New Roman"/>
          <w:color w:val="auto"/>
          <w:lang w:eastAsia="zh-CN"/>
        </w:rPr>
        <w:t>、表</w:t>
      </w:r>
      <w:r>
        <w:rPr>
          <w:rFonts w:hint="eastAsia" w:ascii="Times New Roman" w:hAnsi="Times New Roman"/>
          <w:color w:val="auto"/>
          <w:lang w:val="en-US" w:eastAsia="zh-CN"/>
        </w:rPr>
        <w:t>9.3-2、表9.3-3、表9.3-4</w:t>
      </w:r>
      <w:r>
        <w:rPr>
          <w:rFonts w:hint="eastAsia" w:ascii="Times New Roman" w:hAnsi="Times New Roman"/>
          <w:color w:val="auto"/>
        </w:rPr>
        <w:t>：</w:t>
      </w:r>
    </w:p>
    <w:p>
      <w:pPr>
        <w:pStyle w:val="104"/>
        <w:ind w:firstLine="422"/>
        <w:jc w:val="center"/>
        <w:rPr>
          <w:rFonts w:hint="eastAsia" w:ascii="Times New Roman" w:hAnsi="Times New Roman" w:eastAsia="宋体"/>
          <w:b/>
          <w:color w:val="auto"/>
          <w:sz w:val="21"/>
          <w:szCs w:val="21"/>
          <w:lang w:eastAsia="zh-CN"/>
        </w:rPr>
      </w:pPr>
      <w:r>
        <w:rPr>
          <w:rFonts w:ascii="Times New Roman" w:hAnsi="Times New Roman"/>
          <w:b/>
          <w:color w:val="auto"/>
          <w:sz w:val="21"/>
          <w:szCs w:val="21"/>
        </w:rPr>
        <w:t>表9.</w:t>
      </w:r>
      <w:r>
        <w:rPr>
          <w:rFonts w:hint="eastAsia" w:ascii="Times New Roman" w:hAnsi="Times New Roman"/>
          <w:b/>
          <w:color w:val="auto"/>
          <w:sz w:val="21"/>
          <w:szCs w:val="21"/>
        </w:rPr>
        <w:t>3</w:t>
      </w:r>
      <w:r>
        <w:rPr>
          <w:rFonts w:ascii="Times New Roman" w:hAnsi="Times New Roman"/>
          <w:b/>
          <w:color w:val="auto"/>
          <w:sz w:val="21"/>
          <w:szCs w:val="21"/>
        </w:rPr>
        <w:t>-</w:t>
      </w:r>
      <w:r>
        <w:rPr>
          <w:rFonts w:hint="eastAsia" w:ascii="Times New Roman" w:hAnsi="Times New Roman"/>
          <w:b/>
          <w:color w:val="auto"/>
          <w:sz w:val="21"/>
          <w:szCs w:val="21"/>
        </w:rPr>
        <w:t>1</w:t>
      </w:r>
      <w:r>
        <w:rPr>
          <w:rFonts w:hint="eastAsia" w:ascii="Times New Roman" w:hAnsi="Times New Roman"/>
          <w:b/>
          <w:color w:val="auto"/>
          <w:sz w:val="21"/>
          <w:szCs w:val="21"/>
          <w:lang w:val="en-US" w:eastAsia="zh-CN"/>
        </w:rPr>
        <w:t xml:space="preserve">  </w:t>
      </w:r>
      <w:r>
        <w:rPr>
          <w:rFonts w:hint="eastAsia" w:ascii="Times New Roman" w:hAnsi="Times New Roman"/>
          <w:b/>
          <w:color w:val="auto"/>
          <w:sz w:val="21"/>
          <w:szCs w:val="21"/>
        </w:rPr>
        <w:t>地下水</w:t>
      </w:r>
      <w:r>
        <w:rPr>
          <w:rFonts w:ascii="Times New Roman" w:hAnsi="Times New Roman"/>
          <w:b/>
          <w:color w:val="auto"/>
          <w:sz w:val="21"/>
          <w:szCs w:val="21"/>
        </w:rPr>
        <w:t>监测结果表</w:t>
      </w:r>
      <w:r>
        <w:rPr>
          <w:rFonts w:hint="eastAsia" w:ascii="Times New Roman" w:hAnsi="Times New Roman"/>
          <w:b/>
          <w:color w:val="auto"/>
          <w:sz w:val="21"/>
          <w:szCs w:val="21"/>
          <w:lang w:eastAsia="zh-CN"/>
        </w:rPr>
        <w:t>（</w:t>
      </w:r>
      <w:r>
        <w:rPr>
          <w:rFonts w:hint="eastAsia" w:ascii="Times New Roman" w:hAnsi="Times New Roman"/>
          <w:b/>
          <w:color w:val="auto"/>
          <w:sz w:val="21"/>
          <w:szCs w:val="21"/>
          <w:lang w:val="en-US" w:eastAsia="zh-CN"/>
        </w:rPr>
        <w:t>1</w:t>
      </w:r>
      <w:r>
        <w:rPr>
          <w:rFonts w:hint="eastAsia" w:ascii="Times New Roman" w:hAnsi="Times New Roman"/>
          <w:b/>
          <w:color w:val="auto"/>
          <w:sz w:val="21"/>
          <w:szCs w:val="21"/>
          <w:lang w:eastAsia="zh-CN"/>
        </w:rPr>
        <w:t>）</w:t>
      </w:r>
    </w:p>
    <w:tbl>
      <w:tblPr>
        <w:tblStyle w:val="29"/>
        <w:tblpPr w:leftFromText="180" w:rightFromText="180" w:vertAnchor="text" w:horzAnchor="margin" w:tblpXSpec="center" w:tblpY="66"/>
        <w:tblW w:w="4995"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35"/>
        <w:gridCol w:w="1824"/>
        <w:gridCol w:w="1380"/>
        <w:gridCol w:w="1380"/>
        <w:gridCol w:w="1380"/>
        <w:gridCol w:w="1392"/>
        <w:gridCol w:w="140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09"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
                <w:color w:val="auto"/>
                <w:szCs w:val="21"/>
              </w:rPr>
            </w:pPr>
            <w:r>
              <w:rPr>
                <w:rFonts w:hint="eastAsia" w:ascii="Times New Roman" w:hAnsi="Times New Roman"/>
                <w:b/>
                <w:color w:val="auto"/>
                <w:szCs w:val="21"/>
              </w:rPr>
              <w:t>监测点位</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cs="宋体"/>
                <w:b/>
                <w:bCs/>
                <w:color w:val="auto"/>
                <w:szCs w:val="21"/>
              </w:rPr>
            </w:pPr>
            <w:r>
              <w:rPr>
                <w:rFonts w:hint="eastAsia" w:ascii="Times New Roman" w:hAnsi="Times New Roman" w:cs="宋体"/>
                <w:b/>
                <w:bCs/>
                <w:color w:val="auto"/>
                <w:szCs w:val="21"/>
              </w:rPr>
              <w:t>填埋库区上游</w:t>
            </w:r>
            <w:r>
              <w:rPr>
                <w:rFonts w:ascii="Times New Roman" w:hAnsi="Times New Roman" w:cs="宋体"/>
                <w:b/>
                <w:bCs/>
                <w:color w:val="auto"/>
                <w:szCs w:val="21"/>
              </w:rPr>
              <w:t>40m</w:t>
            </w:r>
            <w:r>
              <w:rPr>
                <w:rFonts w:hint="eastAsia" w:ascii="Times New Roman" w:hAnsi="Times New Roman" w:cs="宋体"/>
                <w:b/>
                <w:bCs/>
                <w:color w:val="auto"/>
                <w:szCs w:val="21"/>
              </w:rPr>
              <w:t>处</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cs="宋体" w:eastAsiaTheme="minorEastAsia"/>
                <w:b/>
                <w:bCs/>
                <w:color w:val="auto"/>
                <w:szCs w:val="21"/>
                <w:lang w:eastAsia="zh-CN"/>
              </w:rPr>
            </w:pPr>
            <w:r>
              <w:rPr>
                <w:rFonts w:hint="eastAsia" w:ascii="Times New Roman" w:hAnsi="Times New Roman" w:cs="宋体"/>
                <w:b/>
                <w:bCs/>
                <w:color w:val="auto"/>
                <w:szCs w:val="21"/>
              </w:rPr>
              <w:t>填埋库区</w:t>
            </w:r>
            <w:r>
              <w:rPr>
                <w:rFonts w:hint="eastAsia" w:ascii="Times New Roman" w:hAnsi="Times New Roman" w:cs="宋体"/>
                <w:b/>
                <w:bCs/>
                <w:color w:val="auto"/>
                <w:szCs w:val="21"/>
                <w:lang w:eastAsia="zh-CN"/>
              </w:rPr>
              <w:t>南侧监控井</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cs="宋体"/>
                <w:b/>
                <w:bCs/>
                <w:color w:val="auto"/>
                <w:szCs w:val="21"/>
              </w:rPr>
            </w:pPr>
            <w:r>
              <w:rPr>
                <w:rFonts w:hint="eastAsia" w:ascii="Times New Roman" w:hAnsi="Times New Roman" w:cs="宋体"/>
                <w:b/>
                <w:bCs/>
                <w:color w:val="auto"/>
                <w:szCs w:val="21"/>
              </w:rPr>
              <w:t>填埋库区下游</w:t>
            </w:r>
            <w:r>
              <w:rPr>
                <w:rFonts w:ascii="Times New Roman" w:hAnsi="Times New Roman" w:cs="宋体"/>
                <w:b/>
                <w:bCs/>
                <w:color w:val="auto"/>
                <w:szCs w:val="21"/>
              </w:rPr>
              <w:t>30m</w:t>
            </w:r>
            <w:r>
              <w:rPr>
                <w:rFonts w:hint="eastAsia" w:ascii="Times New Roman" w:hAnsi="Times New Roman" w:cs="宋体"/>
                <w:b/>
                <w:bCs/>
                <w:color w:val="auto"/>
                <w:szCs w:val="21"/>
              </w:rPr>
              <w:t>处</w:t>
            </w:r>
          </w:p>
        </w:tc>
        <w:tc>
          <w:tcPr>
            <w:tcW w:w="741"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cs="宋体"/>
                <w:b/>
                <w:bCs/>
                <w:color w:val="auto"/>
                <w:szCs w:val="21"/>
              </w:rPr>
            </w:pPr>
            <w:r>
              <w:rPr>
                <w:rFonts w:hint="eastAsia" w:ascii="Times New Roman" w:hAnsi="Times New Roman" w:cs="宋体"/>
                <w:b/>
                <w:bCs/>
                <w:color w:val="auto"/>
                <w:szCs w:val="21"/>
              </w:rPr>
              <w:t>填埋库区下游</w:t>
            </w:r>
            <w:r>
              <w:rPr>
                <w:rFonts w:ascii="Times New Roman" w:hAnsi="Times New Roman" w:cs="宋体"/>
                <w:b/>
                <w:bCs/>
                <w:color w:val="auto"/>
                <w:szCs w:val="21"/>
              </w:rPr>
              <w:t>50m</w:t>
            </w:r>
            <w:r>
              <w:rPr>
                <w:rFonts w:hint="eastAsia" w:ascii="Times New Roman" w:hAnsi="Times New Roman" w:cs="宋体"/>
                <w:b/>
                <w:bCs/>
                <w:color w:val="auto"/>
                <w:szCs w:val="21"/>
              </w:rPr>
              <w:t>处</w:t>
            </w:r>
          </w:p>
        </w:tc>
        <w:tc>
          <w:tcPr>
            <w:tcW w:w="742"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cs="宋体" w:eastAsiaTheme="minorEastAsia"/>
                <w:b/>
                <w:bCs/>
                <w:color w:val="auto"/>
                <w:szCs w:val="21"/>
                <w:lang w:eastAsia="zh-CN"/>
              </w:rPr>
            </w:pPr>
            <w:r>
              <w:rPr>
                <w:rFonts w:hint="eastAsia" w:ascii="Times New Roman" w:hAnsi="Times New Roman" w:cs="宋体"/>
                <w:b/>
                <w:bCs/>
                <w:color w:val="auto"/>
                <w:szCs w:val="21"/>
                <w:lang w:eastAsia="zh-CN"/>
              </w:rPr>
              <w:t>填埋库区西北侧监测井</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00" w:type="pct"/>
            <w:gridSpan w:val="7"/>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hint="eastAsia" w:ascii="Times New Roman" w:hAnsi="Times New Roman"/>
                <w:b/>
                <w:color w:val="auto"/>
                <w:szCs w:val="21"/>
              </w:rPr>
            </w:pPr>
            <w:r>
              <w:rPr>
                <w:rFonts w:hint="eastAsia" w:ascii="Times New Roman" w:hAnsi="Times New Roman"/>
                <w:b/>
                <w:color w:val="auto"/>
                <w:szCs w:val="21"/>
              </w:rPr>
              <w:t>监测日期：</w:t>
            </w:r>
            <w:r>
              <w:rPr>
                <w:rFonts w:ascii="Times New Roman" w:hAnsi="Times New Roman"/>
                <w:b/>
                <w:color w:val="auto"/>
                <w:szCs w:val="21"/>
              </w:rPr>
              <w:t>2020</w:t>
            </w:r>
            <w:r>
              <w:rPr>
                <w:rFonts w:hint="eastAsia" w:ascii="Times New Roman" w:hAnsi="Times New Roman"/>
                <w:b/>
                <w:color w:val="auto"/>
                <w:szCs w:val="21"/>
              </w:rPr>
              <w:t>年</w:t>
            </w:r>
            <w:r>
              <w:rPr>
                <w:rFonts w:ascii="Times New Roman" w:hAnsi="Times New Roman"/>
                <w:b/>
                <w:color w:val="auto"/>
                <w:szCs w:val="21"/>
              </w:rPr>
              <w:t>10</w:t>
            </w:r>
            <w:r>
              <w:rPr>
                <w:rFonts w:hint="eastAsia" w:ascii="Times New Roman" w:hAnsi="Times New Roman"/>
                <w:b/>
                <w:color w:val="auto"/>
                <w:szCs w:val="21"/>
              </w:rPr>
              <w:t>月</w:t>
            </w:r>
            <w:r>
              <w:rPr>
                <w:rFonts w:ascii="Times New Roman" w:hAnsi="Times New Roman"/>
                <w:b/>
                <w:color w:val="auto"/>
                <w:szCs w:val="21"/>
              </w:rPr>
              <w:t>23</w:t>
            </w:r>
            <w:r>
              <w:rPr>
                <w:rFonts w:hint="eastAsia" w:ascii="Times New Roman" w:hAnsi="Times New Roman"/>
                <w:b/>
                <w:color w:val="auto"/>
                <w:szCs w:val="21"/>
              </w:rPr>
              <w:t>日</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restar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
                <w:color w:val="auto"/>
                <w:szCs w:val="21"/>
              </w:rPr>
            </w:pPr>
            <w:r>
              <w:rPr>
                <w:rFonts w:hint="eastAsia" w:ascii="Times New Roman" w:hAnsi="Times New Roman"/>
                <w:b/>
                <w:color w:val="auto"/>
                <w:szCs w:val="21"/>
              </w:rPr>
              <w:t>分析项目</w:t>
            </w:r>
          </w:p>
        </w:tc>
        <w:tc>
          <w:tcPr>
            <w:tcW w:w="971"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Cs/>
                <w:color w:val="auto"/>
                <w:szCs w:val="21"/>
              </w:rPr>
            </w:pPr>
            <w:r>
              <w:rPr>
                <w:rFonts w:ascii="Times New Roman" w:hAnsi="Times New Roman"/>
                <w:bCs/>
                <w:color w:val="auto"/>
                <w:szCs w:val="21"/>
              </w:rPr>
              <w:t>pH</w:t>
            </w:r>
            <w:r>
              <w:rPr>
                <w:rFonts w:hint="eastAsia" w:ascii="Times New Roman" w:hAnsi="Times New Roman"/>
                <w:bCs/>
                <w:color w:val="auto"/>
                <w:szCs w:val="21"/>
              </w:rPr>
              <w:t>（无量纲）</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7.46</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7.41</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7.35</w:t>
            </w:r>
          </w:p>
        </w:tc>
        <w:tc>
          <w:tcPr>
            <w:tcW w:w="741"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7.41</w:t>
            </w:r>
          </w:p>
        </w:tc>
        <w:tc>
          <w:tcPr>
            <w:tcW w:w="742"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7.40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Cs/>
                <w:color w:val="auto"/>
                <w:szCs w:val="21"/>
              </w:rPr>
            </w:pPr>
          </w:p>
        </w:tc>
        <w:tc>
          <w:tcPr>
            <w:tcW w:w="971"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Cs/>
                <w:color w:val="auto"/>
                <w:szCs w:val="21"/>
              </w:rPr>
            </w:pPr>
            <w:r>
              <w:rPr>
                <w:rFonts w:hint="eastAsia" w:ascii="Times New Roman" w:hAnsi="Times New Roman"/>
                <w:bCs/>
                <w:color w:val="auto"/>
                <w:szCs w:val="21"/>
              </w:rPr>
              <w:t>耗氧量（</w:t>
            </w:r>
            <w:r>
              <w:rPr>
                <w:rFonts w:ascii="Times New Roman" w:hAnsi="Times New Roman"/>
                <w:bCs/>
                <w:color w:val="auto"/>
                <w:szCs w:val="21"/>
              </w:rPr>
              <w:t>mg/L</w:t>
            </w:r>
            <w:r>
              <w:rPr>
                <w:rFonts w:hint="eastAsia" w:ascii="Times New Roman" w:hAnsi="Times New Roman"/>
                <w:bCs/>
                <w:color w:val="auto"/>
                <w:szCs w:val="21"/>
              </w:rPr>
              <w:t>）</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2.10</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1.95</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1.85</w:t>
            </w:r>
          </w:p>
        </w:tc>
        <w:tc>
          <w:tcPr>
            <w:tcW w:w="741"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2.01</w:t>
            </w:r>
          </w:p>
        </w:tc>
        <w:tc>
          <w:tcPr>
            <w:tcW w:w="742"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1.91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Cs/>
                <w:color w:val="auto"/>
                <w:szCs w:val="21"/>
              </w:rPr>
            </w:pPr>
          </w:p>
        </w:tc>
        <w:tc>
          <w:tcPr>
            <w:tcW w:w="971"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Cs/>
                <w:color w:val="auto"/>
                <w:szCs w:val="21"/>
              </w:rPr>
            </w:pPr>
            <w:r>
              <w:rPr>
                <w:rFonts w:hint="eastAsia" w:ascii="Times New Roman" w:hAnsi="Times New Roman"/>
                <w:bCs/>
                <w:color w:val="auto"/>
                <w:szCs w:val="21"/>
              </w:rPr>
              <w:t>总硬度（</w:t>
            </w:r>
            <w:r>
              <w:rPr>
                <w:rFonts w:ascii="Times New Roman" w:hAnsi="Times New Roman"/>
                <w:bCs/>
                <w:color w:val="auto"/>
                <w:szCs w:val="21"/>
              </w:rPr>
              <w:t>mg/L</w:t>
            </w:r>
            <w:r>
              <w:rPr>
                <w:rFonts w:hint="eastAsia" w:ascii="Times New Roman" w:hAnsi="Times New Roman"/>
                <w:bCs/>
                <w:color w:val="auto"/>
                <w:szCs w:val="21"/>
              </w:rPr>
              <w:t>）</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114</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120</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118</w:t>
            </w:r>
          </w:p>
        </w:tc>
        <w:tc>
          <w:tcPr>
            <w:tcW w:w="741"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110</w:t>
            </w:r>
          </w:p>
        </w:tc>
        <w:tc>
          <w:tcPr>
            <w:tcW w:w="742"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124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Cs/>
                <w:color w:val="auto"/>
                <w:szCs w:val="21"/>
              </w:rPr>
            </w:pPr>
          </w:p>
        </w:tc>
        <w:tc>
          <w:tcPr>
            <w:tcW w:w="971"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Cs/>
                <w:color w:val="auto"/>
                <w:szCs w:val="21"/>
              </w:rPr>
            </w:pPr>
            <w:r>
              <w:rPr>
                <w:rFonts w:hint="eastAsia" w:ascii="Times New Roman" w:hAnsi="Times New Roman"/>
                <w:bCs/>
                <w:color w:val="auto"/>
                <w:szCs w:val="21"/>
              </w:rPr>
              <w:t>溶解性总固体（</w:t>
            </w:r>
            <w:r>
              <w:rPr>
                <w:rFonts w:ascii="Times New Roman" w:hAnsi="Times New Roman"/>
                <w:bCs/>
                <w:color w:val="auto"/>
                <w:szCs w:val="21"/>
              </w:rPr>
              <w:t>mg/L</w:t>
            </w:r>
            <w:r>
              <w:rPr>
                <w:rFonts w:hint="eastAsia" w:ascii="Times New Roman" w:hAnsi="Times New Roman"/>
                <w:bCs/>
                <w:color w:val="auto"/>
                <w:szCs w:val="21"/>
              </w:rPr>
              <w:t>）</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321</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315</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314</w:t>
            </w:r>
          </w:p>
        </w:tc>
        <w:tc>
          <w:tcPr>
            <w:tcW w:w="741"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311</w:t>
            </w:r>
          </w:p>
        </w:tc>
        <w:tc>
          <w:tcPr>
            <w:tcW w:w="742"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345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Cs/>
                <w:color w:val="auto"/>
                <w:szCs w:val="21"/>
              </w:rPr>
            </w:pPr>
          </w:p>
        </w:tc>
        <w:tc>
          <w:tcPr>
            <w:tcW w:w="971"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cs="宋体"/>
                <w:color w:val="auto"/>
                <w:szCs w:val="21"/>
              </w:rPr>
            </w:pPr>
            <w:r>
              <w:rPr>
                <w:rFonts w:hint="eastAsia" w:ascii="Times New Roman" w:hAnsi="Times New Roman" w:cs="宋体"/>
                <w:color w:val="auto"/>
                <w:szCs w:val="21"/>
              </w:rPr>
              <w:t>氯化物</w:t>
            </w:r>
            <w:r>
              <w:rPr>
                <w:rFonts w:hint="eastAsia" w:ascii="Times New Roman" w:hAnsi="Times New Roman"/>
                <w:bCs/>
                <w:color w:val="auto"/>
                <w:szCs w:val="21"/>
              </w:rPr>
              <w:t>（</w:t>
            </w:r>
            <w:r>
              <w:rPr>
                <w:rFonts w:ascii="Times New Roman" w:hAnsi="Times New Roman"/>
                <w:bCs/>
                <w:color w:val="auto"/>
                <w:szCs w:val="21"/>
              </w:rPr>
              <w:t>mg/L</w:t>
            </w:r>
            <w:r>
              <w:rPr>
                <w:rFonts w:hint="eastAsia" w:ascii="Times New Roman" w:hAnsi="Times New Roman"/>
                <w:bCs/>
                <w:color w:val="auto"/>
                <w:szCs w:val="21"/>
              </w:rPr>
              <w:t>）</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24.1</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25.1</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24.2</w:t>
            </w:r>
          </w:p>
        </w:tc>
        <w:tc>
          <w:tcPr>
            <w:tcW w:w="741"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24.3</w:t>
            </w:r>
          </w:p>
        </w:tc>
        <w:tc>
          <w:tcPr>
            <w:tcW w:w="742"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24.1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Cs/>
                <w:color w:val="auto"/>
                <w:szCs w:val="21"/>
              </w:rPr>
            </w:pPr>
          </w:p>
        </w:tc>
        <w:tc>
          <w:tcPr>
            <w:tcW w:w="971"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cs="宋体"/>
                <w:color w:val="auto"/>
                <w:szCs w:val="21"/>
              </w:rPr>
            </w:pPr>
            <w:r>
              <w:rPr>
                <w:rFonts w:hint="eastAsia" w:ascii="Times New Roman" w:hAnsi="Times New Roman" w:cs="宋体"/>
                <w:color w:val="auto"/>
                <w:szCs w:val="21"/>
              </w:rPr>
              <w:t>硫酸盐</w:t>
            </w:r>
            <w:r>
              <w:rPr>
                <w:rFonts w:hint="eastAsia" w:ascii="Times New Roman" w:hAnsi="Times New Roman"/>
                <w:bCs/>
                <w:color w:val="auto"/>
                <w:szCs w:val="21"/>
              </w:rPr>
              <w:t>（</w:t>
            </w:r>
            <w:r>
              <w:rPr>
                <w:rFonts w:ascii="Times New Roman" w:hAnsi="Times New Roman"/>
                <w:bCs/>
                <w:color w:val="auto"/>
                <w:szCs w:val="21"/>
              </w:rPr>
              <w:t>mg/L</w:t>
            </w:r>
            <w:r>
              <w:rPr>
                <w:rFonts w:hint="eastAsia" w:ascii="Times New Roman" w:hAnsi="Times New Roman"/>
                <w:bCs/>
                <w:color w:val="auto"/>
                <w:szCs w:val="21"/>
              </w:rPr>
              <w:t>）</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74.1</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78.8</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79.1</w:t>
            </w:r>
          </w:p>
        </w:tc>
        <w:tc>
          <w:tcPr>
            <w:tcW w:w="741"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81.0</w:t>
            </w:r>
          </w:p>
        </w:tc>
        <w:tc>
          <w:tcPr>
            <w:tcW w:w="742"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78.5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Cs/>
                <w:color w:val="auto"/>
                <w:szCs w:val="21"/>
              </w:rPr>
            </w:pPr>
          </w:p>
        </w:tc>
        <w:tc>
          <w:tcPr>
            <w:tcW w:w="971"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cs="宋体"/>
                <w:color w:val="auto"/>
                <w:szCs w:val="21"/>
              </w:rPr>
            </w:pPr>
            <w:r>
              <w:rPr>
                <w:rFonts w:hint="eastAsia" w:ascii="Times New Roman" w:hAnsi="Times New Roman" w:cs="宋体"/>
                <w:color w:val="auto"/>
                <w:szCs w:val="21"/>
              </w:rPr>
              <w:t>硝酸盐</w:t>
            </w:r>
            <w:r>
              <w:rPr>
                <w:rFonts w:hint="eastAsia" w:ascii="Times New Roman" w:hAnsi="Times New Roman"/>
                <w:bCs/>
                <w:color w:val="auto"/>
                <w:szCs w:val="21"/>
              </w:rPr>
              <w:t>（</w:t>
            </w:r>
            <w:r>
              <w:rPr>
                <w:rFonts w:ascii="Times New Roman" w:hAnsi="Times New Roman"/>
                <w:bCs/>
                <w:color w:val="auto"/>
                <w:szCs w:val="21"/>
              </w:rPr>
              <w:t>mg/L</w:t>
            </w:r>
            <w:r>
              <w:rPr>
                <w:rFonts w:hint="eastAsia" w:ascii="Times New Roman" w:hAnsi="Times New Roman"/>
                <w:bCs/>
                <w:color w:val="auto"/>
                <w:szCs w:val="21"/>
              </w:rPr>
              <w:t>）</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8.12</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8.14</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8.10</w:t>
            </w:r>
          </w:p>
        </w:tc>
        <w:tc>
          <w:tcPr>
            <w:tcW w:w="741"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8.14</w:t>
            </w:r>
          </w:p>
        </w:tc>
        <w:tc>
          <w:tcPr>
            <w:tcW w:w="742"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7.94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Cs/>
                <w:color w:val="auto"/>
                <w:szCs w:val="21"/>
              </w:rPr>
            </w:pPr>
          </w:p>
        </w:tc>
        <w:tc>
          <w:tcPr>
            <w:tcW w:w="971"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cs="宋体"/>
                <w:color w:val="auto"/>
                <w:szCs w:val="21"/>
              </w:rPr>
            </w:pPr>
            <w:r>
              <w:rPr>
                <w:rFonts w:hint="eastAsia" w:ascii="Times New Roman" w:hAnsi="Times New Roman" w:cs="宋体"/>
                <w:color w:val="auto"/>
                <w:szCs w:val="21"/>
              </w:rPr>
              <w:t>氟化物</w:t>
            </w:r>
            <w:r>
              <w:rPr>
                <w:rFonts w:hint="eastAsia" w:ascii="Times New Roman" w:hAnsi="Times New Roman"/>
                <w:bCs/>
                <w:color w:val="auto"/>
                <w:szCs w:val="21"/>
              </w:rPr>
              <w:t>（</w:t>
            </w:r>
            <w:r>
              <w:rPr>
                <w:rFonts w:ascii="Times New Roman" w:hAnsi="Times New Roman"/>
                <w:bCs/>
                <w:color w:val="auto"/>
                <w:szCs w:val="21"/>
              </w:rPr>
              <w:t>mg/L</w:t>
            </w:r>
            <w:r>
              <w:rPr>
                <w:rFonts w:hint="eastAsia" w:ascii="Times New Roman" w:hAnsi="Times New Roman"/>
                <w:bCs/>
                <w:color w:val="auto"/>
                <w:szCs w:val="21"/>
              </w:rPr>
              <w:t>）</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0.82</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0.80</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0.84</w:t>
            </w:r>
          </w:p>
        </w:tc>
        <w:tc>
          <w:tcPr>
            <w:tcW w:w="741"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0.85</w:t>
            </w:r>
          </w:p>
        </w:tc>
        <w:tc>
          <w:tcPr>
            <w:tcW w:w="742"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0.88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Cs/>
                <w:color w:val="auto"/>
                <w:szCs w:val="21"/>
              </w:rPr>
            </w:pPr>
          </w:p>
        </w:tc>
        <w:tc>
          <w:tcPr>
            <w:tcW w:w="971"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cs="宋体"/>
                <w:color w:val="auto"/>
                <w:szCs w:val="21"/>
              </w:rPr>
            </w:pPr>
            <w:r>
              <w:rPr>
                <w:rFonts w:hint="eastAsia" w:ascii="Times New Roman" w:hAnsi="Times New Roman" w:cs="宋体"/>
                <w:color w:val="auto"/>
                <w:szCs w:val="21"/>
              </w:rPr>
              <w:t>氨氮</w:t>
            </w:r>
            <w:r>
              <w:rPr>
                <w:rFonts w:hint="eastAsia" w:ascii="Times New Roman" w:hAnsi="Times New Roman"/>
                <w:bCs/>
                <w:color w:val="auto"/>
                <w:szCs w:val="21"/>
              </w:rPr>
              <w:t>（</w:t>
            </w:r>
            <w:r>
              <w:rPr>
                <w:rFonts w:ascii="Times New Roman" w:hAnsi="Times New Roman"/>
                <w:bCs/>
                <w:color w:val="auto"/>
                <w:szCs w:val="21"/>
              </w:rPr>
              <w:t>mg/L</w:t>
            </w:r>
            <w:r>
              <w:rPr>
                <w:rFonts w:hint="eastAsia" w:ascii="Times New Roman" w:hAnsi="Times New Roman"/>
                <w:bCs/>
                <w:color w:val="auto"/>
                <w:szCs w:val="21"/>
              </w:rPr>
              <w:t>）</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0.121</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0.114</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0.151</w:t>
            </w:r>
          </w:p>
        </w:tc>
        <w:tc>
          <w:tcPr>
            <w:tcW w:w="741"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0.142</w:t>
            </w:r>
          </w:p>
        </w:tc>
        <w:tc>
          <w:tcPr>
            <w:tcW w:w="742"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0.115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Cs/>
                <w:color w:val="auto"/>
                <w:szCs w:val="21"/>
              </w:rPr>
            </w:pPr>
          </w:p>
        </w:tc>
        <w:tc>
          <w:tcPr>
            <w:tcW w:w="971"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cs="宋体"/>
                <w:color w:val="auto"/>
                <w:szCs w:val="21"/>
              </w:rPr>
            </w:pPr>
            <w:r>
              <w:rPr>
                <w:rFonts w:hint="eastAsia" w:ascii="Times New Roman" w:hAnsi="Times New Roman" w:cs="宋体"/>
                <w:color w:val="auto"/>
                <w:szCs w:val="21"/>
              </w:rPr>
              <w:t>砷</w:t>
            </w:r>
            <w:r>
              <w:rPr>
                <w:rFonts w:hint="eastAsia" w:ascii="Times New Roman" w:hAnsi="Times New Roman"/>
                <w:bCs/>
                <w:color w:val="auto"/>
                <w:szCs w:val="21"/>
              </w:rPr>
              <w:t>（</w:t>
            </w:r>
            <w:r>
              <w:rPr>
                <w:rFonts w:hint="eastAsia" w:ascii="Times New Roman" w:hAnsi="Times New Roman" w:cs="宋体"/>
                <w:color w:val="auto"/>
                <w:szCs w:val="21"/>
              </w:rPr>
              <w:t>μ</w:t>
            </w:r>
            <w:r>
              <w:rPr>
                <w:rFonts w:ascii="Times New Roman" w:hAnsi="Times New Roman" w:cs="宋体"/>
                <w:color w:val="auto"/>
                <w:szCs w:val="21"/>
              </w:rPr>
              <w:t>g/L</w:t>
            </w:r>
            <w:r>
              <w:rPr>
                <w:rFonts w:hint="eastAsia" w:ascii="Times New Roman" w:hAnsi="Times New Roman"/>
                <w:bCs/>
                <w:color w:val="auto"/>
                <w:szCs w:val="21"/>
              </w:rPr>
              <w:t>）</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cs="宋体"/>
                <w:bCs/>
                <w:color w:val="auto"/>
                <w:szCs w:val="21"/>
              </w:rPr>
              <w:t>0.3L</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cs="宋体"/>
                <w:bCs/>
                <w:color w:val="auto"/>
                <w:szCs w:val="21"/>
              </w:rPr>
              <w:t>0.3L</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cs="宋体"/>
                <w:bCs/>
                <w:color w:val="auto"/>
                <w:szCs w:val="21"/>
              </w:rPr>
              <w:t>0.3L</w:t>
            </w:r>
          </w:p>
        </w:tc>
        <w:tc>
          <w:tcPr>
            <w:tcW w:w="741"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cs="宋体"/>
                <w:bCs/>
                <w:color w:val="auto"/>
                <w:szCs w:val="21"/>
              </w:rPr>
              <w:t>0.3L</w:t>
            </w:r>
          </w:p>
        </w:tc>
        <w:tc>
          <w:tcPr>
            <w:tcW w:w="742"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hint="default" w:ascii="Times New Roman" w:hAnsi="Times New Roman" w:cs="宋体" w:eastAsiaTheme="minorEastAsia"/>
                <w:bCs/>
                <w:color w:val="auto"/>
                <w:szCs w:val="21"/>
                <w:lang w:val="en-US" w:eastAsia="zh-CN"/>
              </w:rPr>
            </w:pPr>
            <w:r>
              <w:rPr>
                <w:rFonts w:hint="eastAsia" w:ascii="Times New Roman" w:hAnsi="Times New Roman" w:cs="宋体"/>
                <w:bCs/>
                <w:color w:val="auto"/>
                <w:szCs w:val="21"/>
                <w:lang w:val="en-US" w:eastAsia="zh-CN"/>
              </w:rPr>
              <w:t>0.3L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Cs/>
                <w:color w:val="auto"/>
                <w:szCs w:val="21"/>
              </w:rPr>
            </w:pPr>
          </w:p>
        </w:tc>
        <w:tc>
          <w:tcPr>
            <w:tcW w:w="971"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cs="宋体"/>
                <w:color w:val="auto"/>
                <w:szCs w:val="21"/>
              </w:rPr>
            </w:pPr>
            <w:r>
              <w:rPr>
                <w:rFonts w:hint="eastAsia" w:ascii="Times New Roman" w:hAnsi="Times New Roman" w:cs="宋体"/>
                <w:color w:val="auto"/>
                <w:szCs w:val="21"/>
              </w:rPr>
              <w:t>镉</w:t>
            </w:r>
            <w:r>
              <w:rPr>
                <w:rFonts w:hint="eastAsia" w:ascii="Times New Roman" w:hAnsi="Times New Roman"/>
                <w:bCs/>
                <w:color w:val="auto"/>
                <w:szCs w:val="21"/>
              </w:rPr>
              <w:t>（</w:t>
            </w:r>
            <w:r>
              <w:rPr>
                <w:rFonts w:ascii="Times New Roman" w:hAnsi="Times New Roman"/>
                <w:bCs/>
                <w:color w:val="auto"/>
                <w:szCs w:val="21"/>
              </w:rPr>
              <w:t>mg/L</w:t>
            </w:r>
            <w:r>
              <w:rPr>
                <w:rFonts w:hint="eastAsia" w:ascii="Times New Roman" w:hAnsi="Times New Roman"/>
                <w:bCs/>
                <w:color w:val="auto"/>
                <w:szCs w:val="21"/>
              </w:rPr>
              <w:t>）</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cs="宋体"/>
                <w:bCs/>
                <w:color w:val="auto"/>
                <w:szCs w:val="21"/>
              </w:rPr>
              <w:t>0.001L</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cs="宋体"/>
                <w:bCs/>
                <w:color w:val="auto"/>
                <w:szCs w:val="21"/>
              </w:rPr>
              <w:t>0.001L</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cs="宋体"/>
                <w:bCs/>
                <w:color w:val="auto"/>
                <w:szCs w:val="21"/>
              </w:rPr>
              <w:t>0.001L</w:t>
            </w:r>
          </w:p>
        </w:tc>
        <w:tc>
          <w:tcPr>
            <w:tcW w:w="741"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cs="宋体"/>
                <w:bCs/>
                <w:color w:val="auto"/>
                <w:szCs w:val="21"/>
              </w:rPr>
              <w:t>0.001L</w:t>
            </w:r>
          </w:p>
        </w:tc>
        <w:tc>
          <w:tcPr>
            <w:tcW w:w="742"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hint="default" w:ascii="Times New Roman" w:hAnsi="Times New Roman" w:cs="宋体" w:eastAsiaTheme="minorEastAsia"/>
                <w:bCs/>
                <w:color w:val="auto"/>
                <w:szCs w:val="21"/>
                <w:lang w:val="en-US" w:eastAsia="zh-CN"/>
              </w:rPr>
            </w:pPr>
            <w:r>
              <w:rPr>
                <w:rFonts w:hint="eastAsia" w:ascii="Times New Roman" w:hAnsi="Times New Roman" w:cs="宋体"/>
                <w:bCs/>
                <w:color w:val="auto"/>
                <w:szCs w:val="21"/>
                <w:lang w:val="en-US" w:eastAsia="zh-CN"/>
              </w:rPr>
              <w:t>0.001L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Cs/>
                <w:color w:val="auto"/>
                <w:szCs w:val="21"/>
              </w:rPr>
            </w:pPr>
          </w:p>
        </w:tc>
        <w:tc>
          <w:tcPr>
            <w:tcW w:w="971"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cs="宋体"/>
                <w:color w:val="auto"/>
                <w:szCs w:val="21"/>
              </w:rPr>
            </w:pPr>
            <w:r>
              <w:rPr>
                <w:rFonts w:hint="eastAsia" w:ascii="Times New Roman" w:hAnsi="Times New Roman" w:cs="宋体"/>
                <w:color w:val="auto"/>
                <w:szCs w:val="21"/>
              </w:rPr>
              <w:t>铜</w:t>
            </w:r>
            <w:r>
              <w:rPr>
                <w:rFonts w:hint="eastAsia" w:ascii="Times New Roman" w:hAnsi="Times New Roman"/>
                <w:bCs/>
                <w:color w:val="auto"/>
                <w:szCs w:val="21"/>
              </w:rPr>
              <w:t>（</w:t>
            </w:r>
            <w:r>
              <w:rPr>
                <w:rFonts w:ascii="Times New Roman" w:hAnsi="Times New Roman"/>
                <w:bCs/>
                <w:color w:val="auto"/>
                <w:szCs w:val="21"/>
              </w:rPr>
              <w:t>mg/L</w:t>
            </w:r>
            <w:r>
              <w:rPr>
                <w:rFonts w:hint="eastAsia" w:ascii="Times New Roman" w:hAnsi="Times New Roman"/>
                <w:bCs/>
                <w:color w:val="auto"/>
                <w:szCs w:val="21"/>
              </w:rPr>
              <w:t>）</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0.004</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0.004</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0.002</w:t>
            </w:r>
          </w:p>
        </w:tc>
        <w:tc>
          <w:tcPr>
            <w:tcW w:w="741"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0.001</w:t>
            </w:r>
          </w:p>
        </w:tc>
        <w:tc>
          <w:tcPr>
            <w:tcW w:w="742"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0.001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Cs/>
                <w:color w:val="auto"/>
                <w:szCs w:val="21"/>
              </w:rPr>
            </w:pPr>
          </w:p>
        </w:tc>
        <w:tc>
          <w:tcPr>
            <w:tcW w:w="971"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cs="宋体"/>
                <w:color w:val="auto"/>
                <w:szCs w:val="21"/>
              </w:rPr>
            </w:pPr>
            <w:r>
              <w:rPr>
                <w:rFonts w:hint="eastAsia" w:ascii="Times New Roman" w:hAnsi="Times New Roman" w:cs="宋体"/>
                <w:color w:val="auto"/>
                <w:szCs w:val="21"/>
              </w:rPr>
              <w:t>锌</w:t>
            </w:r>
            <w:r>
              <w:rPr>
                <w:rFonts w:hint="eastAsia" w:ascii="Times New Roman" w:hAnsi="Times New Roman"/>
                <w:bCs/>
                <w:color w:val="auto"/>
                <w:szCs w:val="21"/>
              </w:rPr>
              <w:t>（</w:t>
            </w:r>
            <w:r>
              <w:rPr>
                <w:rFonts w:ascii="Times New Roman" w:hAnsi="Times New Roman"/>
                <w:bCs/>
                <w:color w:val="auto"/>
                <w:szCs w:val="21"/>
              </w:rPr>
              <w:t>mg/L</w:t>
            </w:r>
            <w:r>
              <w:rPr>
                <w:rFonts w:hint="eastAsia" w:ascii="Times New Roman" w:hAnsi="Times New Roman"/>
                <w:bCs/>
                <w:color w:val="auto"/>
                <w:szCs w:val="21"/>
              </w:rPr>
              <w:t>）</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0.12</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0.14</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0.11</w:t>
            </w:r>
          </w:p>
        </w:tc>
        <w:tc>
          <w:tcPr>
            <w:tcW w:w="741"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0.11</w:t>
            </w:r>
          </w:p>
        </w:tc>
        <w:tc>
          <w:tcPr>
            <w:tcW w:w="742"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0.11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Cs/>
                <w:color w:val="auto"/>
                <w:szCs w:val="21"/>
              </w:rPr>
            </w:pPr>
          </w:p>
        </w:tc>
        <w:tc>
          <w:tcPr>
            <w:tcW w:w="971"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cs="宋体"/>
                <w:color w:val="auto"/>
                <w:szCs w:val="21"/>
              </w:rPr>
            </w:pPr>
            <w:r>
              <w:rPr>
                <w:rFonts w:hint="eastAsia" w:ascii="Times New Roman" w:hAnsi="Times New Roman" w:cs="宋体"/>
                <w:color w:val="auto"/>
                <w:szCs w:val="21"/>
              </w:rPr>
              <w:t>铅</w:t>
            </w:r>
            <w:r>
              <w:rPr>
                <w:rFonts w:hint="eastAsia" w:ascii="Times New Roman" w:hAnsi="Times New Roman"/>
                <w:bCs/>
                <w:color w:val="auto"/>
                <w:szCs w:val="21"/>
              </w:rPr>
              <w:t>（</w:t>
            </w:r>
            <w:r>
              <w:rPr>
                <w:rFonts w:ascii="Times New Roman" w:hAnsi="Times New Roman"/>
                <w:bCs/>
                <w:color w:val="auto"/>
                <w:szCs w:val="21"/>
              </w:rPr>
              <w:t>mg/L</w:t>
            </w:r>
            <w:r>
              <w:rPr>
                <w:rFonts w:hint="eastAsia" w:ascii="Times New Roman" w:hAnsi="Times New Roman"/>
                <w:bCs/>
                <w:color w:val="auto"/>
                <w:szCs w:val="21"/>
              </w:rPr>
              <w:t>）</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cs="宋体"/>
                <w:bCs/>
                <w:color w:val="auto"/>
                <w:szCs w:val="21"/>
              </w:rPr>
              <w:t>0.01L</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cs="宋体"/>
                <w:bCs/>
                <w:color w:val="auto"/>
                <w:szCs w:val="21"/>
              </w:rPr>
              <w:t>0.01L</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cs="宋体"/>
                <w:bCs/>
                <w:color w:val="auto"/>
                <w:szCs w:val="21"/>
              </w:rPr>
              <w:t>0.01L</w:t>
            </w:r>
          </w:p>
        </w:tc>
        <w:tc>
          <w:tcPr>
            <w:tcW w:w="741"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cs="宋体"/>
                <w:bCs/>
                <w:color w:val="auto"/>
                <w:szCs w:val="21"/>
              </w:rPr>
              <w:t>0.01L</w:t>
            </w:r>
          </w:p>
        </w:tc>
        <w:tc>
          <w:tcPr>
            <w:tcW w:w="742"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hint="default" w:ascii="Times New Roman" w:hAnsi="Times New Roman" w:cs="宋体" w:eastAsiaTheme="minorEastAsia"/>
                <w:bCs/>
                <w:color w:val="auto"/>
                <w:szCs w:val="21"/>
                <w:lang w:val="en-US" w:eastAsia="zh-CN"/>
              </w:rPr>
            </w:pPr>
            <w:r>
              <w:rPr>
                <w:rFonts w:hint="eastAsia" w:ascii="Times New Roman" w:hAnsi="Times New Roman" w:cs="宋体"/>
                <w:bCs/>
                <w:color w:val="auto"/>
                <w:szCs w:val="21"/>
                <w:lang w:val="en-US" w:eastAsia="zh-CN"/>
              </w:rPr>
              <w:t>0.01L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Cs/>
                <w:color w:val="auto"/>
                <w:szCs w:val="21"/>
              </w:rPr>
            </w:pPr>
          </w:p>
        </w:tc>
        <w:tc>
          <w:tcPr>
            <w:tcW w:w="971"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cs="宋体"/>
                <w:color w:val="auto"/>
                <w:szCs w:val="21"/>
              </w:rPr>
            </w:pPr>
            <w:r>
              <w:rPr>
                <w:rFonts w:hint="eastAsia" w:ascii="Times New Roman" w:hAnsi="Times New Roman" w:cs="宋体"/>
                <w:color w:val="auto"/>
                <w:szCs w:val="21"/>
              </w:rPr>
              <w:t>铬</w:t>
            </w:r>
            <w:r>
              <w:rPr>
                <w:rFonts w:hint="eastAsia" w:ascii="Times New Roman" w:hAnsi="Times New Roman"/>
                <w:bCs/>
                <w:color w:val="auto"/>
                <w:szCs w:val="21"/>
              </w:rPr>
              <w:t>（</w:t>
            </w:r>
            <w:r>
              <w:rPr>
                <w:rFonts w:ascii="Times New Roman" w:hAnsi="Times New Roman"/>
                <w:bCs/>
                <w:color w:val="auto"/>
                <w:szCs w:val="21"/>
              </w:rPr>
              <w:t>mg/L</w:t>
            </w:r>
            <w:r>
              <w:rPr>
                <w:rFonts w:hint="eastAsia" w:ascii="Times New Roman" w:hAnsi="Times New Roman"/>
                <w:bCs/>
                <w:color w:val="auto"/>
                <w:szCs w:val="21"/>
              </w:rPr>
              <w:t>）</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0.03L</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0.03L</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0.03L</w:t>
            </w:r>
          </w:p>
        </w:tc>
        <w:tc>
          <w:tcPr>
            <w:tcW w:w="741"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0.03L</w:t>
            </w:r>
          </w:p>
        </w:tc>
        <w:tc>
          <w:tcPr>
            <w:tcW w:w="742"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0.03L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Cs/>
                <w:color w:val="auto"/>
                <w:szCs w:val="21"/>
              </w:rPr>
            </w:pPr>
          </w:p>
        </w:tc>
        <w:tc>
          <w:tcPr>
            <w:tcW w:w="971"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cs="宋体"/>
                <w:color w:val="auto"/>
                <w:szCs w:val="21"/>
              </w:rPr>
            </w:pPr>
            <w:r>
              <w:rPr>
                <w:rFonts w:hint="eastAsia" w:ascii="Times New Roman" w:hAnsi="Times New Roman" w:cs="宋体"/>
                <w:color w:val="auto"/>
                <w:szCs w:val="21"/>
              </w:rPr>
              <w:t>铁</w:t>
            </w:r>
            <w:r>
              <w:rPr>
                <w:rFonts w:hint="eastAsia" w:ascii="Times New Roman" w:hAnsi="Times New Roman"/>
                <w:bCs/>
                <w:color w:val="auto"/>
                <w:szCs w:val="21"/>
              </w:rPr>
              <w:t>（</w:t>
            </w:r>
            <w:r>
              <w:rPr>
                <w:rFonts w:ascii="Times New Roman" w:hAnsi="Times New Roman"/>
                <w:bCs/>
                <w:color w:val="auto"/>
                <w:szCs w:val="21"/>
              </w:rPr>
              <w:t>mg/L</w:t>
            </w:r>
            <w:r>
              <w:rPr>
                <w:rFonts w:hint="eastAsia" w:ascii="Times New Roman" w:hAnsi="Times New Roman"/>
                <w:bCs/>
                <w:color w:val="auto"/>
                <w:szCs w:val="21"/>
              </w:rPr>
              <w:t>）</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cs="宋体"/>
                <w:bCs/>
                <w:color w:val="auto"/>
                <w:szCs w:val="21"/>
              </w:rPr>
              <w:t>0.01L</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cs="宋体"/>
                <w:bCs/>
                <w:color w:val="auto"/>
                <w:szCs w:val="21"/>
              </w:rPr>
              <w:t>0.01L</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cs="宋体"/>
                <w:bCs/>
                <w:color w:val="auto"/>
                <w:szCs w:val="21"/>
              </w:rPr>
              <w:t>0.01L</w:t>
            </w:r>
          </w:p>
        </w:tc>
        <w:tc>
          <w:tcPr>
            <w:tcW w:w="741"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cs="宋体"/>
                <w:bCs/>
                <w:color w:val="auto"/>
                <w:szCs w:val="21"/>
              </w:rPr>
              <w:t>0.01L</w:t>
            </w:r>
          </w:p>
        </w:tc>
        <w:tc>
          <w:tcPr>
            <w:tcW w:w="742"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hint="default" w:ascii="Times New Roman" w:hAnsi="Times New Roman" w:cs="宋体" w:eastAsiaTheme="minorEastAsia"/>
                <w:bCs/>
                <w:color w:val="auto"/>
                <w:szCs w:val="21"/>
                <w:lang w:val="en-US" w:eastAsia="zh-CN"/>
              </w:rPr>
            </w:pPr>
            <w:r>
              <w:rPr>
                <w:rFonts w:hint="eastAsia" w:ascii="Times New Roman" w:hAnsi="Times New Roman" w:cs="宋体"/>
                <w:bCs/>
                <w:color w:val="auto"/>
                <w:szCs w:val="21"/>
                <w:lang w:val="en-US" w:eastAsia="zh-CN"/>
              </w:rPr>
              <w:t>0.01L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Cs/>
                <w:color w:val="auto"/>
                <w:szCs w:val="21"/>
              </w:rPr>
            </w:pPr>
            <w:r>
              <w:rPr>
                <w:rFonts w:hint="eastAsia" w:ascii="Times New Roman" w:hAnsi="Times New Roman"/>
                <w:bCs/>
                <w:color w:val="auto"/>
                <w:szCs w:val="21"/>
              </w:rPr>
              <w:t>备注</w:t>
            </w:r>
          </w:p>
        </w:tc>
        <w:tc>
          <w:tcPr>
            <w:tcW w:w="4661" w:type="pct"/>
            <w:gridSpan w:val="6"/>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bottom"/>
              <w:rPr>
                <w:rFonts w:hint="eastAsia" w:ascii="Times New Roman" w:hAnsi="Times New Roman"/>
                <w:color w:val="auto"/>
                <w:szCs w:val="21"/>
              </w:rPr>
            </w:pPr>
            <w:r>
              <w:rPr>
                <w:rFonts w:hint="eastAsia" w:ascii="Times New Roman" w:hAnsi="Times New Roman"/>
                <w:color w:val="auto"/>
                <w:szCs w:val="21"/>
              </w:rPr>
              <w:t>“</w:t>
            </w:r>
            <w:r>
              <w:rPr>
                <w:rFonts w:ascii="Times New Roman" w:hAnsi="Times New Roman"/>
                <w:color w:val="auto"/>
                <w:szCs w:val="21"/>
              </w:rPr>
              <w:t>L</w:t>
            </w:r>
            <w:r>
              <w:rPr>
                <w:rFonts w:hint="eastAsia" w:ascii="Times New Roman" w:hAnsi="Times New Roman"/>
                <w:color w:val="auto"/>
                <w:szCs w:val="21"/>
              </w:rPr>
              <w:t>”表示未检出，检测结果低于方法检出限以</w:t>
            </w:r>
            <w:r>
              <w:rPr>
                <w:rFonts w:ascii="Times New Roman" w:hAnsi="Times New Roman"/>
                <w:color w:val="auto"/>
                <w:szCs w:val="21"/>
              </w:rPr>
              <w:t>L</w:t>
            </w:r>
            <w:r>
              <w:rPr>
                <w:rFonts w:hint="eastAsia" w:ascii="Times New Roman" w:hAnsi="Times New Roman"/>
                <w:color w:val="auto"/>
                <w:szCs w:val="21"/>
              </w:rPr>
              <w:t>或未检出表示</w:t>
            </w:r>
          </w:p>
        </w:tc>
      </w:tr>
    </w:tbl>
    <w:p>
      <w:pPr>
        <w:pStyle w:val="104"/>
        <w:ind w:firstLine="422"/>
        <w:jc w:val="center"/>
        <w:rPr>
          <w:rFonts w:hint="eastAsia" w:ascii="Times New Roman" w:hAnsi="Times New Roman" w:eastAsia="宋体"/>
          <w:b/>
          <w:color w:val="auto"/>
          <w:sz w:val="21"/>
          <w:szCs w:val="21"/>
          <w:lang w:val="en-US" w:eastAsia="zh-CN"/>
        </w:rPr>
      </w:pPr>
      <w:r>
        <w:rPr>
          <w:rFonts w:ascii="Times New Roman" w:hAnsi="Times New Roman"/>
          <w:b/>
          <w:color w:val="auto"/>
          <w:sz w:val="21"/>
          <w:szCs w:val="21"/>
        </w:rPr>
        <w:t>表9.</w:t>
      </w:r>
      <w:r>
        <w:rPr>
          <w:rFonts w:hint="eastAsia" w:ascii="Times New Roman" w:hAnsi="Times New Roman"/>
          <w:b/>
          <w:color w:val="auto"/>
          <w:sz w:val="21"/>
          <w:szCs w:val="21"/>
        </w:rPr>
        <w:t>3</w:t>
      </w:r>
      <w:r>
        <w:rPr>
          <w:rFonts w:ascii="Times New Roman" w:hAnsi="Times New Roman"/>
          <w:b/>
          <w:color w:val="auto"/>
          <w:sz w:val="21"/>
          <w:szCs w:val="21"/>
        </w:rPr>
        <w:t>-</w:t>
      </w:r>
      <w:r>
        <w:rPr>
          <w:rFonts w:hint="eastAsia" w:ascii="Times New Roman" w:hAnsi="Times New Roman"/>
          <w:b/>
          <w:color w:val="auto"/>
          <w:sz w:val="21"/>
          <w:szCs w:val="21"/>
          <w:lang w:val="en-US" w:eastAsia="zh-CN"/>
        </w:rPr>
        <w:t xml:space="preserve">2 </w:t>
      </w:r>
      <w:r>
        <w:rPr>
          <w:rFonts w:hint="eastAsia" w:ascii="Times New Roman" w:hAnsi="Times New Roman"/>
          <w:b/>
          <w:color w:val="auto"/>
          <w:sz w:val="21"/>
          <w:szCs w:val="21"/>
        </w:rPr>
        <w:t>地下水</w:t>
      </w:r>
      <w:r>
        <w:rPr>
          <w:rFonts w:ascii="Times New Roman" w:hAnsi="Times New Roman"/>
          <w:b/>
          <w:color w:val="auto"/>
          <w:sz w:val="21"/>
          <w:szCs w:val="21"/>
        </w:rPr>
        <w:t>监测结果表</w:t>
      </w:r>
      <w:r>
        <w:rPr>
          <w:rFonts w:hint="eastAsia" w:ascii="Times New Roman" w:hAnsi="Times New Roman"/>
          <w:b/>
          <w:color w:val="auto"/>
          <w:sz w:val="21"/>
          <w:szCs w:val="21"/>
          <w:lang w:eastAsia="zh-CN"/>
        </w:rPr>
        <w:t>（</w:t>
      </w:r>
      <w:r>
        <w:rPr>
          <w:rFonts w:hint="eastAsia" w:ascii="Times New Roman" w:hAnsi="Times New Roman"/>
          <w:b/>
          <w:color w:val="auto"/>
          <w:sz w:val="21"/>
          <w:szCs w:val="21"/>
          <w:lang w:val="en-US" w:eastAsia="zh-CN"/>
        </w:rPr>
        <w:t>2</w:t>
      </w:r>
      <w:r>
        <w:rPr>
          <w:rFonts w:hint="eastAsia" w:ascii="Times New Roman" w:hAnsi="Times New Roman"/>
          <w:b/>
          <w:color w:val="auto"/>
          <w:sz w:val="21"/>
          <w:szCs w:val="21"/>
          <w:lang w:eastAsia="zh-CN"/>
        </w:rPr>
        <w:t>）</w:t>
      </w:r>
    </w:p>
    <w:tbl>
      <w:tblPr>
        <w:tblStyle w:val="29"/>
        <w:tblpPr w:leftFromText="180" w:rightFromText="180" w:vertAnchor="text" w:horzAnchor="margin" w:tblpXSpec="center" w:tblpY="66"/>
        <w:tblW w:w="4995"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35"/>
        <w:gridCol w:w="1824"/>
        <w:gridCol w:w="1380"/>
        <w:gridCol w:w="1380"/>
        <w:gridCol w:w="1380"/>
        <w:gridCol w:w="1396"/>
        <w:gridCol w:w="139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09"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
                <w:color w:val="auto"/>
                <w:szCs w:val="21"/>
              </w:rPr>
            </w:pPr>
            <w:r>
              <w:rPr>
                <w:rFonts w:hint="eastAsia" w:ascii="Times New Roman" w:hAnsi="Times New Roman"/>
                <w:b/>
                <w:color w:val="auto"/>
                <w:szCs w:val="21"/>
              </w:rPr>
              <w:t>监测点位</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cs="宋体"/>
                <w:b/>
                <w:bCs/>
                <w:color w:val="auto"/>
                <w:szCs w:val="21"/>
              </w:rPr>
            </w:pPr>
            <w:r>
              <w:rPr>
                <w:rFonts w:hint="eastAsia" w:ascii="Times New Roman" w:hAnsi="Times New Roman" w:cs="宋体"/>
                <w:b/>
                <w:bCs/>
                <w:color w:val="auto"/>
                <w:szCs w:val="21"/>
              </w:rPr>
              <w:t>填埋库区上游</w:t>
            </w:r>
            <w:r>
              <w:rPr>
                <w:rFonts w:ascii="Times New Roman" w:hAnsi="Times New Roman" w:cs="宋体"/>
                <w:b/>
                <w:bCs/>
                <w:color w:val="auto"/>
                <w:szCs w:val="21"/>
              </w:rPr>
              <w:t>40m</w:t>
            </w:r>
            <w:r>
              <w:rPr>
                <w:rFonts w:hint="eastAsia" w:ascii="Times New Roman" w:hAnsi="Times New Roman" w:cs="宋体"/>
                <w:b/>
                <w:bCs/>
                <w:color w:val="auto"/>
                <w:szCs w:val="21"/>
              </w:rPr>
              <w:t>处</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cs="宋体" w:eastAsiaTheme="minorEastAsia"/>
                <w:b/>
                <w:bCs/>
                <w:color w:val="auto"/>
                <w:szCs w:val="21"/>
                <w:lang w:eastAsia="zh-CN"/>
              </w:rPr>
            </w:pPr>
            <w:r>
              <w:rPr>
                <w:rFonts w:hint="eastAsia" w:ascii="Times New Roman" w:hAnsi="Times New Roman" w:cs="宋体"/>
                <w:b/>
                <w:bCs/>
                <w:color w:val="auto"/>
                <w:szCs w:val="21"/>
              </w:rPr>
              <w:t>填埋库区</w:t>
            </w:r>
            <w:r>
              <w:rPr>
                <w:rFonts w:hint="eastAsia" w:ascii="Times New Roman" w:hAnsi="Times New Roman" w:cs="宋体"/>
                <w:b/>
                <w:bCs/>
                <w:color w:val="auto"/>
                <w:szCs w:val="21"/>
                <w:lang w:eastAsia="zh-CN"/>
              </w:rPr>
              <w:t>南</w:t>
            </w:r>
            <w:r>
              <w:rPr>
                <w:rFonts w:hint="eastAsia" w:ascii="Times New Roman" w:hAnsi="Times New Roman" w:cs="宋体"/>
                <w:b/>
                <w:bCs/>
                <w:color w:val="auto"/>
                <w:szCs w:val="21"/>
              </w:rPr>
              <w:t>侧</w:t>
            </w:r>
            <w:r>
              <w:rPr>
                <w:rFonts w:hint="eastAsia" w:ascii="Times New Roman" w:hAnsi="Times New Roman" w:cs="宋体"/>
                <w:b/>
                <w:bCs/>
                <w:color w:val="auto"/>
                <w:szCs w:val="21"/>
                <w:lang w:eastAsia="zh-CN"/>
              </w:rPr>
              <w:t>监控井</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cs="宋体"/>
                <w:b/>
                <w:bCs/>
                <w:color w:val="auto"/>
                <w:szCs w:val="21"/>
              </w:rPr>
            </w:pPr>
            <w:r>
              <w:rPr>
                <w:rFonts w:hint="eastAsia" w:ascii="Times New Roman" w:hAnsi="Times New Roman" w:cs="宋体"/>
                <w:b/>
                <w:bCs/>
                <w:color w:val="auto"/>
                <w:szCs w:val="21"/>
              </w:rPr>
              <w:t>填埋库区下游</w:t>
            </w:r>
            <w:r>
              <w:rPr>
                <w:rFonts w:ascii="Times New Roman" w:hAnsi="Times New Roman" w:cs="宋体"/>
                <w:b/>
                <w:bCs/>
                <w:color w:val="auto"/>
                <w:szCs w:val="21"/>
              </w:rPr>
              <w:t>30m</w:t>
            </w:r>
            <w:r>
              <w:rPr>
                <w:rFonts w:hint="eastAsia" w:ascii="Times New Roman" w:hAnsi="Times New Roman" w:cs="宋体"/>
                <w:b/>
                <w:bCs/>
                <w:color w:val="auto"/>
                <w:szCs w:val="21"/>
              </w:rPr>
              <w:t>处</w:t>
            </w:r>
          </w:p>
        </w:tc>
        <w:tc>
          <w:tcPr>
            <w:tcW w:w="743"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cs="宋体"/>
                <w:b/>
                <w:bCs/>
                <w:color w:val="auto"/>
                <w:szCs w:val="21"/>
              </w:rPr>
            </w:pPr>
            <w:r>
              <w:rPr>
                <w:rFonts w:hint="eastAsia" w:ascii="Times New Roman" w:hAnsi="Times New Roman" w:cs="宋体"/>
                <w:b/>
                <w:bCs/>
                <w:color w:val="auto"/>
                <w:szCs w:val="21"/>
              </w:rPr>
              <w:t>填埋库区下游</w:t>
            </w:r>
            <w:r>
              <w:rPr>
                <w:rFonts w:ascii="Times New Roman" w:hAnsi="Times New Roman" w:cs="宋体"/>
                <w:b/>
                <w:bCs/>
                <w:color w:val="auto"/>
                <w:szCs w:val="21"/>
              </w:rPr>
              <w:t>50m</w:t>
            </w:r>
            <w:r>
              <w:rPr>
                <w:rFonts w:hint="eastAsia" w:ascii="Times New Roman" w:hAnsi="Times New Roman" w:cs="宋体"/>
                <w:b/>
                <w:bCs/>
                <w:color w:val="auto"/>
                <w:szCs w:val="21"/>
              </w:rPr>
              <w:t>处</w:t>
            </w:r>
          </w:p>
        </w:tc>
        <w:tc>
          <w:tcPr>
            <w:tcW w:w="740"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cs="宋体" w:eastAsiaTheme="minorEastAsia"/>
                <w:b/>
                <w:bCs/>
                <w:color w:val="auto"/>
                <w:szCs w:val="21"/>
                <w:lang w:eastAsia="zh-CN"/>
              </w:rPr>
            </w:pPr>
            <w:r>
              <w:rPr>
                <w:rFonts w:hint="eastAsia" w:ascii="Times New Roman" w:hAnsi="Times New Roman" w:cs="宋体"/>
                <w:b/>
                <w:bCs/>
                <w:color w:val="auto"/>
                <w:szCs w:val="21"/>
                <w:lang w:eastAsia="zh-CN"/>
              </w:rPr>
              <w:t>填埋库区西北侧监控井</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00" w:type="pct"/>
            <w:gridSpan w:val="7"/>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hint="eastAsia" w:ascii="Times New Roman" w:hAnsi="Times New Roman"/>
                <w:b/>
                <w:color w:val="auto"/>
                <w:szCs w:val="21"/>
              </w:rPr>
            </w:pPr>
            <w:r>
              <w:rPr>
                <w:rFonts w:hint="eastAsia" w:ascii="Times New Roman" w:hAnsi="Times New Roman"/>
                <w:b/>
                <w:color w:val="auto"/>
                <w:szCs w:val="21"/>
              </w:rPr>
              <w:t>监测日期：</w:t>
            </w:r>
            <w:r>
              <w:rPr>
                <w:rFonts w:ascii="Times New Roman" w:hAnsi="Times New Roman"/>
                <w:b/>
                <w:color w:val="auto"/>
                <w:szCs w:val="21"/>
              </w:rPr>
              <w:t>2020</w:t>
            </w:r>
            <w:r>
              <w:rPr>
                <w:rFonts w:hint="eastAsia" w:ascii="Times New Roman" w:hAnsi="Times New Roman"/>
                <w:b/>
                <w:color w:val="auto"/>
                <w:szCs w:val="21"/>
              </w:rPr>
              <w:t>年</w:t>
            </w:r>
            <w:r>
              <w:rPr>
                <w:rFonts w:ascii="Times New Roman" w:hAnsi="Times New Roman"/>
                <w:b/>
                <w:color w:val="auto"/>
                <w:szCs w:val="21"/>
              </w:rPr>
              <w:t>10</w:t>
            </w:r>
            <w:r>
              <w:rPr>
                <w:rFonts w:hint="eastAsia" w:ascii="Times New Roman" w:hAnsi="Times New Roman"/>
                <w:b/>
                <w:color w:val="auto"/>
                <w:szCs w:val="21"/>
              </w:rPr>
              <w:t>月</w:t>
            </w:r>
            <w:r>
              <w:rPr>
                <w:rFonts w:ascii="Times New Roman" w:hAnsi="Times New Roman"/>
                <w:b/>
                <w:color w:val="auto"/>
                <w:szCs w:val="21"/>
              </w:rPr>
              <w:t>23</w:t>
            </w:r>
            <w:r>
              <w:rPr>
                <w:rFonts w:hint="eastAsia" w:ascii="Times New Roman" w:hAnsi="Times New Roman"/>
                <w:b/>
                <w:color w:val="auto"/>
                <w:szCs w:val="21"/>
              </w:rPr>
              <w:t>日</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restar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
                <w:color w:val="auto"/>
                <w:szCs w:val="21"/>
              </w:rPr>
            </w:pPr>
            <w:r>
              <w:rPr>
                <w:rFonts w:hint="eastAsia" w:ascii="Times New Roman" w:hAnsi="Times New Roman"/>
                <w:b/>
                <w:color w:val="auto"/>
                <w:szCs w:val="21"/>
              </w:rPr>
              <w:t>分析项目</w:t>
            </w:r>
          </w:p>
        </w:tc>
        <w:tc>
          <w:tcPr>
            <w:tcW w:w="970"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Cs/>
                <w:color w:val="auto"/>
                <w:szCs w:val="21"/>
              </w:rPr>
            </w:pPr>
            <w:r>
              <w:rPr>
                <w:rFonts w:ascii="Times New Roman" w:hAnsi="Times New Roman"/>
                <w:bCs/>
                <w:color w:val="auto"/>
                <w:szCs w:val="21"/>
              </w:rPr>
              <w:t>pH</w:t>
            </w:r>
            <w:r>
              <w:rPr>
                <w:rFonts w:hint="eastAsia" w:ascii="Times New Roman" w:hAnsi="Times New Roman"/>
                <w:bCs/>
                <w:color w:val="auto"/>
                <w:szCs w:val="21"/>
              </w:rPr>
              <w:t>（无量纲）</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7.51</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7.51</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7.49</w:t>
            </w:r>
          </w:p>
        </w:tc>
        <w:tc>
          <w:tcPr>
            <w:tcW w:w="743"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7.32</w:t>
            </w:r>
          </w:p>
        </w:tc>
        <w:tc>
          <w:tcPr>
            <w:tcW w:w="740"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7.48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Cs/>
                <w:color w:val="auto"/>
                <w:szCs w:val="21"/>
              </w:rPr>
            </w:pPr>
          </w:p>
        </w:tc>
        <w:tc>
          <w:tcPr>
            <w:tcW w:w="970"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Cs/>
                <w:color w:val="auto"/>
                <w:szCs w:val="21"/>
              </w:rPr>
            </w:pPr>
            <w:r>
              <w:rPr>
                <w:rFonts w:hint="eastAsia" w:ascii="Times New Roman" w:hAnsi="Times New Roman"/>
                <w:bCs/>
                <w:color w:val="auto"/>
                <w:szCs w:val="21"/>
              </w:rPr>
              <w:t>耗氧量（</w:t>
            </w:r>
            <w:r>
              <w:rPr>
                <w:rFonts w:ascii="Times New Roman" w:hAnsi="Times New Roman"/>
                <w:bCs/>
                <w:color w:val="auto"/>
                <w:szCs w:val="21"/>
              </w:rPr>
              <w:t>mg/L</w:t>
            </w:r>
            <w:r>
              <w:rPr>
                <w:rFonts w:hint="eastAsia" w:ascii="Times New Roman" w:hAnsi="Times New Roman"/>
                <w:bCs/>
                <w:color w:val="auto"/>
                <w:szCs w:val="21"/>
              </w:rPr>
              <w:t>）</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2.11</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1.85</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2.11</w:t>
            </w:r>
          </w:p>
        </w:tc>
        <w:tc>
          <w:tcPr>
            <w:tcW w:w="743"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1.85</w:t>
            </w:r>
          </w:p>
        </w:tc>
        <w:tc>
          <w:tcPr>
            <w:tcW w:w="740"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1.95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Cs/>
                <w:color w:val="auto"/>
                <w:szCs w:val="21"/>
              </w:rPr>
            </w:pPr>
          </w:p>
        </w:tc>
        <w:tc>
          <w:tcPr>
            <w:tcW w:w="970"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Cs/>
                <w:color w:val="auto"/>
                <w:szCs w:val="21"/>
              </w:rPr>
            </w:pPr>
            <w:r>
              <w:rPr>
                <w:rFonts w:hint="eastAsia" w:ascii="Times New Roman" w:hAnsi="Times New Roman"/>
                <w:bCs/>
                <w:color w:val="auto"/>
                <w:szCs w:val="21"/>
              </w:rPr>
              <w:t>总硬度（</w:t>
            </w:r>
            <w:r>
              <w:rPr>
                <w:rFonts w:ascii="Times New Roman" w:hAnsi="Times New Roman"/>
                <w:bCs/>
                <w:color w:val="auto"/>
                <w:szCs w:val="21"/>
              </w:rPr>
              <w:t>mg/L</w:t>
            </w:r>
            <w:r>
              <w:rPr>
                <w:rFonts w:hint="eastAsia" w:ascii="Times New Roman" w:hAnsi="Times New Roman"/>
                <w:bCs/>
                <w:color w:val="auto"/>
                <w:szCs w:val="21"/>
              </w:rPr>
              <w:t>）</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114</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116</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115</w:t>
            </w:r>
          </w:p>
        </w:tc>
        <w:tc>
          <w:tcPr>
            <w:tcW w:w="743"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108</w:t>
            </w:r>
          </w:p>
        </w:tc>
        <w:tc>
          <w:tcPr>
            <w:tcW w:w="740"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118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Cs/>
                <w:color w:val="auto"/>
                <w:szCs w:val="21"/>
              </w:rPr>
            </w:pPr>
          </w:p>
        </w:tc>
        <w:tc>
          <w:tcPr>
            <w:tcW w:w="970"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Cs/>
                <w:color w:val="auto"/>
                <w:szCs w:val="21"/>
              </w:rPr>
            </w:pPr>
            <w:r>
              <w:rPr>
                <w:rFonts w:hint="eastAsia" w:ascii="Times New Roman" w:hAnsi="Times New Roman"/>
                <w:bCs/>
                <w:color w:val="auto"/>
                <w:szCs w:val="21"/>
              </w:rPr>
              <w:t>溶解性总固体（</w:t>
            </w:r>
            <w:r>
              <w:rPr>
                <w:rFonts w:ascii="Times New Roman" w:hAnsi="Times New Roman"/>
                <w:bCs/>
                <w:color w:val="auto"/>
                <w:szCs w:val="21"/>
              </w:rPr>
              <w:t>mg/L</w:t>
            </w:r>
            <w:r>
              <w:rPr>
                <w:rFonts w:hint="eastAsia" w:ascii="Times New Roman" w:hAnsi="Times New Roman"/>
                <w:bCs/>
                <w:color w:val="auto"/>
                <w:szCs w:val="21"/>
              </w:rPr>
              <w:t>）</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324</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321</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315</w:t>
            </w:r>
          </w:p>
        </w:tc>
        <w:tc>
          <w:tcPr>
            <w:tcW w:w="743"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324</w:t>
            </w:r>
          </w:p>
        </w:tc>
        <w:tc>
          <w:tcPr>
            <w:tcW w:w="740"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318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Cs/>
                <w:color w:val="auto"/>
                <w:szCs w:val="21"/>
              </w:rPr>
            </w:pPr>
          </w:p>
        </w:tc>
        <w:tc>
          <w:tcPr>
            <w:tcW w:w="970"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cs="宋体"/>
                <w:color w:val="auto"/>
                <w:szCs w:val="21"/>
              </w:rPr>
            </w:pPr>
            <w:r>
              <w:rPr>
                <w:rFonts w:hint="eastAsia" w:ascii="Times New Roman" w:hAnsi="Times New Roman" w:cs="宋体"/>
                <w:color w:val="auto"/>
                <w:szCs w:val="21"/>
              </w:rPr>
              <w:t>氯化物</w:t>
            </w:r>
            <w:r>
              <w:rPr>
                <w:rFonts w:hint="eastAsia" w:ascii="Times New Roman" w:hAnsi="Times New Roman"/>
                <w:bCs/>
                <w:color w:val="auto"/>
                <w:szCs w:val="21"/>
              </w:rPr>
              <w:t>（</w:t>
            </w:r>
            <w:r>
              <w:rPr>
                <w:rFonts w:ascii="Times New Roman" w:hAnsi="Times New Roman"/>
                <w:bCs/>
                <w:color w:val="auto"/>
                <w:szCs w:val="21"/>
              </w:rPr>
              <w:t>mg/L</w:t>
            </w:r>
            <w:r>
              <w:rPr>
                <w:rFonts w:hint="eastAsia" w:ascii="Times New Roman" w:hAnsi="Times New Roman"/>
                <w:bCs/>
                <w:color w:val="auto"/>
                <w:szCs w:val="21"/>
              </w:rPr>
              <w:t>）</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24.5</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25.1</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24.8</w:t>
            </w:r>
          </w:p>
        </w:tc>
        <w:tc>
          <w:tcPr>
            <w:tcW w:w="743"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24.9</w:t>
            </w:r>
          </w:p>
        </w:tc>
        <w:tc>
          <w:tcPr>
            <w:tcW w:w="740"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23.9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Cs/>
                <w:color w:val="auto"/>
                <w:szCs w:val="21"/>
              </w:rPr>
            </w:pPr>
          </w:p>
        </w:tc>
        <w:tc>
          <w:tcPr>
            <w:tcW w:w="970"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cs="宋体"/>
                <w:color w:val="auto"/>
                <w:szCs w:val="21"/>
              </w:rPr>
            </w:pPr>
            <w:r>
              <w:rPr>
                <w:rFonts w:hint="eastAsia" w:ascii="Times New Roman" w:hAnsi="Times New Roman" w:cs="宋体"/>
                <w:color w:val="auto"/>
                <w:szCs w:val="21"/>
              </w:rPr>
              <w:t>硫酸盐</w:t>
            </w:r>
            <w:r>
              <w:rPr>
                <w:rFonts w:hint="eastAsia" w:ascii="Times New Roman" w:hAnsi="Times New Roman"/>
                <w:bCs/>
                <w:color w:val="auto"/>
                <w:szCs w:val="21"/>
              </w:rPr>
              <w:t>（</w:t>
            </w:r>
            <w:r>
              <w:rPr>
                <w:rFonts w:ascii="Times New Roman" w:hAnsi="Times New Roman"/>
                <w:bCs/>
                <w:color w:val="auto"/>
                <w:szCs w:val="21"/>
              </w:rPr>
              <w:t>mg/L</w:t>
            </w:r>
            <w:r>
              <w:rPr>
                <w:rFonts w:hint="eastAsia" w:ascii="Times New Roman" w:hAnsi="Times New Roman"/>
                <w:bCs/>
                <w:color w:val="auto"/>
                <w:szCs w:val="21"/>
              </w:rPr>
              <w:t>）</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78.1</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78.2</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78.2</w:t>
            </w:r>
          </w:p>
        </w:tc>
        <w:tc>
          <w:tcPr>
            <w:tcW w:w="743"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79.1</w:t>
            </w:r>
          </w:p>
        </w:tc>
        <w:tc>
          <w:tcPr>
            <w:tcW w:w="740"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77.9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Cs/>
                <w:color w:val="auto"/>
                <w:szCs w:val="21"/>
              </w:rPr>
            </w:pPr>
          </w:p>
        </w:tc>
        <w:tc>
          <w:tcPr>
            <w:tcW w:w="970"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cs="宋体"/>
                <w:color w:val="auto"/>
                <w:szCs w:val="21"/>
              </w:rPr>
            </w:pPr>
            <w:r>
              <w:rPr>
                <w:rFonts w:hint="eastAsia" w:ascii="Times New Roman" w:hAnsi="Times New Roman" w:cs="宋体"/>
                <w:color w:val="auto"/>
                <w:szCs w:val="21"/>
              </w:rPr>
              <w:t>硝酸盐</w:t>
            </w:r>
            <w:r>
              <w:rPr>
                <w:rFonts w:hint="eastAsia" w:ascii="Times New Roman" w:hAnsi="Times New Roman"/>
                <w:bCs/>
                <w:color w:val="auto"/>
                <w:szCs w:val="21"/>
              </w:rPr>
              <w:t>（</w:t>
            </w:r>
            <w:r>
              <w:rPr>
                <w:rFonts w:ascii="Times New Roman" w:hAnsi="Times New Roman"/>
                <w:bCs/>
                <w:color w:val="auto"/>
                <w:szCs w:val="21"/>
              </w:rPr>
              <w:t>mg/L</w:t>
            </w:r>
            <w:r>
              <w:rPr>
                <w:rFonts w:hint="eastAsia" w:ascii="Times New Roman" w:hAnsi="Times New Roman"/>
                <w:bCs/>
                <w:color w:val="auto"/>
                <w:szCs w:val="21"/>
              </w:rPr>
              <w:t>）</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8.10</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8.12</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8.14</w:t>
            </w:r>
          </w:p>
        </w:tc>
        <w:tc>
          <w:tcPr>
            <w:tcW w:w="743"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8.14</w:t>
            </w:r>
          </w:p>
        </w:tc>
        <w:tc>
          <w:tcPr>
            <w:tcW w:w="740"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7.91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Cs/>
                <w:color w:val="FF0000"/>
                <w:szCs w:val="21"/>
              </w:rPr>
            </w:pPr>
          </w:p>
        </w:tc>
        <w:tc>
          <w:tcPr>
            <w:tcW w:w="970"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cs="宋体"/>
                <w:color w:val="auto"/>
                <w:szCs w:val="21"/>
              </w:rPr>
            </w:pPr>
            <w:r>
              <w:rPr>
                <w:rFonts w:hint="eastAsia" w:ascii="Times New Roman" w:hAnsi="Times New Roman" w:cs="宋体"/>
                <w:color w:val="auto"/>
                <w:szCs w:val="21"/>
              </w:rPr>
              <w:t>氟化物</w:t>
            </w:r>
            <w:r>
              <w:rPr>
                <w:rFonts w:hint="eastAsia" w:ascii="Times New Roman" w:hAnsi="Times New Roman"/>
                <w:bCs/>
                <w:color w:val="auto"/>
                <w:szCs w:val="21"/>
              </w:rPr>
              <w:t>（</w:t>
            </w:r>
            <w:r>
              <w:rPr>
                <w:rFonts w:ascii="Times New Roman" w:hAnsi="Times New Roman"/>
                <w:bCs/>
                <w:color w:val="auto"/>
                <w:szCs w:val="21"/>
              </w:rPr>
              <w:t>mg/L</w:t>
            </w:r>
            <w:r>
              <w:rPr>
                <w:rFonts w:hint="eastAsia" w:ascii="Times New Roman" w:hAnsi="Times New Roman"/>
                <w:bCs/>
                <w:color w:val="auto"/>
                <w:szCs w:val="21"/>
              </w:rPr>
              <w:t>）</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0.81</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0.85</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0.85</w:t>
            </w:r>
          </w:p>
        </w:tc>
        <w:tc>
          <w:tcPr>
            <w:tcW w:w="743"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0.85</w:t>
            </w:r>
          </w:p>
        </w:tc>
        <w:tc>
          <w:tcPr>
            <w:tcW w:w="740"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0.84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Cs/>
                <w:color w:val="auto"/>
                <w:szCs w:val="21"/>
              </w:rPr>
            </w:pPr>
          </w:p>
        </w:tc>
        <w:tc>
          <w:tcPr>
            <w:tcW w:w="970"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cs="宋体"/>
                <w:color w:val="auto"/>
                <w:szCs w:val="21"/>
              </w:rPr>
            </w:pPr>
            <w:r>
              <w:rPr>
                <w:rFonts w:hint="eastAsia" w:ascii="Times New Roman" w:hAnsi="Times New Roman" w:cs="宋体"/>
                <w:color w:val="auto"/>
                <w:szCs w:val="21"/>
              </w:rPr>
              <w:t>氨氮</w:t>
            </w:r>
            <w:r>
              <w:rPr>
                <w:rFonts w:hint="eastAsia" w:ascii="Times New Roman" w:hAnsi="Times New Roman"/>
                <w:bCs/>
                <w:color w:val="auto"/>
                <w:szCs w:val="21"/>
              </w:rPr>
              <w:t>（</w:t>
            </w:r>
            <w:r>
              <w:rPr>
                <w:rFonts w:ascii="Times New Roman" w:hAnsi="Times New Roman"/>
                <w:bCs/>
                <w:color w:val="auto"/>
                <w:szCs w:val="21"/>
              </w:rPr>
              <w:t>mg/L</w:t>
            </w:r>
            <w:r>
              <w:rPr>
                <w:rFonts w:hint="eastAsia" w:ascii="Times New Roman" w:hAnsi="Times New Roman"/>
                <w:bCs/>
                <w:color w:val="auto"/>
                <w:szCs w:val="21"/>
              </w:rPr>
              <w:t>）</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0.121</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0.118</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0.105</w:t>
            </w:r>
          </w:p>
        </w:tc>
        <w:tc>
          <w:tcPr>
            <w:tcW w:w="743"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0.114</w:t>
            </w:r>
          </w:p>
        </w:tc>
        <w:tc>
          <w:tcPr>
            <w:tcW w:w="740"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0.109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Cs/>
                <w:color w:val="auto"/>
                <w:szCs w:val="21"/>
              </w:rPr>
            </w:pPr>
          </w:p>
        </w:tc>
        <w:tc>
          <w:tcPr>
            <w:tcW w:w="970"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cs="宋体"/>
                <w:color w:val="auto"/>
                <w:szCs w:val="21"/>
              </w:rPr>
            </w:pPr>
            <w:r>
              <w:rPr>
                <w:rFonts w:hint="eastAsia" w:ascii="Times New Roman" w:hAnsi="Times New Roman" w:cs="宋体"/>
                <w:color w:val="auto"/>
                <w:szCs w:val="21"/>
              </w:rPr>
              <w:t>砷</w:t>
            </w:r>
            <w:r>
              <w:rPr>
                <w:rFonts w:hint="eastAsia" w:ascii="Times New Roman" w:hAnsi="Times New Roman"/>
                <w:bCs/>
                <w:color w:val="auto"/>
                <w:szCs w:val="21"/>
              </w:rPr>
              <w:t>（</w:t>
            </w:r>
            <w:r>
              <w:rPr>
                <w:rFonts w:hint="eastAsia" w:ascii="Times New Roman" w:hAnsi="Times New Roman" w:cs="宋体"/>
                <w:color w:val="auto"/>
                <w:szCs w:val="21"/>
              </w:rPr>
              <w:t>μ</w:t>
            </w:r>
            <w:r>
              <w:rPr>
                <w:rFonts w:ascii="Times New Roman" w:hAnsi="Times New Roman" w:cs="宋体"/>
                <w:color w:val="auto"/>
                <w:szCs w:val="21"/>
              </w:rPr>
              <w:t>g/L</w:t>
            </w:r>
            <w:r>
              <w:rPr>
                <w:rFonts w:hint="eastAsia" w:ascii="Times New Roman" w:hAnsi="Times New Roman"/>
                <w:bCs/>
                <w:color w:val="auto"/>
                <w:szCs w:val="21"/>
              </w:rPr>
              <w:t>）</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cs="宋体"/>
                <w:bCs/>
                <w:color w:val="auto"/>
                <w:szCs w:val="21"/>
              </w:rPr>
              <w:t>0.3L</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cs="宋体"/>
                <w:bCs/>
                <w:color w:val="auto"/>
                <w:szCs w:val="21"/>
              </w:rPr>
              <w:t>0.3L</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cs="宋体"/>
                <w:bCs/>
                <w:color w:val="auto"/>
                <w:szCs w:val="21"/>
              </w:rPr>
              <w:t>0.3L</w:t>
            </w:r>
          </w:p>
        </w:tc>
        <w:tc>
          <w:tcPr>
            <w:tcW w:w="743"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cs="宋体"/>
                <w:bCs/>
                <w:color w:val="auto"/>
                <w:szCs w:val="21"/>
              </w:rPr>
              <w:t>0.3L</w:t>
            </w:r>
          </w:p>
        </w:tc>
        <w:tc>
          <w:tcPr>
            <w:tcW w:w="740"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hint="default" w:ascii="Times New Roman" w:hAnsi="Times New Roman" w:cs="宋体" w:eastAsiaTheme="minorEastAsia"/>
                <w:bCs/>
                <w:color w:val="auto"/>
                <w:szCs w:val="21"/>
                <w:lang w:val="en-US" w:eastAsia="zh-CN"/>
              </w:rPr>
            </w:pPr>
            <w:r>
              <w:rPr>
                <w:rFonts w:hint="eastAsia" w:ascii="Times New Roman" w:hAnsi="Times New Roman" w:cs="宋体"/>
                <w:bCs/>
                <w:color w:val="auto"/>
                <w:szCs w:val="21"/>
                <w:lang w:val="en-US" w:eastAsia="zh-CN"/>
              </w:rPr>
              <w:t>0.3L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Cs/>
                <w:color w:val="auto"/>
                <w:szCs w:val="21"/>
              </w:rPr>
            </w:pPr>
          </w:p>
        </w:tc>
        <w:tc>
          <w:tcPr>
            <w:tcW w:w="970"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cs="宋体"/>
                <w:color w:val="auto"/>
                <w:szCs w:val="21"/>
              </w:rPr>
            </w:pPr>
            <w:r>
              <w:rPr>
                <w:rFonts w:hint="eastAsia" w:ascii="Times New Roman" w:hAnsi="Times New Roman" w:cs="宋体"/>
                <w:color w:val="auto"/>
                <w:szCs w:val="21"/>
              </w:rPr>
              <w:t>镉</w:t>
            </w:r>
            <w:r>
              <w:rPr>
                <w:rFonts w:hint="eastAsia" w:ascii="Times New Roman" w:hAnsi="Times New Roman"/>
                <w:bCs/>
                <w:color w:val="auto"/>
                <w:szCs w:val="21"/>
              </w:rPr>
              <w:t>（</w:t>
            </w:r>
            <w:r>
              <w:rPr>
                <w:rFonts w:ascii="Times New Roman" w:hAnsi="Times New Roman"/>
                <w:bCs/>
                <w:color w:val="auto"/>
                <w:szCs w:val="21"/>
              </w:rPr>
              <w:t>mg/L</w:t>
            </w:r>
            <w:r>
              <w:rPr>
                <w:rFonts w:hint="eastAsia" w:ascii="Times New Roman" w:hAnsi="Times New Roman"/>
                <w:bCs/>
                <w:color w:val="auto"/>
                <w:szCs w:val="21"/>
              </w:rPr>
              <w:t>）</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cs="宋体"/>
                <w:bCs/>
                <w:color w:val="auto"/>
                <w:szCs w:val="21"/>
              </w:rPr>
              <w:t>0.001L</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cs="宋体"/>
                <w:bCs/>
                <w:color w:val="auto"/>
                <w:szCs w:val="21"/>
              </w:rPr>
              <w:t>0.001L</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cs="宋体"/>
                <w:bCs/>
                <w:color w:val="auto"/>
                <w:szCs w:val="21"/>
              </w:rPr>
              <w:t>0.001L</w:t>
            </w:r>
          </w:p>
        </w:tc>
        <w:tc>
          <w:tcPr>
            <w:tcW w:w="743"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cs="宋体"/>
                <w:bCs/>
                <w:color w:val="auto"/>
                <w:szCs w:val="21"/>
              </w:rPr>
              <w:t>0.001L</w:t>
            </w:r>
          </w:p>
        </w:tc>
        <w:tc>
          <w:tcPr>
            <w:tcW w:w="740"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hint="default" w:ascii="Times New Roman" w:hAnsi="Times New Roman" w:cs="宋体" w:eastAsiaTheme="minorEastAsia"/>
                <w:bCs/>
                <w:color w:val="auto"/>
                <w:szCs w:val="21"/>
                <w:lang w:val="en-US" w:eastAsia="zh-CN"/>
              </w:rPr>
            </w:pPr>
            <w:r>
              <w:rPr>
                <w:rFonts w:hint="eastAsia" w:ascii="Times New Roman" w:hAnsi="Times New Roman" w:cs="宋体"/>
                <w:bCs/>
                <w:color w:val="auto"/>
                <w:szCs w:val="21"/>
                <w:lang w:val="en-US" w:eastAsia="zh-CN"/>
              </w:rPr>
              <w:t>0.001L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Cs/>
                <w:color w:val="auto"/>
                <w:szCs w:val="21"/>
              </w:rPr>
            </w:pPr>
          </w:p>
        </w:tc>
        <w:tc>
          <w:tcPr>
            <w:tcW w:w="970"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cs="宋体"/>
                <w:color w:val="auto"/>
                <w:szCs w:val="21"/>
              </w:rPr>
            </w:pPr>
            <w:r>
              <w:rPr>
                <w:rFonts w:hint="eastAsia" w:ascii="Times New Roman" w:hAnsi="Times New Roman" w:cs="宋体"/>
                <w:color w:val="auto"/>
                <w:szCs w:val="21"/>
              </w:rPr>
              <w:t>铜</w:t>
            </w:r>
            <w:r>
              <w:rPr>
                <w:rFonts w:hint="eastAsia" w:ascii="Times New Roman" w:hAnsi="Times New Roman"/>
                <w:bCs/>
                <w:color w:val="auto"/>
                <w:szCs w:val="21"/>
              </w:rPr>
              <w:t>（</w:t>
            </w:r>
            <w:r>
              <w:rPr>
                <w:rFonts w:ascii="Times New Roman" w:hAnsi="Times New Roman"/>
                <w:bCs/>
                <w:color w:val="auto"/>
                <w:szCs w:val="21"/>
              </w:rPr>
              <w:t>mg/L</w:t>
            </w:r>
            <w:r>
              <w:rPr>
                <w:rFonts w:hint="eastAsia" w:ascii="Times New Roman" w:hAnsi="Times New Roman"/>
                <w:bCs/>
                <w:color w:val="auto"/>
                <w:szCs w:val="21"/>
              </w:rPr>
              <w:t>）</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0.004</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0.003</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0.004</w:t>
            </w:r>
          </w:p>
        </w:tc>
        <w:tc>
          <w:tcPr>
            <w:tcW w:w="743"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0.004</w:t>
            </w:r>
          </w:p>
        </w:tc>
        <w:tc>
          <w:tcPr>
            <w:tcW w:w="740"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0.004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Cs/>
                <w:color w:val="auto"/>
                <w:szCs w:val="21"/>
              </w:rPr>
            </w:pPr>
          </w:p>
        </w:tc>
        <w:tc>
          <w:tcPr>
            <w:tcW w:w="970"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cs="宋体"/>
                <w:color w:val="auto"/>
                <w:szCs w:val="21"/>
              </w:rPr>
            </w:pPr>
            <w:r>
              <w:rPr>
                <w:rFonts w:hint="eastAsia" w:ascii="Times New Roman" w:hAnsi="Times New Roman" w:cs="宋体"/>
                <w:color w:val="auto"/>
                <w:szCs w:val="21"/>
              </w:rPr>
              <w:t>锌</w:t>
            </w:r>
            <w:r>
              <w:rPr>
                <w:rFonts w:hint="eastAsia" w:ascii="Times New Roman" w:hAnsi="Times New Roman"/>
                <w:bCs/>
                <w:color w:val="auto"/>
                <w:szCs w:val="21"/>
              </w:rPr>
              <w:t>（</w:t>
            </w:r>
            <w:r>
              <w:rPr>
                <w:rFonts w:ascii="Times New Roman" w:hAnsi="Times New Roman"/>
                <w:bCs/>
                <w:color w:val="auto"/>
                <w:szCs w:val="21"/>
              </w:rPr>
              <w:t>mg/L</w:t>
            </w:r>
            <w:r>
              <w:rPr>
                <w:rFonts w:hint="eastAsia" w:ascii="Times New Roman" w:hAnsi="Times New Roman"/>
                <w:bCs/>
                <w:color w:val="auto"/>
                <w:szCs w:val="21"/>
              </w:rPr>
              <w:t>）</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0.12</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0.11</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0.12</w:t>
            </w:r>
          </w:p>
        </w:tc>
        <w:tc>
          <w:tcPr>
            <w:tcW w:w="743"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0.11</w:t>
            </w:r>
          </w:p>
        </w:tc>
        <w:tc>
          <w:tcPr>
            <w:tcW w:w="740"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0.11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Cs/>
                <w:color w:val="auto"/>
                <w:szCs w:val="21"/>
              </w:rPr>
            </w:pPr>
          </w:p>
        </w:tc>
        <w:tc>
          <w:tcPr>
            <w:tcW w:w="970"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cs="宋体"/>
                <w:color w:val="auto"/>
                <w:szCs w:val="21"/>
              </w:rPr>
            </w:pPr>
            <w:r>
              <w:rPr>
                <w:rFonts w:hint="eastAsia" w:ascii="Times New Roman" w:hAnsi="Times New Roman" w:cs="宋体"/>
                <w:color w:val="auto"/>
                <w:szCs w:val="21"/>
              </w:rPr>
              <w:t>铅</w:t>
            </w:r>
            <w:r>
              <w:rPr>
                <w:rFonts w:hint="eastAsia" w:ascii="Times New Roman" w:hAnsi="Times New Roman"/>
                <w:bCs/>
                <w:color w:val="auto"/>
                <w:szCs w:val="21"/>
              </w:rPr>
              <w:t>（</w:t>
            </w:r>
            <w:r>
              <w:rPr>
                <w:rFonts w:ascii="Times New Roman" w:hAnsi="Times New Roman"/>
                <w:bCs/>
                <w:color w:val="auto"/>
                <w:szCs w:val="21"/>
              </w:rPr>
              <w:t>mg/L</w:t>
            </w:r>
            <w:r>
              <w:rPr>
                <w:rFonts w:hint="eastAsia" w:ascii="Times New Roman" w:hAnsi="Times New Roman"/>
                <w:bCs/>
                <w:color w:val="auto"/>
                <w:szCs w:val="21"/>
              </w:rPr>
              <w:t>）</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cs="宋体"/>
                <w:bCs/>
                <w:color w:val="auto"/>
                <w:szCs w:val="21"/>
              </w:rPr>
              <w:t>0.01L</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cs="宋体"/>
                <w:bCs/>
                <w:color w:val="auto"/>
                <w:szCs w:val="21"/>
              </w:rPr>
              <w:t>0.01L</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cs="宋体"/>
                <w:bCs/>
                <w:color w:val="auto"/>
                <w:szCs w:val="21"/>
              </w:rPr>
              <w:t>0.01L</w:t>
            </w:r>
          </w:p>
        </w:tc>
        <w:tc>
          <w:tcPr>
            <w:tcW w:w="743"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cs="宋体"/>
                <w:bCs/>
                <w:color w:val="auto"/>
                <w:szCs w:val="21"/>
              </w:rPr>
              <w:t>0.01L</w:t>
            </w:r>
          </w:p>
        </w:tc>
        <w:tc>
          <w:tcPr>
            <w:tcW w:w="740"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eastAsiaTheme="minorEastAsia" w:cstheme="minorBidi"/>
                <w:bCs/>
                <w:color w:val="auto"/>
                <w:kern w:val="2"/>
                <w:sz w:val="21"/>
                <w:szCs w:val="21"/>
                <w:lang w:val="en-US" w:eastAsia="zh-CN" w:bidi="ar-SA"/>
              </w:rPr>
            </w:pPr>
            <w:r>
              <w:rPr>
                <w:rFonts w:ascii="Times New Roman" w:hAnsi="Times New Roman" w:cs="宋体"/>
                <w:bCs/>
                <w:color w:val="auto"/>
                <w:szCs w:val="21"/>
              </w:rPr>
              <w:t>0.01L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Cs/>
                <w:color w:val="auto"/>
                <w:szCs w:val="21"/>
              </w:rPr>
            </w:pPr>
          </w:p>
        </w:tc>
        <w:tc>
          <w:tcPr>
            <w:tcW w:w="970"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cs="宋体"/>
                <w:color w:val="auto"/>
                <w:szCs w:val="21"/>
              </w:rPr>
            </w:pPr>
            <w:r>
              <w:rPr>
                <w:rFonts w:hint="eastAsia" w:ascii="Times New Roman" w:hAnsi="Times New Roman" w:cs="宋体"/>
                <w:color w:val="auto"/>
                <w:szCs w:val="21"/>
              </w:rPr>
              <w:t>铬</w:t>
            </w:r>
            <w:r>
              <w:rPr>
                <w:rFonts w:hint="eastAsia" w:ascii="Times New Roman" w:hAnsi="Times New Roman"/>
                <w:bCs/>
                <w:color w:val="auto"/>
                <w:szCs w:val="21"/>
              </w:rPr>
              <w:t>（</w:t>
            </w:r>
            <w:r>
              <w:rPr>
                <w:rFonts w:ascii="Times New Roman" w:hAnsi="Times New Roman"/>
                <w:bCs/>
                <w:color w:val="auto"/>
                <w:szCs w:val="21"/>
              </w:rPr>
              <w:t>mg/L</w:t>
            </w:r>
            <w:r>
              <w:rPr>
                <w:rFonts w:hint="eastAsia" w:ascii="Times New Roman" w:hAnsi="Times New Roman"/>
                <w:bCs/>
                <w:color w:val="auto"/>
                <w:szCs w:val="21"/>
              </w:rPr>
              <w:t>）</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0.03L</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0.03L</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0.03L</w:t>
            </w:r>
          </w:p>
        </w:tc>
        <w:tc>
          <w:tcPr>
            <w:tcW w:w="743"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bCs/>
                <w:color w:val="auto"/>
                <w:szCs w:val="21"/>
              </w:rPr>
              <w:t>0.03L</w:t>
            </w:r>
          </w:p>
        </w:tc>
        <w:tc>
          <w:tcPr>
            <w:tcW w:w="740"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eastAsiaTheme="minorEastAsia" w:cstheme="minorBidi"/>
                <w:bCs/>
                <w:color w:val="auto"/>
                <w:kern w:val="2"/>
                <w:sz w:val="21"/>
                <w:szCs w:val="21"/>
                <w:lang w:val="en-US" w:eastAsia="zh-CN" w:bidi="ar-SA"/>
              </w:rPr>
            </w:pPr>
            <w:r>
              <w:rPr>
                <w:rFonts w:ascii="Times New Roman" w:hAnsi="Times New Roman"/>
                <w:bCs/>
                <w:color w:val="auto"/>
                <w:szCs w:val="21"/>
              </w:rPr>
              <w:t>0.03L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Cs/>
                <w:color w:val="auto"/>
                <w:szCs w:val="21"/>
              </w:rPr>
            </w:pPr>
          </w:p>
        </w:tc>
        <w:tc>
          <w:tcPr>
            <w:tcW w:w="970"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cs="宋体"/>
                <w:color w:val="auto"/>
                <w:szCs w:val="21"/>
              </w:rPr>
            </w:pPr>
            <w:r>
              <w:rPr>
                <w:rFonts w:hint="eastAsia" w:ascii="Times New Roman" w:hAnsi="Times New Roman" w:cs="宋体"/>
                <w:color w:val="auto"/>
                <w:szCs w:val="21"/>
              </w:rPr>
              <w:t>铁</w:t>
            </w:r>
            <w:r>
              <w:rPr>
                <w:rFonts w:hint="eastAsia" w:ascii="Times New Roman" w:hAnsi="Times New Roman"/>
                <w:bCs/>
                <w:color w:val="auto"/>
                <w:szCs w:val="21"/>
              </w:rPr>
              <w:t>（</w:t>
            </w:r>
            <w:r>
              <w:rPr>
                <w:rFonts w:ascii="Times New Roman" w:hAnsi="Times New Roman"/>
                <w:bCs/>
                <w:color w:val="auto"/>
                <w:szCs w:val="21"/>
              </w:rPr>
              <w:t>mg/L</w:t>
            </w:r>
            <w:r>
              <w:rPr>
                <w:rFonts w:hint="eastAsia" w:ascii="Times New Roman" w:hAnsi="Times New Roman"/>
                <w:bCs/>
                <w:color w:val="auto"/>
                <w:szCs w:val="21"/>
              </w:rPr>
              <w:t>）</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cs="宋体"/>
                <w:bCs/>
                <w:color w:val="auto"/>
                <w:szCs w:val="21"/>
              </w:rPr>
              <w:t>0.01L</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cs="宋体"/>
                <w:bCs/>
                <w:color w:val="auto"/>
                <w:szCs w:val="21"/>
              </w:rPr>
              <w:t>0.01L</w:t>
            </w:r>
          </w:p>
        </w:tc>
        <w:tc>
          <w:tcPr>
            <w:tcW w:w="735"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cs="宋体"/>
                <w:bCs/>
                <w:color w:val="auto"/>
                <w:szCs w:val="21"/>
              </w:rPr>
              <w:t>0.01L</w:t>
            </w:r>
          </w:p>
        </w:tc>
        <w:tc>
          <w:tcPr>
            <w:tcW w:w="743"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bCs/>
                <w:color w:val="auto"/>
                <w:szCs w:val="21"/>
              </w:rPr>
            </w:pPr>
            <w:r>
              <w:rPr>
                <w:rFonts w:ascii="Times New Roman" w:hAnsi="Times New Roman" w:cs="宋体"/>
                <w:bCs/>
                <w:color w:val="auto"/>
                <w:szCs w:val="21"/>
              </w:rPr>
              <w:t>0.01L</w:t>
            </w:r>
          </w:p>
        </w:tc>
        <w:tc>
          <w:tcPr>
            <w:tcW w:w="740"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bottom"/>
              <w:rPr>
                <w:rFonts w:ascii="Times New Roman" w:hAnsi="Times New Roman" w:eastAsiaTheme="minorEastAsia" w:cstheme="minorBidi"/>
                <w:bCs/>
                <w:color w:val="auto"/>
                <w:kern w:val="2"/>
                <w:sz w:val="21"/>
                <w:szCs w:val="21"/>
                <w:lang w:val="en-US" w:eastAsia="zh-CN" w:bidi="ar-SA"/>
              </w:rPr>
            </w:pPr>
            <w:r>
              <w:rPr>
                <w:rFonts w:ascii="Times New Roman" w:hAnsi="Times New Roman" w:cs="宋体"/>
                <w:bCs/>
                <w:color w:val="auto"/>
                <w:szCs w:val="21"/>
              </w:rPr>
              <w:t>0.01L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rPr>
                <w:rFonts w:ascii="Times New Roman" w:hAnsi="Times New Roman"/>
                <w:bCs/>
                <w:color w:val="auto"/>
                <w:szCs w:val="21"/>
              </w:rPr>
            </w:pPr>
            <w:r>
              <w:rPr>
                <w:rFonts w:hint="eastAsia" w:ascii="Times New Roman" w:hAnsi="Times New Roman"/>
                <w:bCs/>
                <w:color w:val="auto"/>
                <w:szCs w:val="21"/>
              </w:rPr>
              <w:t>备注</w:t>
            </w:r>
          </w:p>
        </w:tc>
        <w:tc>
          <w:tcPr>
            <w:tcW w:w="4661" w:type="pct"/>
            <w:gridSpan w:val="6"/>
            <w:tcBorders>
              <w:tl2br w:val="nil"/>
              <w:tr2bl w:val="nil"/>
            </w:tcBorders>
            <w:vAlign w:val="center"/>
          </w:tcPr>
          <w:p>
            <w:pPr>
              <w:keepNext w:val="0"/>
              <w:keepLines w:val="0"/>
              <w:pageBreakBefore w:val="0"/>
              <w:widowControl/>
              <w:kinsoku/>
              <w:wordWrap/>
              <w:overflowPunct/>
              <w:topLinePunct w:val="0"/>
              <w:autoSpaceDE/>
              <w:autoSpaceDN/>
              <w:bidi w:val="0"/>
              <w:adjustRightInd/>
              <w:snapToGrid/>
              <w:jc w:val="center"/>
              <w:textAlignment w:val="bottom"/>
              <w:rPr>
                <w:rFonts w:hint="eastAsia" w:ascii="Times New Roman" w:hAnsi="Times New Roman"/>
                <w:color w:val="auto"/>
                <w:szCs w:val="21"/>
              </w:rPr>
            </w:pPr>
            <w:r>
              <w:rPr>
                <w:rFonts w:hint="eastAsia" w:ascii="Times New Roman" w:hAnsi="Times New Roman"/>
                <w:color w:val="auto"/>
                <w:szCs w:val="21"/>
              </w:rPr>
              <w:t>“</w:t>
            </w:r>
            <w:r>
              <w:rPr>
                <w:rFonts w:ascii="Times New Roman" w:hAnsi="Times New Roman"/>
                <w:color w:val="auto"/>
                <w:szCs w:val="21"/>
              </w:rPr>
              <w:t>L</w:t>
            </w:r>
            <w:r>
              <w:rPr>
                <w:rFonts w:hint="eastAsia" w:ascii="Times New Roman" w:hAnsi="Times New Roman"/>
                <w:color w:val="auto"/>
                <w:szCs w:val="21"/>
              </w:rPr>
              <w:t>”表示未检出，检测结果低于方法检出限以</w:t>
            </w:r>
            <w:r>
              <w:rPr>
                <w:rFonts w:ascii="Times New Roman" w:hAnsi="Times New Roman"/>
                <w:color w:val="auto"/>
                <w:szCs w:val="21"/>
              </w:rPr>
              <w:t>L</w:t>
            </w:r>
            <w:r>
              <w:rPr>
                <w:rFonts w:hint="eastAsia" w:ascii="Times New Roman" w:hAnsi="Times New Roman"/>
                <w:color w:val="auto"/>
                <w:szCs w:val="21"/>
              </w:rPr>
              <w:t>或未检出表示</w:t>
            </w:r>
          </w:p>
        </w:tc>
      </w:tr>
    </w:tbl>
    <w:p>
      <w:pPr>
        <w:pStyle w:val="104"/>
        <w:ind w:firstLine="422"/>
        <w:jc w:val="center"/>
        <w:rPr>
          <w:rFonts w:hint="eastAsia" w:ascii="Times New Roman" w:hAnsi="Times New Roman" w:eastAsia="宋体"/>
          <w:b/>
          <w:color w:val="auto"/>
          <w:sz w:val="21"/>
          <w:szCs w:val="21"/>
          <w:lang w:val="en-US" w:eastAsia="zh-CN"/>
        </w:rPr>
      </w:pPr>
      <w:r>
        <w:rPr>
          <w:rFonts w:ascii="Times New Roman" w:hAnsi="Times New Roman"/>
          <w:b/>
          <w:color w:val="auto"/>
          <w:sz w:val="21"/>
          <w:szCs w:val="21"/>
        </w:rPr>
        <w:t>表9.</w:t>
      </w:r>
      <w:r>
        <w:rPr>
          <w:rFonts w:hint="eastAsia" w:ascii="Times New Roman" w:hAnsi="Times New Roman"/>
          <w:b/>
          <w:color w:val="auto"/>
          <w:sz w:val="21"/>
          <w:szCs w:val="21"/>
        </w:rPr>
        <w:t>3</w:t>
      </w:r>
      <w:r>
        <w:rPr>
          <w:rFonts w:ascii="Times New Roman" w:hAnsi="Times New Roman"/>
          <w:b/>
          <w:color w:val="auto"/>
          <w:sz w:val="21"/>
          <w:szCs w:val="21"/>
        </w:rPr>
        <w:t>-</w:t>
      </w:r>
      <w:r>
        <w:rPr>
          <w:rFonts w:hint="eastAsia" w:ascii="Times New Roman" w:hAnsi="Times New Roman"/>
          <w:b/>
          <w:color w:val="auto"/>
          <w:sz w:val="21"/>
          <w:szCs w:val="21"/>
          <w:lang w:val="en-US" w:eastAsia="zh-CN"/>
        </w:rPr>
        <w:t xml:space="preserve">3  </w:t>
      </w:r>
      <w:r>
        <w:rPr>
          <w:rFonts w:hint="eastAsia" w:ascii="Times New Roman" w:hAnsi="Times New Roman"/>
          <w:b/>
          <w:color w:val="auto"/>
          <w:sz w:val="21"/>
          <w:szCs w:val="21"/>
        </w:rPr>
        <w:t>地下水</w:t>
      </w:r>
      <w:r>
        <w:rPr>
          <w:rFonts w:ascii="Times New Roman" w:hAnsi="Times New Roman"/>
          <w:b/>
          <w:color w:val="auto"/>
          <w:sz w:val="21"/>
          <w:szCs w:val="21"/>
        </w:rPr>
        <w:t>监测结果表</w:t>
      </w:r>
      <w:r>
        <w:rPr>
          <w:rFonts w:hint="eastAsia" w:ascii="Times New Roman" w:hAnsi="Times New Roman"/>
          <w:b/>
          <w:color w:val="auto"/>
          <w:sz w:val="21"/>
          <w:szCs w:val="21"/>
          <w:lang w:eastAsia="zh-CN"/>
        </w:rPr>
        <w:t>（</w:t>
      </w:r>
      <w:r>
        <w:rPr>
          <w:rFonts w:hint="eastAsia" w:ascii="Times New Roman" w:hAnsi="Times New Roman"/>
          <w:b/>
          <w:color w:val="auto"/>
          <w:sz w:val="21"/>
          <w:szCs w:val="21"/>
          <w:lang w:val="en-US" w:eastAsia="zh-CN"/>
        </w:rPr>
        <w:t>3</w:t>
      </w:r>
      <w:r>
        <w:rPr>
          <w:rFonts w:hint="eastAsia" w:ascii="Times New Roman" w:hAnsi="Times New Roman"/>
          <w:b/>
          <w:color w:val="auto"/>
          <w:sz w:val="21"/>
          <w:szCs w:val="21"/>
          <w:lang w:eastAsia="zh-CN"/>
        </w:rPr>
        <w:t>）</w:t>
      </w:r>
    </w:p>
    <w:tbl>
      <w:tblPr>
        <w:tblStyle w:val="29"/>
        <w:tblpPr w:leftFromText="180" w:rightFromText="180" w:vertAnchor="text" w:horzAnchor="margin" w:tblpXSpec="center" w:tblpY="66"/>
        <w:tblW w:w="4995"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34"/>
        <w:gridCol w:w="1829"/>
        <w:gridCol w:w="1258"/>
        <w:gridCol w:w="120"/>
        <w:gridCol w:w="1302"/>
        <w:gridCol w:w="79"/>
        <w:gridCol w:w="1345"/>
        <w:gridCol w:w="38"/>
        <w:gridCol w:w="1392"/>
        <w:gridCol w:w="139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12" w:type="pct"/>
            <w:gridSpan w:val="2"/>
            <w:tcBorders>
              <w:tl2br w:val="nil"/>
              <w:tr2bl w:val="nil"/>
            </w:tcBorders>
            <w:vAlign w:val="center"/>
          </w:tcPr>
          <w:p>
            <w:pPr>
              <w:jc w:val="center"/>
              <w:rPr>
                <w:rFonts w:ascii="Times New Roman" w:hAnsi="Times New Roman"/>
                <w:b/>
                <w:color w:val="auto"/>
                <w:szCs w:val="21"/>
              </w:rPr>
            </w:pPr>
            <w:r>
              <w:rPr>
                <w:rFonts w:hint="eastAsia" w:ascii="Times New Roman" w:hAnsi="Times New Roman"/>
                <w:b/>
                <w:color w:val="auto"/>
                <w:szCs w:val="21"/>
              </w:rPr>
              <w:t>监测点位</w:t>
            </w:r>
          </w:p>
        </w:tc>
        <w:tc>
          <w:tcPr>
            <w:tcW w:w="734" w:type="pct"/>
            <w:gridSpan w:val="2"/>
            <w:tcBorders>
              <w:tl2br w:val="nil"/>
              <w:tr2bl w:val="nil"/>
            </w:tcBorders>
            <w:vAlign w:val="center"/>
          </w:tcPr>
          <w:p>
            <w:pPr>
              <w:jc w:val="center"/>
              <w:rPr>
                <w:rFonts w:ascii="Times New Roman" w:hAnsi="Times New Roman" w:cs="宋体"/>
                <w:b/>
                <w:bCs/>
                <w:color w:val="auto"/>
                <w:szCs w:val="21"/>
              </w:rPr>
            </w:pPr>
            <w:r>
              <w:rPr>
                <w:rFonts w:hint="eastAsia" w:ascii="Times New Roman" w:hAnsi="Times New Roman" w:cs="宋体"/>
                <w:b/>
                <w:bCs/>
                <w:color w:val="auto"/>
                <w:szCs w:val="21"/>
              </w:rPr>
              <w:t>填埋库区上游</w:t>
            </w:r>
            <w:r>
              <w:rPr>
                <w:rFonts w:ascii="Times New Roman" w:hAnsi="Times New Roman" w:cs="宋体"/>
                <w:b/>
                <w:bCs/>
                <w:color w:val="auto"/>
                <w:szCs w:val="21"/>
              </w:rPr>
              <w:t>40m</w:t>
            </w:r>
            <w:r>
              <w:rPr>
                <w:rFonts w:hint="eastAsia" w:ascii="Times New Roman" w:hAnsi="Times New Roman" w:cs="宋体"/>
                <w:b/>
                <w:bCs/>
                <w:color w:val="auto"/>
                <w:szCs w:val="21"/>
              </w:rPr>
              <w:t>处</w:t>
            </w:r>
          </w:p>
        </w:tc>
        <w:tc>
          <w:tcPr>
            <w:tcW w:w="735" w:type="pct"/>
            <w:gridSpan w:val="2"/>
            <w:tcBorders>
              <w:tl2br w:val="nil"/>
              <w:tr2bl w:val="nil"/>
            </w:tcBorders>
            <w:vAlign w:val="center"/>
          </w:tcPr>
          <w:p>
            <w:pPr>
              <w:jc w:val="center"/>
              <w:rPr>
                <w:rFonts w:hint="eastAsia" w:ascii="Times New Roman" w:hAnsi="Times New Roman" w:cs="宋体" w:eastAsiaTheme="minorEastAsia"/>
                <w:b/>
                <w:bCs/>
                <w:color w:val="auto"/>
                <w:szCs w:val="21"/>
                <w:lang w:eastAsia="zh-CN"/>
              </w:rPr>
            </w:pPr>
            <w:r>
              <w:rPr>
                <w:rFonts w:hint="eastAsia" w:ascii="Times New Roman" w:hAnsi="Times New Roman" w:cs="宋体"/>
                <w:b/>
                <w:bCs/>
                <w:color w:val="auto"/>
                <w:szCs w:val="21"/>
              </w:rPr>
              <w:t>填埋库区</w:t>
            </w:r>
            <w:r>
              <w:rPr>
                <w:rFonts w:hint="eastAsia" w:ascii="Times New Roman" w:hAnsi="Times New Roman" w:cs="宋体"/>
                <w:b/>
                <w:bCs/>
                <w:color w:val="auto"/>
                <w:szCs w:val="21"/>
                <w:lang w:eastAsia="zh-CN"/>
              </w:rPr>
              <w:t>南侧监控井</w:t>
            </w:r>
          </w:p>
        </w:tc>
        <w:tc>
          <w:tcPr>
            <w:tcW w:w="736" w:type="pct"/>
            <w:gridSpan w:val="2"/>
            <w:tcBorders>
              <w:tl2br w:val="nil"/>
              <w:tr2bl w:val="nil"/>
            </w:tcBorders>
            <w:vAlign w:val="center"/>
          </w:tcPr>
          <w:p>
            <w:pPr>
              <w:jc w:val="center"/>
              <w:rPr>
                <w:rFonts w:ascii="Times New Roman" w:hAnsi="Times New Roman" w:cs="宋体"/>
                <w:b/>
                <w:bCs/>
                <w:color w:val="auto"/>
                <w:szCs w:val="21"/>
              </w:rPr>
            </w:pPr>
            <w:r>
              <w:rPr>
                <w:rFonts w:hint="eastAsia" w:ascii="Times New Roman" w:hAnsi="Times New Roman" w:cs="宋体"/>
                <w:b/>
                <w:bCs/>
                <w:color w:val="auto"/>
                <w:szCs w:val="21"/>
              </w:rPr>
              <w:t>填埋库区下游</w:t>
            </w:r>
            <w:r>
              <w:rPr>
                <w:rFonts w:ascii="Times New Roman" w:hAnsi="Times New Roman" w:cs="宋体"/>
                <w:b/>
                <w:bCs/>
                <w:color w:val="auto"/>
                <w:szCs w:val="21"/>
              </w:rPr>
              <w:t>30m</w:t>
            </w:r>
            <w:r>
              <w:rPr>
                <w:rFonts w:hint="eastAsia" w:ascii="Times New Roman" w:hAnsi="Times New Roman" w:cs="宋体"/>
                <w:b/>
                <w:bCs/>
                <w:color w:val="auto"/>
                <w:szCs w:val="21"/>
              </w:rPr>
              <w:t>处</w:t>
            </w:r>
          </w:p>
        </w:tc>
        <w:tc>
          <w:tcPr>
            <w:tcW w:w="741" w:type="pct"/>
            <w:tcBorders>
              <w:tl2br w:val="nil"/>
              <w:tr2bl w:val="nil"/>
            </w:tcBorders>
            <w:vAlign w:val="center"/>
          </w:tcPr>
          <w:p>
            <w:pPr>
              <w:jc w:val="center"/>
              <w:rPr>
                <w:rFonts w:ascii="Times New Roman" w:hAnsi="Times New Roman" w:cs="宋体"/>
                <w:b/>
                <w:bCs/>
                <w:color w:val="auto"/>
                <w:szCs w:val="21"/>
              </w:rPr>
            </w:pPr>
            <w:r>
              <w:rPr>
                <w:rFonts w:hint="eastAsia" w:ascii="Times New Roman" w:hAnsi="Times New Roman" w:cs="宋体"/>
                <w:b/>
                <w:bCs/>
                <w:color w:val="auto"/>
                <w:szCs w:val="21"/>
              </w:rPr>
              <w:t>填埋库区下游</w:t>
            </w:r>
            <w:r>
              <w:rPr>
                <w:rFonts w:ascii="Times New Roman" w:hAnsi="Times New Roman" w:cs="宋体"/>
                <w:b/>
                <w:bCs/>
                <w:color w:val="auto"/>
                <w:szCs w:val="21"/>
              </w:rPr>
              <w:t>50m</w:t>
            </w:r>
            <w:r>
              <w:rPr>
                <w:rFonts w:hint="eastAsia" w:ascii="Times New Roman" w:hAnsi="Times New Roman" w:cs="宋体"/>
                <w:b/>
                <w:bCs/>
                <w:color w:val="auto"/>
                <w:szCs w:val="21"/>
              </w:rPr>
              <w:t>处</w:t>
            </w:r>
          </w:p>
        </w:tc>
        <w:tc>
          <w:tcPr>
            <w:tcW w:w="739" w:type="pct"/>
            <w:tcBorders>
              <w:tl2br w:val="nil"/>
              <w:tr2bl w:val="nil"/>
            </w:tcBorders>
            <w:vAlign w:val="center"/>
          </w:tcPr>
          <w:p>
            <w:pPr>
              <w:jc w:val="center"/>
              <w:rPr>
                <w:rFonts w:hint="eastAsia" w:ascii="Times New Roman" w:hAnsi="Times New Roman" w:cs="宋体" w:eastAsiaTheme="minorEastAsia"/>
                <w:b/>
                <w:bCs/>
                <w:color w:val="auto"/>
                <w:szCs w:val="21"/>
                <w:lang w:eastAsia="zh-CN"/>
              </w:rPr>
            </w:pPr>
            <w:r>
              <w:rPr>
                <w:rFonts w:hint="eastAsia" w:ascii="Times New Roman" w:hAnsi="Times New Roman" w:cs="宋体"/>
                <w:b/>
                <w:bCs/>
                <w:color w:val="auto"/>
                <w:szCs w:val="21"/>
                <w:lang w:eastAsia="zh-CN"/>
              </w:rPr>
              <w:t>填埋库区西北侧监控井</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00" w:type="pct"/>
            <w:gridSpan w:val="10"/>
            <w:tcBorders>
              <w:tl2br w:val="nil"/>
              <w:tr2bl w:val="nil"/>
            </w:tcBorders>
            <w:vAlign w:val="center"/>
          </w:tcPr>
          <w:p>
            <w:pPr>
              <w:jc w:val="center"/>
              <w:textAlignment w:val="bottom"/>
              <w:rPr>
                <w:rFonts w:hint="eastAsia" w:ascii="Times New Roman" w:hAnsi="Times New Roman"/>
                <w:b/>
                <w:color w:val="auto"/>
                <w:szCs w:val="21"/>
              </w:rPr>
            </w:pPr>
            <w:r>
              <w:rPr>
                <w:rFonts w:hint="eastAsia" w:ascii="Times New Roman" w:hAnsi="Times New Roman"/>
                <w:b/>
                <w:color w:val="auto"/>
                <w:szCs w:val="21"/>
              </w:rPr>
              <w:t>监测日期：</w:t>
            </w:r>
            <w:r>
              <w:rPr>
                <w:rFonts w:ascii="Times New Roman" w:hAnsi="Times New Roman"/>
                <w:b/>
                <w:color w:val="auto"/>
                <w:szCs w:val="21"/>
              </w:rPr>
              <w:t>2020</w:t>
            </w:r>
            <w:r>
              <w:rPr>
                <w:rFonts w:hint="eastAsia" w:ascii="Times New Roman" w:hAnsi="Times New Roman"/>
                <w:b/>
                <w:color w:val="auto"/>
                <w:szCs w:val="21"/>
              </w:rPr>
              <w:t>年</w:t>
            </w:r>
            <w:r>
              <w:rPr>
                <w:rFonts w:ascii="Times New Roman" w:hAnsi="Times New Roman"/>
                <w:b/>
                <w:color w:val="auto"/>
                <w:szCs w:val="21"/>
              </w:rPr>
              <w:t>10</w:t>
            </w:r>
            <w:r>
              <w:rPr>
                <w:rFonts w:hint="eastAsia" w:ascii="Times New Roman" w:hAnsi="Times New Roman"/>
                <w:b/>
                <w:color w:val="auto"/>
                <w:szCs w:val="21"/>
              </w:rPr>
              <w:t>月</w:t>
            </w:r>
            <w:r>
              <w:rPr>
                <w:rFonts w:ascii="Times New Roman" w:hAnsi="Times New Roman"/>
                <w:b/>
                <w:color w:val="auto"/>
                <w:szCs w:val="21"/>
              </w:rPr>
              <w:t>24</w:t>
            </w:r>
            <w:r>
              <w:rPr>
                <w:rFonts w:hint="eastAsia" w:ascii="Times New Roman" w:hAnsi="Times New Roman"/>
                <w:b/>
                <w:color w:val="auto"/>
                <w:szCs w:val="21"/>
              </w:rPr>
              <w:t>日</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restart"/>
            <w:tcBorders>
              <w:tl2br w:val="nil"/>
              <w:tr2bl w:val="nil"/>
            </w:tcBorders>
            <w:vAlign w:val="center"/>
          </w:tcPr>
          <w:p>
            <w:pPr>
              <w:jc w:val="center"/>
              <w:rPr>
                <w:rFonts w:ascii="Times New Roman" w:hAnsi="Times New Roman"/>
                <w:b/>
                <w:color w:val="auto"/>
                <w:szCs w:val="21"/>
              </w:rPr>
            </w:pPr>
            <w:r>
              <w:rPr>
                <w:rFonts w:hint="eastAsia" w:ascii="Times New Roman" w:hAnsi="Times New Roman"/>
                <w:b/>
                <w:color w:val="auto"/>
                <w:szCs w:val="21"/>
              </w:rPr>
              <w:t>分析项目</w:t>
            </w:r>
          </w:p>
        </w:tc>
        <w:tc>
          <w:tcPr>
            <w:tcW w:w="974" w:type="pct"/>
            <w:tcBorders>
              <w:tl2br w:val="nil"/>
              <w:tr2bl w:val="nil"/>
            </w:tcBorders>
            <w:vAlign w:val="center"/>
          </w:tcPr>
          <w:p>
            <w:pPr>
              <w:jc w:val="center"/>
              <w:rPr>
                <w:rFonts w:ascii="Times New Roman" w:hAnsi="Times New Roman"/>
                <w:bCs/>
                <w:color w:val="auto"/>
                <w:szCs w:val="21"/>
              </w:rPr>
            </w:pPr>
            <w:r>
              <w:rPr>
                <w:rFonts w:ascii="Times New Roman" w:hAnsi="Times New Roman"/>
                <w:bCs/>
                <w:color w:val="auto"/>
                <w:szCs w:val="21"/>
              </w:rPr>
              <w:t>pH</w:t>
            </w:r>
            <w:r>
              <w:rPr>
                <w:rFonts w:hint="eastAsia" w:ascii="Times New Roman" w:hAnsi="Times New Roman"/>
                <w:bCs/>
                <w:color w:val="auto"/>
                <w:szCs w:val="21"/>
              </w:rPr>
              <w:t>（无量纲）</w:t>
            </w:r>
          </w:p>
        </w:tc>
        <w:tc>
          <w:tcPr>
            <w:tcW w:w="670"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7.41</w:t>
            </w:r>
          </w:p>
        </w:tc>
        <w:tc>
          <w:tcPr>
            <w:tcW w:w="757"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7.35</w:t>
            </w:r>
          </w:p>
        </w:tc>
        <w:tc>
          <w:tcPr>
            <w:tcW w:w="758"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7.51</w:t>
            </w:r>
          </w:p>
        </w:tc>
        <w:tc>
          <w:tcPr>
            <w:tcW w:w="761"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7.52</w:t>
            </w:r>
          </w:p>
        </w:tc>
        <w:tc>
          <w:tcPr>
            <w:tcW w:w="739" w:type="pct"/>
            <w:tcBorders>
              <w:tl2br w:val="nil"/>
              <w:tr2bl w:val="nil"/>
            </w:tcBorders>
            <w:vAlign w:val="center"/>
          </w:tcPr>
          <w:p>
            <w:pPr>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7.49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jc w:val="center"/>
              <w:rPr>
                <w:rFonts w:ascii="Times New Roman" w:hAnsi="Times New Roman"/>
                <w:bCs/>
                <w:color w:val="auto"/>
                <w:szCs w:val="21"/>
              </w:rPr>
            </w:pPr>
          </w:p>
        </w:tc>
        <w:tc>
          <w:tcPr>
            <w:tcW w:w="974" w:type="pct"/>
            <w:tcBorders>
              <w:tl2br w:val="nil"/>
              <w:tr2bl w:val="nil"/>
            </w:tcBorders>
            <w:vAlign w:val="center"/>
          </w:tcPr>
          <w:p>
            <w:pPr>
              <w:jc w:val="center"/>
              <w:rPr>
                <w:rFonts w:ascii="Times New Roman" w:hAnsi="Times New Roman"/>
                <w:bCs/>
                <w:color w:val="auto"/>
                <w:szCs w:val="21"/>
              </w:rPr>
            </w:pPr>
            <w:r>
              <w:rPr>
                <w:rFonts w:hint="eastAsia" w:ascii="Times New Roman" w:hAnsi="Times New Roman"/>
                <w:bCs/>
                <w:color w:val="auto"/>
                <w:szCs w:val="21"/>
              </w:rPr>
              <w:t>耗氧量（</w:t>
            </w:r>
            <w:r>
              <w:rPr>
                <w:rFonts w:ascii="Times New Roman" w:hAnsi="Times New Roman"/>
                <w:bCs/>
                <w:color w:val="auto"/>
                <w:szCs w:val="21"/>
              </w:rPr>
              <w:t>mg/L</w:t>
            </w:r>
            <w:r>
              <w:rPr>
                <w:rFonts w:hint="eastAsia" w:ascii="Times New Roman" w:hAnsi="Times New Roman"/>
                <w:bCs/>
                <w:color w:val="auto"/>
                <w:szCs w:val="21"/>
              </w:rPr>
              <w:t>）</w:t>
            </w:r>
          </w:p>
        </w:tc>
        <w:tc>
          <w:tcPr>
            <w:tcW w:w="670"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2.14</w:t>
            </w:r>
          </w:p>
        </w:tc>
        <w:tc>
          <w:tcPr>
            <w:tcW w:w="757"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1.85</w:t>
            </w:r>
          </w:p>
        </w:tc>
        <w:tc>
          <w:tcPr>
            <w:tcW w:w="758"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2.11</w:t>
            </w:r>
          </w:p>
        </w:tc>
        <w:tc>
          <w:tcPr>
            <w:tcW w:w="761"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1.85</w:t>
            </w:r>
          </w:p>
        </w:tc>
        <w:tc>
          <w:tcPr>
            <w:tcW w:w="739" w:type="pct"/>
            <w:tcBorders>
              <w:tl2br w:val="nil"/>
              <w:tr2bl w:val="nil"/>
            </w:tcBorders>
            <w:vAlign w:val="center"/>
          </w:tcPr>
          <w:p>
            <w:pPr>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1.91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jc w:val="center"/>
              <w:rPr>
                <w:rFonts w:ascii="Times New Roman" w:hAnsi="Times New Roman"/>
                <w:bCs/>
                <w:color w:val="auto"/>
                <w:szCs w:val="21"/>
              </w:rPr>
            </w:pPr>
          </w:p>
        </w:tc>
        <w:tc>
          <w:tcPr>
            <w:tcW w:w="974" w:type="pct"/>
            <w:tcBorders>
              <w:tl2br w:val="nil"/>
              <w:tr2bl w:val="nil"/>
            </w:tcBorders>
            <w:vAlign w:val="center"/>
          </w:tcPr>
          <w:p>
            <w:pPr>
              <w:jc w:val="center"/>
              <w:rPr>
                <w:rFonts w:ascii="Times New Roman" w:hAnsi="Times New Roman"/>
                <w:bCs/>
                <w:color w:val="auto"/>
                <w:szCs w:val="21"/>
              </w:rPr>
            </w:pPr>
            <w:r>
              <w:rPr>
                <w:rFonts w:hint="eastAsia" w:ascii="Times New Roman" w:hAnsi="Times New Roman"/>
                <w:bCs/>
                <w:color w:val="auto"/>
                <w:szCs w:val="21"/>
              </w:rPr>
              <w:t>总硬度（</w:t>
            </w:r>
            <w:r>
              <w:rPr>
                <w:rFonts w:ascii="Times New Roman" w:hAnsi="Times New Roman"/>
                <w:bCs/>
                <w:color w:val="auto"/>
                <w:szCs w:val="21"/>
              </w:rPr>
              <w:t>mg/L</w:t>
            </w:r>
            <w:r>
              <w:rPr>
                <w:rFonts w:hint="eastAsia" w:ascii="Times New Roman" w:hAnsi="Times New Roman"/>
                <w:bCs/>
                <w:color w:val="auto"/>
                <w:szCs w:val="21"/>
              </w:rPr>
              <w:t>）</w:t>
            </w:r>
          </w:p>
        </w:tc>
        <w:tc>
          <w:tcPr>
            <w:tcW w:w="670"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108</w:t>
            </w:r>
          </w:p>
        </w:tc>
        <w:tc>
          <w:tcPr>
            <w:tcW w:w="757"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111</w:t>
            </w:r>
          </w:p>
        </w:tc>
        <w:tc>
          <w:tcPr>
            <w:tcW w:w="758"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121</w:t>
            </w:r>
          </w:p>
        </w:tc>
        <w:tc>
          <w:tcPr>
            <w:tcW w:w="761"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118</w:t>
            </w:r>
          </w:p>
        </w:tc>
        <w:tc>
          <w:tcPr>
            <w:tcW w:w="739" w:type="pct"/>
            <w:tcBorders>
              <w:tl2br w:val="nil"/>
              <w:tr2bl w:val="nil"/>
            </w:tcBorders>
            <w:vAlign w:val="center"/>
          </w:tcPr>
          <w:p>
            <w:pPr>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124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jc w:val="center"/>
              <w:rPr>
                <w:rFonts w:ascii="Times New Roman" w:hAnsi="Times New Roman"/>
                <w:bCs/>
                <w:color w:val="auto"/>
                <w:szCs w:val="21"/>
              </w:rPr>
            </w:pPr>
          </w:p>
        </w:tc>
        <w:tc>
          <w:tcPr>
            <w:tcW w:w="974" w:type="pct"/>
            <w:tcBorders>
              <w:tl2br w:val="nil"/>
              <w:tr2bl w:val="nil"/>
            </w:tcBorders>
            <w:vAlign w:val="center"/>
          </w:tcPr>
          <w:p>
            <w:pPr>
              <w:jc w:val="center"/>
              <w:rPr>
                <w:rFonts w:ascii="Times New Roman" w:hAnsi="Times New Roman"/>
                <w:bCs/>
                <w:color w:val="auto"/>
                <w:szCs w:val="21"/>
              </w:rPr>
            </w:pPr>
            <w:r>
              <w:rPr>
                <w:rFonts w:hint="eastAsia" w:ascii="Times New Roman" w:hAnsi="Times New Roman"/>
                <w:bCs/>
                <w:color w:val="auto"/>
                <w:szCs w:val="21"/>
              </w:rPr>
              <w:t>溶解性总固体（</w:t>
            </w:r>
            <w:r>
              <w:rPr>
                <w:rFonts w:ascii="Times New Roman" w:hAnsi="Times New Roman"/>
                <w:bCs/>
                <w:color w:val="auto"/>
                <w:szCs w:val="21"/>
              </w:rPr>
              <w:t>mg/L</w:t>
            </w:r>
            <w:r>
              <w:rPr>
                <w:rFonts w:hint="eastAsia" w:ascii="Times New Roman" w:hAnsi="Times New Roman"/>
                <w:bCs/>
                <w:color w:val="auto"/>
                <w:szCs w:val="21"/>
              </w:rPr>
              <w:t>）</w:t>
            </w:r>
          </w:p>
        </w:tc>
        <w:tc>
          <w:tcPr>
            <w:tcW w:w="670"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308</w:t>
            </w:r>
          </w:p>
        </w:tc>
        <w:tc>
          <w:tcPr>
            <w:tcW w:w="757"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310</w:t>
            </w:r>
          </w:p>
        </w:tc>
        <w:tc>
          <w:tcPr>
            <w:tcW w:w="758"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315</w:t>
            </w:r>
          </w:p>
        </w:tc>
        <w:tc>
          <w:tcPr>
            <w:tcW w:w="761"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314</w:t>
            </w:r>
          </w:p>
        </w:tc>
        <w:tc>
          <w:tcPr>
            <w:tcW w:w="739" w:type="pct"/>
            <w:tcBorders>
              <w:tl2br w:val="nil"/>
              <w:tr2bl w:val="nil"/>
            </w:tcBorders>
            <w:vAlign w:val="center"/>
          </w:tcPr>
          <w:p>
            <w:pPr>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321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jc w:val="center"/>
              <w:rPr>
                <w:rFonts w:ascii="Times New Roman" w:hAnsi="Times New Roman"/>
                <w:bCs/>
                <w:color w:val="auto"/>
                <w:szCs w:val="21"/>
              </w:rPr>
            </w:pPr>
          </w:p>
        </w:tc>
        <w:tc>
          <w:tcPr>
            <w:tcW w:w="974" w:type="pct"/>
            <w:tcBorders>
              <w:tl2br w:val="nil"/>
              <w:tr2bl w:val="nil"/>
            </w:tcBorders>
            <w:vAlign w:val="center"/>
          </w:tcPr>
          <w:p>
            <w:pPr>
              <w:jc w:val="center"/>
              <w:rPr>
                <w:rFonts w:ascii="Times New Roman" w:hAnsi="Times New Roman" w:cs="宋体"/>
                <w:color w:val="auto"/>
                <w:szCs w:val="21"/>
              </w:rPr>
            </w:pPr>
            <w:r>
              <w:rPr>
                <w:rFonts w:hint="eastAsia" w:ascii="Times New Roman" w:hAnsi="Times New Roman" w:cs="宋体"/>
                <w:color w:val="auto"/>
                <w:szCs w:val="21"/>
              </w:rPr>
              <w:t>氯化物</w:t>
            </w:r>
            <w:r>
              <w:rPr>
                <w:rFonts w:hint="eastAsia" w:ascii="Times New Roman" w:hAnsi="Times New Roman"/>
                <w:bCs/>
                <w:color w:val="auto"/>
                <w:szCs w:val="21"/>
              </w:rPr>
              <w:t>（</w:t>
            </w:r>
            <w:r>
              <w:rPr>
                <w:rFonts w:ascii="Times New Roman" w:hAnsi="Times New Roman"/>
                <w:bCs/>
                <w:color w:val="auto"/>
                <w:szCs w:val="21"/>
              </w:rPr>
              <w:t>mg/L</w:t>
            </w:r>
            <w:r>
              <w:rPr>
                <w:rFonts w:hint="eastAsia" w:ascii="Times New Roman" w:hAnsi="Times New Roman"/>
                <w:bCs/>
                <w:color w:val="auto"/>
                <w:szCs w:val="21"/>
              </w:rPr>
              <w:t>）</w:t>
            </w:r>
          </w:p>
        </w:tc>
        <w:tc>
          <w:tcPr>
            <w:tcW w:w="670"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24.5</w:t>
            </w:r>
          </w:p>
        </w:tc>
        <w:tc>
          <w:tcPr>
            <w:tcW w:w="757"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24.6</w:t>
            </w:r>
          </w:p>
        </w:tc>
        <w:tc>
          <w:tcPr>
            <w:tcW w:w="758"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24.1</w:t>
            </w:r>
          </w:p>
        </w:tc>
        <w:tc>
          <w:tcPr>
            <w:tcW w:w="761"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25.8</w:t>
            </w:r>
          </w:p>
        </w:tc>
        <w:tc>
          <w:tcPr>
            <w:tcW w:w="739" w:type="pct"/>
            <w:tcBorders>
              <w:tl2br w:val="nil"/>
              <w:tr2bl w:val="nil"/>
            </w:tcBorders>
            <w:vAlign w:val="center"/>
          </w:tcPr>
          <w:p>
            <w:pPr>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24.9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jc w:val="center"/>
              <w:rPr>
                <w:rFonts w:ascii="Times New Roman" w:hAnsi="Times New Roman"/>
                <w:bCs/>
                <w:color w:val="auto"/>
                <w:szCs w:val="21"/>
              </w:rPr>
            </w:pPr>
          </w:p>
        </w:tc>
        <w:tc>
          <w:tcPr>
            <w:tcW w:w="974" w:type="pct"/>
            <w:tcBorders>
              <w:tl2br w:val="nil"/>
              <w:tr2bl w:val="nil"/>
            </w:tcBorders>
            <w:vAlign w:val="center"/>
          </w:tcPr>
          <w:p>
            <w:pPr>
              <w:jc w:val="center"/>
              <w:rPr>
                <w:rFonts w:ascii="Times New Roman" w:hAnsi="Times New Roman" w:cs="宋体"/>
                <w:color w:val="auto"/>
                <w:szCs w:val="21"/>
              </w:rPr>
            </w:pPr>
            <w:r>
              <w:rPr>
                <w:rFonts w:hint="eastAsia" w:ascii="Times New Roman" w:hAnsi="Times New Roman" w:cs="宋体"/>
                <w:color w:val="auto"/>
                <w:szCs w:val="21"/>
              </w:rPr>
              <w:t>硫酸盐</w:t>
            </w:r>
            <w:r>
              <w:rPr>
                <w:rFonts w:hint="eastAsia" w:ascii="Times New Roman" w:hAnsi="Times New Roman"/>
                <w:bCs/>
                <w:color w:val="auto"/>
                <w:szCs w:val="21"/>
              </w:rPr>
              <w:t>（</w:t>
            </w:r>
            <w:r>
              <w:rPr>
                <w:rFonts w:ascii="Times New Roman" w:hAnsi="Times New Roman"/>
                <w:bCs/>
                <w:color w:val="auto"/>
                <w:szCs w:val="21"/>
              </w:rPr>
              <w:t>mg/L</w:t>
            </w:r>
            <w:r>
              <w:rPr>
                <w:rFonts w:hint="eastAsia" w:ascii="Times New Roman" w:hAnsi="Times New Roman"/>
                <w:bCs/>
                <w:color w:val="auto"/>
                <w:szCs w:val="21"/>
              </w:rPr>
              <w:t>）</w:t>
            </w:r>
          </w:p>
        </w:tc>
        <w:tc>
          <w:tcPr>
            <w:tcW w:w="670"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79.1</w:t>
            </w:r>
          </w:p>
        </w:tc>
        <w:tc>
          <w:tcPr>
            <w:tcW w:w="757"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79.4</w:t>
            </w:r>
          </w:p>
        </w:tc>
        <w:tc>
          <w:tcPr>
            <w:tcW w:w="758"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80.1</w:t>
            </w:r>
          </w:p>
        </w:tc>
        <w:tc>
          <w:tcPr>
            <w:tcW w:w="761"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82.1</w:t>
            </w:r>
          </w:p>
        </w:tc>
        <w:tc>
          <w:tcPr>
            <w:tcW w:w="739" w:type="pct"/>
            <w:tcBorders>
              <w:tl2br w:val="nil"/>
              <w:tr2bl w:val="nil"/>
            </w:tcBorders>
            <w:vAlign w:val="center"/>
          </w:tcPr>
          <w:p>
            <w:pPr>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81.5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jc w:val="center"/>
              <w:rPr>
                <w:rFonts w:ascii="Times New Roman" w:hAnsi="Times New Roman"/>
                <w:bCs/>
                <w:color w:val="auto"/>
                <w:szCs w:val="21"/>
              </w:rPr>
            </w:pPr>
          </w:p>
        </w:tc>
        <w:tc>
          <w:tcPr>
            <w:tcW w:w="974" w:type="pct"/>
            <w:tcBorders>
              <w:tl2br w:val="nil"/>
              <w:tr2bl w:val="nil"/>
            </w:tcBorders>
            <w:vAlign w:val="center"/>
          </w:tcPr>
          <w:p>
            <w:pPr>
              <w:jc w:val="center"/>
              <w:rPr>
                <w:rFonts w:ascii="Times New Roman" w:hAnsi="Times New Roman" w:cs="宋体"/>
                <w:color w:val="auto"/>
                <w:szCs w:val="21"/>
              </w:rPr>
            </w:pPr>
            <w:r>
              <w:rPr>
                <w:rFonts w:hint="eastAsia" w:ascii="Times New Roman" w:hAnsi="Times New Roman" w:cs="宋体"/>
                <w:color w:val="auto"/>
                <w:szCs w:val="21"/>
              </w:rPr>
              <w:t>硝酸盐</w:t>
            </w:r>
            <w:r>
              <w:rPr>
                <w:rFonts w:hint="eastAsia" w:ascii="Times New Roman" w:hAnsi="Times New Roman"/>
                <w:bCs/>
                <w:color w:val="auto"/>
                <w:szCs w:val="21"/>
              </w:rPr>
              <w:t>（</w:t>
            </w:r>
            <w:r>
              <w:rPr>
                <w:rFonts w:ascii="Times New Roman" w:hAnsi="Times New Roman"/>
                <w:bCs/>
                <w:color w:val="auto"/>
                <w:szCs w:val="21"/>
              </w:rPr>
              <w:t>mg/L</w:t>
            </w:r>
            <w:r>
              <w:rPr>
                <w:rFonts w:hint="eastAsia" w:ascii="Times New Roman" w:hAnsi="Times New Roman"/>
                <w:bCs/>
                <w:color w:val="auto"/>
                <w:szCs w:val="21"/>
              </w:rPr>
              <w:t>）</w:t>
            </w:r>
          </w:p>
        </w:tc>
        <w:tc>
          <w:tcPr>
            <w:tcW w:w="670"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7.12</w:t>
            </w:r>
          </w:p>
        </w:tc>
        <w:tc>
          <w:tcPr>
            <w:tcW w:w="757"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7.11</w:t>
            </w:r>
          </w:p>
        </w:tc>
        <w:tc>
          <w:tcPr>
            <w:tcW w:w="758"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7.18</w:t>
            </w:r>
          </w:p>
        </w:tc>
        <w:tc>
          <w:tcPr>
            <w:tcW w:w="761"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8.10</w:t>
            </w:r>
          </w:p>
        </w:tc>
        <w:tc>
          <w:tcPr>
            <w:tcW w:w="739" w:type="pct"/>
            <w:tcBorders>
              <w:tl2br w:val="nil"/>
              <w:tr2bl w:val="nil"/>
            </w:tcBorders>
            <w:vAlign w:val="center"/>
          </w:tcPr>
          <w:p>
            <w:pPr>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7.59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jc w:val="center"/>
              <w:rPr>
                <w:rFonts w:ascii="Times New Roman" w:hAnsi="Times New Roman"/>
                <w:bCs/>
                <w:color w:val="FF0000"/>
                <w:szCs w:val="21"/>
              </w:rPr>
            </w:pPr>
          </w:p>
        </w:tc>
        <w:tc>
          <w:tcPr>
            <w:tcW w:w="974" w:type="pct"/>
            <w:tcBorders>
              <w:tl2br w:val="nil"/>
              <w:tr2bl w:val="nil"/>
            </w:tcBorders>
            <w:vAlign w:val="center"/>
          </w:tcPr>
          <w:p>
            <w:pPr>
              <w:jc w:val="center"/>
              <w:rPr>
                <w:rFonts w:ascii="Times New Roman" w:hAnsi="Times New Roman" w:cs="宋体"/>
                <w:color w:val="auto"/>
                <w:szCs w:val="21"/>
              </w:rPr>
            </w:pPr>
            <w:r>
              <w:rPr>
                <w:rFonts w:hint="eastAsia" w:ascii="Times New Roman" w:hAnsi="Times New Roman" w:cs="宋体"/>
                <w:color w:val="auto"/>
                <w:szCs w:val="21"/>
              </w:rPr>
              <w:t>氟化物</w:t>
            </w:r>
            <w:r>
              <w:rPr>
                <w:rFonts w:hint="eastAsia" w:ascii="Times New Roman" w:hAnsi="Times New Roman"/>
                <w:bCs/>
                <w:color w:val="auto"/>
                <w:szCs w:val="21"/>
              </w:rPr>
              <w:t>（</w:t>
            </w:r>
            <w:r>
              <w:rPr>
                <w:rFonts w:ascii="Times New Roman" w:hAnsi="Times New Roman"/>
                <w:bCs/>
                <w:color w:val="auto"/>
                <w:szCs w:val="21"/>
              </w:rPr>
              <w:t>mg/L</w:t>
            </w:r>
            <w:r>
              <w:rPr>
                <w:rFonts w:hint="eastAsia" w:ascii="Times New Roman" w:hAnsi="Times New Roman"/>
                <w:bCs/>
                <w:color w:val="auto"/>
                <w:szCs w:val="21"/>
              </w:rPr>
              <w:t>）</w:t>
            </w:r>
          </w:p>
        </w:tc>
        <w:tc>
          <w:tcPr>
            <w:tcW w:w="670" w:type="pct"/>
            <w:tcBorders>
              <w:tl2br w:val="nil"/>
              <w:tr2bl w:val="nil"/>
            </w:tcBorders>
            <w:vAlign w:val="center"/>
          </w:tcPr>
          <w:p>
            <w:pPr>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0.81</w:t>
            </w:r>
          </w:p>
        </w:tc>
        <w:tc>
          <w:tcPr>
            <w:tcW w:w="757" w:type="pct"/>
            <w:gridSpan w:val="2"/>
            <w:tcBorders>
              <w:tl2br w:val="nil"/>
              <w:tr2bl w:val="nil"/>
            </w:tcBorders>
            <w:vAlign w:val="center"/>
          </w:tcPr>
          <w:p>
            <w:pPr>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0.84</w:t>
            </w:r>
          </w:p>
        </w:tc>
        <w:tc>
          <w:tcPr>
            <w:tcW w:w="758" w:type="pct"/>
            <w:gridSpan w:val="2"/>
            <w:tcBorders>
              <w:tl2br w:val="nil"/>
              <w:tr2bl w:val="nil"/>
            </w:tcBorders>
            <w:vAlign w:val="center"/>
          </w:tcPr>
          <w:p>
            <w:pPr>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0.81</w:t>
            </w:r>
          </w:p>
        </w:tc>
        <w:tc>
          <w:tcPr>
            <w:tcW w:w="761" w:type="pct"/>
            <w:gridSpan w:val="2"/>
            <w:tcBorders>
              <w:tl2br w:val="nil"/>
              <w:tr2bl w:val="nil"/>
            </w:tcBorders>
            <w:vAlign w:val="center"/>
          </w:tcPr>
          <w:p>
            <w:pPr>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0.84</w:t>
            </w:r>
          </w:p>
        </w:tc>
        <w:tc>
          <w:tcPr>
            <w:tcW w:w="739" w:type="pct"/>
            <w:tcBorders>
              <w:tl2br w:val="nil"/>
              <w:tr2bl w:val="nil"/>
            </w:tcBorders>
            <w:vAlign w:val="center"/>
          </w:tcPr>
          <w:p>
            <w:pPr>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0.88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jc w:val="center"/>
              <w:rPr>
                <w:rFonts w:ascii="Times New Roman" w:hAnsi="Times New Roman"/>
                <w:bCs/>
                <w:color w:val="auto"/>
                <w:szCs w:val="21"/>
              </w:rPr>
            </w:pPr>
          </w:p>
        </w:tc>
        <w:tc>
          <w:tcPr>
            <w:tcW w:w="974" w:type="pct"/>
            <w:tcBorders>
              <w:tl2br w:val="nil"/>
              <w:tr2bl w:val="nil"/>
            </w:tcBorders>
            <w:vAlign w:val="center"/>
          </w:tcPr>
          <w:p>
            <w:pPr>
              <w:jc w:val="center"/>
              <w:rPr>
                <w:rFonts w:ascii="Times New Roman" w:hAnsi="Times New Roman" w:cs="宋体"/>
                <w:color w:val="auto"/>
                <w:szCs w:val="21"/>
              </w:rPr>
            </w:pPr>
            <w:r>
              <w:rPr>
                <w:rFonts w:hint="eastAsia" w:ascii="Times New Roman" w:hAnsi="Times New Roman" w:cs="宋体"/>
                <w:color w:val="auto"/>
                <w:szCs w:val="21"/>
              </w:rPr>
              <w:t>氨氮</w:t>
            </w:r>
            <w:r>
              <w:rPr>
                <w:rFonts w:hint="eastAsia" w:ascii="Times New Roman" w:hAnsi="Times New Roman"/>
                <w:bCs/>
                <w:color w:val="auto"/>
                <w:szCs w:val="21"/>
              </w:rPr>
              <w:t>（</w:t>
            </w:r>
            <w:r>
              <w:rPr>
                <w:rFonts w:ascii="Times New Roman" w:hAnsi="Times New Roman"/>
                <w:bCs/>
                <w:color w:val="auto"/>
                <w:szCs w:val="21"/>
              </w:rPr>
              <w:t>mg/L</w:t>
            </w:r>
            <w:r>
              <w:rPr>
                <w:rFonts w:hint="eastAsia" w:ascii="Times New Roman" w:hAnsi="Times New Roman"/>
                <w:bCs/>
                <w:color w:val="auto"/>
                <w:szCs w:val="21"/>
              </w:rPr>
              <w:t>）</w:t>
            </w:r>
          </w:p>
        </w:tc>
        <w:tc>
          <w:tcPr>
            <w:tcW w:w="670"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0.118</w:t>
            </w:r>
          </w:p>
        </w:tc>
        <w:tc>
          <w:tcPr>
            <w:tcW w:w="757"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0.120</w:t>
            </w:r>
          </w:p>
        </w:tc>
        <w:tc>
          <w:tcPr>
            <w:tcW w:w="758"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0.121</w:t>
            </w:r>
          </w:p>
        </w:tc>
        <w:tc>
          <w:tcPr>
            <w:tcW w:w="761"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0.124</w:t>
            </w:r>
          </w:p>
        </w:tc>
        <w:tc>
          <w:tcPr>
            <w:tcW w:w="739" w:type="pct"/>
            <w:tcBorders>
              <w:tl2br w:val="nil"/>
              <w:tr2bl w:val="nil"/>
            </w:tcBorders>
            <w:vAlign w:val="center"/>
          </w:tcPr>
          <w:p>
            <w:pPr>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0.115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jc w:val="center"/>
              <w:rPr>
                <w:rFonts w:ascii="Times New Roman" w:hAnsi="Times New Roman"/>
                <w:bCs/>
                <w:color w:val="auto"/>
                <w:szCs w:val="21"/>
              </w:rPr>
            </w:pPr>
          </w:p>
        </w:tc>
        <w:tc>
          <w:tcPr>
            <w:tcW w:w="974" w:type="pct"/>
            <w:tcBorders>
              <w:tl2br w:val="nil"/>
              <w:tr2bl w:val="nil"/>
            </w:tcBorders>
            <w:vAlign w:val="center"/>
          </w:tcPr>
          <w:p>
            <w:pPr>
              <w:jc w:val="center"/>
              <w:rPr>
                <w:rFonts w:ascii="Times New Roman" w:hAnsi="Times New Roman" w:cs="宋体"/>
                <w:color w:val="auto"/>
                <w:szCs w:val="21"/>
              </w:rPr>
            </w:pPr>
            <w:r>
              <w:rPr>
                <w:rFonts w:hint="eastAsia" w:ascii="Times New Roman" w:hAnsi="Times New Roman" w:cs="宋体"/>
                <w:color w:val="auto"/>
                <w:szCs w:val="21"/>
              </w:rPr>
              <w:t>砷</w:t>
            </w:r>
            <w:r>
              <w:rPr>
                <w:rFonts w:hint="eastAsia" w:ascii="Times New Roman" w:hAnsi="Times New Roman"/>
                <w:bCs/>
                <w:color w:val="auto"/>
                <w:szCs w:val="21"/>
              </w:rPr>
              <w:t>（</w:t>
            </w:r>
            <w:r>
              <w:rPr>
                <w:rFonts w:hint="eastAsia" w:ascii="Times New Roman" w:hAnsi="Times New Roman" w:cs="宋体"/>
                <w:color w:val="auto"/>
                <w:szCs w:val="21"/>
              </w:rPr>
              <w:t>μ</w:t>
            </w:r>
            <w:r>
              <w:rPr>
                <w:rFonts w:ascii="Times New Roman" w:hAnsi="Times New Roman" w:cs="宋体"/>
                <w:color w:val="auto"/>
                <w:szCs w:val="21"/>
              </w:rPr>
              <w:t>g/L</w:t>
            </w:r>
            <w:r>
              <w:rPr>
                <w:rFonts w:hint="eastAsia" w:ascii="Times New Roman" w:hAnsi="Times New Roman"/>
                <w:bCs/>
                <w:color w:val="auto"/>
                <w:szCs w:val="21"/>
              </w:rPr>
              <w:t>）</w:t>
            </w:r>
          </w:p>
        </w:tc>
        <w:tc>
          <w:tcPr>
            <w:tcW w:w="670"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cs="宋体"/>
                <w:bCs/>
                <w:color w:val="auto"/>
                <w:szCs w:val="21"/>
              </w:rPr>
              <w:t>0.3L</w:t>
            </w:r>
          </w:p>
        </w:tc>
        <w:tc>
          <w:tcPr>
            <w:tcW w:w="757"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cs="宋体"/>
                <w:bCs/>
                <w:color w:val="auto"/>
                <w:szCs w:val="21"/>
              </w:rPr>
              <w:t>0.3L</w:t>
            </w:r>
          </w:p>
        </w:tc>
        <w:tc>
          <w:tcPr>
            <w:tcW w:w="758"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cs="宋体"/>
                <w:bCs/>
                <w:color w:val="auto"/>
                <w:szCs w:val="21"/>
              </w:rPr>
              <w:t>0.3L</w:t>
            </w:r>
          </w:p>
        </w:tc>
        <w:tc>
          <w:tcPr>
            <w:tcW w:w="761"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cs="宋体"/>
                <w:bCs/>
                <w:color w:val="auto"/>
                <w:szCs w:val="21"/>
              </w:rPr>
              <w:t>0.3L</w:t>
            </w:r>
          </w:p>
        </w:tc>
        <w:tc>
          <w:tcPr>
            <w:tcW w:w="739" w:type="pct"/>
            <w:tcBorders>
              <w:tl2br w:val="nil"/>
              <w:tr2bl w:val="nil"/>
            </w:tcBorders>
            <w:vAlign w:val="center"/>
          </w:tcPr>
          <w:p>
            <w:pPr>
              <w:jc w:val="center"/>
              <w:textAlignment w:val="bottom"/>
              <w:rPr>
                <w:rFonts w:hint="default" w:ascii="Times New Roman" w:hAnsi="Times New Roman" w:cs="宋体" w:eastAsiaTheme="minorEastAsia"/>
                <w:bCs/>
                <w:color w:val="auto"/>
                <w:szCs w:val="21"/>
                <w:lang w:val="en-US" w:eastAsia="zh-CN"/>
              </w:rPr>
            </w:pPr>
            <w:r>
              <w:rPr>
                <w:rFonts w:hint="eastAsia" w:ascii="Times New Roman" w:hAnsi="Times New Roman" w:cs="宋体"/>
                <w:bCs/>
                <w:color w:val="auto"/>
                <w:szCs w:val="21"/>
                <w:lang w:val="en-US" w:eastAsia="zh-CN"/>
              </w:rPr>
              <w:t>0.3L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jc w:val="center"/>
              <w:rPr>
                <w:rFonts w:ascii="Times New Roman" w:hAnsi="Times New Roman"/>
                <w:bCs/>
                <w:color w:val="auto"/>
                <w:szCs w:val="21"/>
              </w:rPr>
            </w:pPr>
          </w:p>
        </w:tc>
        <w:tc>
          <w:tcPr>
            <w:tcW w:w="974" w:type="pct"/>
            <w:tcBorders>
              <w:tl2br w:val="nil"/>
              <w:tr2bl w:val="nil"/>
            </w:tcBorders>
            <w:vAlign w:val="center"/>
          </w:tcPr>
          <w:p>
            <w:pPr>
              <w:jc w:val="center"/>
              <w:rPr>
                <w:rFonts w:ascii="Times New Roman" w:hAnsi="Times New Roman" w:cs="宋体"/>
                <w:color w:val="auto"/>
                <w:szCs w:val="21"/>
              </w:rPr>
            </w:pPr>
            <w:r>
              <w:rPr>
                <w:rFonts w:hint="eastAsia" w:ascii="Times New Roman" w:hAnsi="Times New Roman" w:cs="宋体"/>
                <w:color w:val="auto"/>
                <w:szCs w:val="21"/>
              </w:rPr>
              <w:t>镉</w:t>
            </w:r>
            <w:r>
              <w:rPr>
                <w:rFonts w:hint="eastAsia" w:ascii="Times New Roman" w:hAnsi="Times New Roman"/>
                <w:bCs/>
                <w:color w:val="auto"/>
                <w:szCs w:val="21"/>
              </w:rPr>
              <w:t>（</w:t>
            </w:r>
            <w:r>
              <w:rPr>
                <w:rFonts w:ascii="Times New Roman" w:hAnsi="Times New Roman"/>
                <w:bCs/>
                <w:color w:val="auto"/>
                <w:szCs w:val="21"/>
              </w:rPr>
              <w:t>mg/L</w:t>
            </w:r>
            <w:r>
              <w:rPr>
                <w:rFonts w:hint="eastAsia" w:ascii="Times New Roman" w:hAnsi="Times New Roman"/>
                <w:bCs/>
                <w:color w:val="auto"/>
                <w:szCs w:val="21"/>
              </w:rPr>
              <w:t>）</w:t>
            </w:r>
          </w:p>
        </w:tc>
        <w:tc>
          <w:tcPr>
            <w:tcW w:w="670"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cs="宋体"/>
                <w:bCs/>
                <w:color w:val="auto"/>
                <w:szCs w:val="21"/>
              </w:rPr>
              <w:t>0.001L</w:t>
            </w:r>
          </w:p>
        </w:tc>
        <w:tc>
          <w:tcPr>
            <w:tcW w:w="757"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cs="宋体"/>
                <w:bCs/>
                <w:color w:val="auto"/>
                <w:szCs w:val="21"/>
              </w:rPr>
              <w:t>0.001L</w:t>
            </w:r>
          </w:p>
        </w:tc>
        <w:tc>
          <w:tcPr>
            <w:tcW w:w="758"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cs="宋体"/>
                <w:bCs/>
                <w:color w:val="auto"/>
                <w:szCs w:val="21"/>
              </w:rPr>
              <w:t>0.001L</w:t>
            </w:r>
          </w:p>
        </w:tc>
        <w:tc>
          <w:tcPr>
            <w:tcW w:w="761"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cs="宋体"/>
                <w:bCs/>
                <w:color w:val="auto"/>
                <w:szCs w:val="21"/>
              </w:rPr>
              <w:t>0.001L</w:t>
            </w:r>
          </w:p>
        </w:tc>
        <w:tc>
          <w:tcPr>
            <w:tcW w:w="739" w:type="pct"/>
            <w:tcBorders>
              <w:tl2br w:val="nil"/>
              <w:tr2bl w:val="nil"/>
            </w:tcBorders>
            <w:vAlign w:val="center"/>
          </w:tcPr>
          <w:p>
            <w:pPr>
              <w:jc w:val="center"/>
              <w:textAlignment w:val="bottom"/>
              <w:rPr>
                <w:rFonts w:hint="default" w:ascii="Times New Roman" w:hAnsi="Times New Roman" w:cs="宋体" w:eastAsiaTheme="minorEastAsia"/>
                <w:bCs/>
                <w:color w:val="auto"/>
                <w:szCs w:val="21"/>
                <w:lang w:val="en-US" w:eastAsia="zh-CN"/>
              </w:rPr>
            </w:pPr>
            <w:r>
              <w:rPr>
                <w:rFonts w:hint="eastAsia" w:ascii="Times New Roman" w:hAnsi="Times New Roman" w:cs="宋体"/>
                <w:bCs/>
                <w:color w:val="auto"/>
                <w:szCs w:val="21"/>
                <w:lang w:val="en-US" w:eastAsia="zh-CN"/>
              </w:rPr>
              <w:t>0.001L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jc w:val="center"/>
              <w:rPr>
                <w:rFonts w:ascii="Times New Roman" w:hAnsi="Times New Roman"/>
                <w:bCs/>
                <w:color w:val="auto"/>
                <w:szCs w:val="21"/>
              </w:rPr>
            </w:pPr>
          </w:p>
        </w:tc>
        <w:tc>
          <w:tcPr>
            <w:tcW w:w="974" w:type="pct"/>
            <w:tcBorders>
              <w:tl2br w:val="nil"/>
              <w:tr2bl w:val="nil"/>
            </w:tcBorders>
            <w:vAlign w:val="center"/>
          </w:tcPr>
          <w:p>
            <w:pPr>
              <w:jc w:val="center"/>
              <w:rPr>
                <w:rFonts w:ascii="Times New Roman" w:hAnsi="Times New Roman" w:cs="宋体"/>
                <w:color w:val="auto"/>
                <w:szCs w:val="21"/>
              </w:rPr>
            </w:pPr>
            <w:r>
              <w:rPr>
                <w:rFonts w:hint="eastAsia" w:ascii="Times New Roman" w:hAnsi="Times New Roman" w:cs="宋体"/>
                <w:color w:val="auto"/>
                <w:szCs w:val="21"/>
              </w:rPr>
              <w:t>铜</w:t>
            </w:r>
            <w:r>
              <w:rPr>
                <w:rFonts w:hint="eastAsia" w:ascii="Times New Roman" w:hAnsi="Times New Roman"/>
                <w:bCs/>
                <w:color w:val="auto"/>
                <w:szCs w:val="21"/>
              </w:rPr>
              <w:t>（</w:t>
            </w:r>
            <w:r>
              <w:rPr>
                <w:rFonts w:ascii="Times New Roman" w:hAnsi="Times New Roman"/>
                <w:bCs/>
                <w:color w:val="auto"/>
                <w:szCs w:val="21"/>
              </w:rPr>
              <w:t>mg/L</w:t>
            </w:r>
            <w:r>
              <w:rPr>
                <w:rFonts w:hint="eastAsia" w:ascii="Times New Roman" w:hAnsi="Times New Roman"/>
                <w:bCs/>
                <w:color w:val="auto"/>
                <w:szCs w:val="21"/>
              </w:rPr>
              <w:t>）</w:t>
            </w:r>
          </w:p>
        </w:tc>
        <w:tc>
          <w:tcPr>
            <w:tcW w:w="670"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0.003</w:t>
            </w:r>
          </w:p>
        </w:tc>
        <w:tc>
          <w:tcPr>
            <w:tcW w:w="757"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0.004</w:t>
            </w:r>
          </w:p>
        </w:tc>
        <w:tc>
          <w:tcPr>
            <w:tcW w:w="758"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0.003</w:t>
            </w:r>
          </w:p>
        </w:tc>
        <w:tc>
          <w:tcPr>
            <w:tcW w:w="761"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0.004</w:t>
            </w:r>
          </w:p>
        </w:tc>
        <w:tc>
          <w:tcPr>
            <w:tcW w:w="739" w:type="pct"/>
            <w:tcBorders>
              <w:tl2br w:val="nil"/>
              <w:tr2bl w:val="nil"/>
            </w:tcBorders>
            <w:vAlign w:val="center"/>
          </w:tcPr>
          <w:p>
            <w:pPr>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0.004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jc w:val="center"/>
              <w:rPr>
                <w:rFonts w:ascii="Times New Roman" w:hAnsi="Times New Roman"/>
                <w:bCs/>
                <w:color w:val="auto"/>
                <w:szCs w:val="21"/>
              </w:rPr>
            </w:pPr>
          </w:p>
        </w:tc>
        <w:tc>
          <w:tcPr>
            <w:tcW w:w="974" w:type="pct"/>
            <w:tcBorders>
              <w:tl2br w:val="nil"/>
              <w:tr2bl w:val="nil"/>
            </w:tcBorders>
            <w:vAlign w:val="center"/>
          </w:tcPr>
          <w:p>
            <w:pPr>
              <w:jc w:val="center"/>
              <w:rPr>
                <w:rFonts w:ascii="Times New Roman" w:hAnsi="Times New Roman" w:cs="宋体"/>
                <w:color w:val="auto"/>
                <w:szCs w:val="21"/>
              </w:rPr>
            </w:pPr>
            <w:r>
              <w:rPr>
                <w:rFonts w:hint="eastAsia" w:ascii="Times New Roman" w:hAnsi="Times New Roman" w:cs="宋体"/>
                <w:color w:val="auto"/>
                <w:szCs w:val="21"/>
              </w:rPr>
              <w:t>锌</w:t>
            </w:r>
            <w:r>
              <w:rPr>
                <w:rFonts w:hint="eastAsia" w:ascii="Times New Roman" w:hAnsi="Times New Roman"/>
                <w:bCs/>
                <w:color w:val="auto"/>
                <w:szCs w:val="21"/>
              </w:rPr>
              <w:t>（</w:t>
            </w:r>
            <w:r>
              <w:rPr>
                <w:rFonts w:ascii="Times New Roman" w:hAnsi="Times New Roman"/>
                <w:bCs/>
                <w:color w:val="auto"/>
                <w:szCs w:val="21"/>
              </w:rPr>
              <w:t>mg/L</w:t>
            </w:r>
            <w:r>
              <w:rPr>
                <w:rFonts w:hint="eastAsia" w:ascii="Times New Roman" w:hAnsi="Times New Roman"/>
                <w:bCs/>
                <w:color w:val="auto"/>
                <w:szCs w:val="21"/>
              </w:rPr>
              <w:t>）</w:t>
            </w:r>
          </w:p>
        </w:tc>
        <w:tc>
          <w:tcPr>
            <w:tcW w:w="670"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0.11</w:t>
            </w:r>
          </w:p>
        </w:tc>
        <w:tc>
          <w:tcPr>
            <w:tcW w:w="757"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0.10</w:t>
            </w:r>
          </w:p>
        </w:tc>
        <w:tc>
          <w:tcPr>
            <w:tcW w:w="758"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0.11</w:t>
            </w:r>
          </w:p>
        </w:tc>
        <w:tc>
          <w:tcPr>
            <w:tcW w:w="761"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0.12</w:t>
            </w:r>
          </w:p>
        </w:tc>
        <w:tc>
          <w:tcPr>
            <w:tcW w:w="739" w:type="pct"/>
            <w:tcBorders>
              <w:tl2br w:val="nil"/>
              <w:tr2bl w:val="nil"/>
            </w:tcBorders>
            <w:vAlign w:val="center"/>
          </w:tcPr>
          <w:p>
            <w:pPr>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0.12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jc w:val="center"/>
              <w:rPr>
                <w:rFonts w:ascii="Times New Roman" w:hAnsi="Times New Roman"/>
                <w:bCs/>
                <w:color w:val="auto"/>
                <w:szCs w:val="21"/>
              </w:rPr>
            </w:pPr>
          </w:p>
        </w:tc>
        <w:tc>
          <w:tcPr>
            <w:tcW w:w="974" w:type="pct"/>
            <w:tcBorders>
              <w:tl2br w:val="nil"/>
              <w:tr2bl w:val="nil"/>
            </w:tcBorders>
            <w:vAlign w:val="center"/>
          </w:tcPr>
          <w:p>
            <w:pPr>
              <w:jc w:val="center"/>
              <w:rPr>
                <w:rFonts w:ascii="Times New Roman" w:hAnsi="Times New Roman" w:cs="宋体"/>
                <w:color w:val="auto"/>
                <w:szCs w:val="21"/>
              </w:rPr>
            </w:pPr>
            <w:r>
              <w:rPr>
                <w:rFonts w:hint="eastAsia" w:ascii="Times New Roman" w:hAnsi="Times New Roman" w:cs="宋体"/>
                <w:color w:val="auto"/>
                <w:szCs w:val="21"/>
              </w:rPr>
              <w:t>铅</w:t>
            </w:r>
            <w:r>
              <w:rPr>
                <w:rFonts w:hint="eastAsia" w:ascii="Times New Roman" w:hAnsi="Times New Roman"/>
                <w:bCs/>
                <w:color w:val="auto"/>
                <w:szCs w:val="21"/>
              </w:rPr>
              <w:t>（</w:t>
            </w:r>
            <w:r>
              <w:rPr>
                <w:rFonts w:ascii="Times New Roman" w:hAnsi="Times New Roman"/>
                <w:bCs/>
                <w:color w:val="auto"/>
                <w:szCs w:val="21"/>
              </w:rPr>
              <w:t>mg/L</w:t>
            </w:r>
            <w:r>
              <w:rPr>
                <w:rFonts w:hint="eastAsia" w:ascii="Times New Roman" w:hAnsi="Times New Roman"/>
                <w:bCs/>
                <w:color w:val="auto"/>
                <w:szCs w:val="21"/>
              </w:rPr>
              <w:t>）</w:t>
            </w:r>
          </w:p>
        </w:tc>
        <w:tc>
          <w:tcPr>
            <w:tcW w:w="670"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cs="宋体"/>
                <w:bCs/>
                <w:color w:val="auto"/>
                <w:szCs w:val="21"/>
              </w:rPr>
              <w:t>0.01L</w:t>
            </w:r>
          </w:p>
        </w:tc>
        <w:tc>
          <w:tcPr>
            <w:tcW w:w="757"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cs="宋体"/>
                <w:bCs/>
                <w:color w:val="auto"/>
                <w:szCs w:val="21"/>
              </w:rPr>
              <w:t>0.01L</w:t>
            </w:r>
          </w:p>
        </w:tc>
        <w:tc>
          <w:tcPr>
            <w:tcW w:w="758"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cs="宋体"/>
                <w:bCs/>
                <w:color w:val="auto"/>
                <w:szCs w:val="21"/>
              </w:rPr>
              <w:t>0.01L</w:t>
            </w:r>
          </w:p>
        </w:tc>
        <w:tc>
          <w:tcPr>
            <w:tcW w:w="761"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cs="宋体"/>
                <w:bCs/>
                <w:color w:val="auto"/>
                <w:szCs w:val="21"/>
              </w:rPr>
              <w:t>0.01L</w:t>
            </w:r>
          </w:p>
        </w:tc>
        <w:tc>
          <w:tcPr>
            <w:tcW w:w="739" w:type="pct"/>
            <w:tcBorders>
              <w:tl2br w:val="nil"/>
              <w:tr2bl w:val="nil"/>
            </w:tcBorders>
            <w:vAlign w:val="center"/>
          </w:tcPr>
          <w:p>
            <w:pPr>
              <w:jc w:val="center"/>
              <w:textAlignment w:val="bottom"/>
              <w:rPr>
                <w:rFonts w:ascii="Times New Roman" w:hAnsi="Times New Roman" w:eastAsiaTheme="minorEastAsia" w:cstheme="minorBidi"/>
                <w:bCs/>
                <w:color w:val="auto"/>
                <w:kern w:val="2"/>
                <w:sz w:val="21"/>
                <w:szCs w:val="21"/>
                <w:lang w:val="en-US" w:eastAsia="zh-CN" w:bidi="ar-SA"/>
              </w:rPr>
            </w:pPr>
            <w:r>
              <w:rPr>
                <w:rFonts w:ascii="Times New Roman" w:hAnsi="Times New Roman" w:cs="宋体"/>
                <w:bCs/>
                <w:color w:val="auto"/>
                <w:szCs w:val="21"/>
              </w:rPr>
              <w:t>0.01L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jc w:val="center"/>
              <w:rPr>
                <w:rFonts w:ascii="Times New Roman" w:hAnsi="Times New Roman"/>
                <w:bCs/>
                <w:color w:val="auto"/>
                <w:szCs w:val="21"/>
              </w:rPr>
            </w:pPr>
          </w:p>
        </w:tc>
        <w:tc>
          <w:tcPr>
            <w:tcW w:w="974" w:type="pct"/>
            <w:tcBorders>
              <w:tl2br w:val="nil"/>
              <w:tr2bl w:val="nil"/>
            </w:tcBorders>
            <w:vAlign w:val="center"/>
          </w:tcPr>
          <w:p>
            <w:pPr>
              <w:jc w:val="center"/>
              <w:rPr>
                <w:rFonts w:ascii="Times New Roman" w:hAnsi="Times New Roman" w:cs="宋体"/>
                <w:color w:val="auto"/>
                <w:szCs w:val="21"/>
              </w:rPr>
            </w:pPr>
            <w:r>
              <w:rPr>
                <w:rFonts w:hint="eastAsia" w:ascii="Times New Roman" w:hAnsi="Times New Roman" w:cs="宋体"/>
                <w:color w:val="auto"/>
                <w:szCs w:val="21"/>
              </w:rPr>
              <w:t>铬</w:t>
            </w:r>
            <w:r>
              <w:rPr>
                <w:rFonts w:hint="eastAsia" w:ascii="Times New Roman" w:hAnsi="Times New Roman"/>
                <w:bCs/>
                <w:color w:val="auto"/>
                <w:szCs w:val="21"/>
              </w:rPr>
              <w:t>（</w:t>
            </w:r>
            <w:r>
              <w:rPr>
                <w:rFonts w:ascii="Times New Roman" w:hAnsi="Times New Roman"/>
                <w:bCs/>
                <w:color w:val="auto"/>
                <w:szCs w:val="21"/>
              </w:rPr>
              <w:t>mg/L</w:t>
            </w:r>
            <w:r>
              <w:rPr>
                <w:rFonts w:hint="eastAsia" w:ascii="Times New Roman" w:hAnsi="Times New Roman"/>
                <w:bCs/>
                <w:color w:val="auto"/>
                <w:szCs w:val="21"/>
              </w:rPr>
              <w:t>）</w:t>
            </w:r>
          </w:p>
        </w:tc>
        <w:tc>
          <w:tcPr>
            <w:tcW w:w="670"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0.03L</w:t>
            </w:r>
          </w:p>
        </w:tc>
        <w:tc>
          <w:tcPr>
            <w:tcW w:w="757"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0.03L</w:t>
            </w:r>
          </w:p>
        </w:tc>
        <w:tc>
          <w:tcPr>
            <w:tcW w:w="758"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0.03L</w:t>
            </w:r>
          </w:p>
        </w:tc>
        <w:tc>
          <w:tcPr>
            <w:tcW w:w="761"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0.03L</w:t>
            </w:r>
          </w:p>
        </w:tc>
        <w:tc>
          <w:tcPr>
            <w:tcW w:w="739" w:type="pct"/>
            <w:tcBorders>
              <w:tl2br w:val="nil"/>
              <w:tr2bl w:val="nil"/>
            </w:tcBorders>
            <w:vAlign w:val="center"/>
          </w:tcPr>
          <w:p>
            <w:pPr>
              <w:jc w:val="center"/>
              <w:textAlignment w:val="bottom"/>
              <w:rPr>
                <w:rFonts w:ascii="Times New Roman" w:hAnsi="Times New Roman" w:eastAsiaTheme="minorEastAsia" w:cstheme="minorBidi"/>
                <w:bCs/>
                <w:color w:val="auto"/>
                <w:kern w:val="2"/>
                <w:sz w:val="21"/>
                <w:szCs w:val="21"/>
                <w:lang w:val="en-US" w:eastAsia="zh-CN" w:bidi="ar-SA"/>
              </w:rPr>
            </w:pPr>
            <w:r>
              <w:rPr>
                <w:rFonts w:ascii="Times New Roman" w:hAnsi="Times New Roman"/>
                <w:bCs/>
                <w:color w:val="auto"/>
                <w:szCs w:val="21"/>
              </w:rPr>
              <w:t>0.03L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jc w:val="center"/>
              <w:rPr>
                <w:rFonts w:ascii="Times New Roman" w:hAnsi="Times New Roman"/>
                <w:bCs/>
                <w:color w:val="auto"/>
                <w:szCs w:val="21"/>
              </w:rPr>
            </w:pPr>
          </w:p>
        </w:tc>
        <w:tc>
          <w:tcPr>
            <w:tcW w:w="974" w:type="pct"/>
            <w:tcBorders>
              <w:tl2br w:val="nil"/>
              <w:tr2bl w:val="nil"/>
            </w:tcBorders>
            <w:vAlign w:val="center"/>
          </w:tcPr>
          <w:p>
            <w:pPr>
              <w:jc w:val="center"/>
              <w:rPr>
                <w:rFonts w:ascii="Times New Roman" w:hAnsi="Times New Roman" w:cs="宋体"/>
                <w:color w:val="auto"/>
                <w:szCs w:val="21"/>
              </w:rPr>
            </w:pPr>
            <w:r>
              <w:rPr>
                <w:rFonts w:hint="eastAsia" w:ascii="Times New Roman" w:hAnsi="Times New Roman" w:cs="宋体"/>
                <w:color w:val="auto"/>
                <w:szCs w:val="21"/>
              </w:rPr>
              <w:t>铁</w:t>
            </w:r>
            <w:r>
              <w:rPr>
                <w:rFonts w:hint="eastAsia" w:ascii="Times New Roman" w:hAnsi="Times New Roman"/>
                <w:bCs/>
                <w:color w:val="auto"/>
                <w:szCs w:val="21"/>
              </w:rPr>
              <w:t>（</w:t>
            </w:r>
            <w:r>
              <w:rPr>
                <w:rFonts w:ascii="Times New Roman" w:hAnsi="Times New Roman"/>
                <w:bCs/>
                <w:color w:val="auto"/>
                <w:szCs w:val="21"/>
              </w:rPr>
              <w:t>mg/L</w:t>
            </w:r>
            <w:r>
              <w:rPr>
                <w:rFonts w:hint="eastAsia" w:ascii="Times New Roman" w:hAnsi="Times New Roman"/>
                <w:bCs/>
                <w:color w:val="auto"/>
                <w:szCs w:val="21"/>
              </w:rPr>
              <w:t>）</w:t>
            </w:r>
          </w:p>
        </w:tc>
        <w:tc>
          <w:tcPr>
            <w:tcW w:w="670"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cs="宋体"/>
                <w:bCs/>
                <w:color w:val="auto"/>
                <w:szCs w:val="21"/>
              </w:rPr>
              <w:t>0.01L</w:t>
            </w:r>
          </w:p>
        </w:tc>
        <w:tc>
          <w:tcPr>
            <w:tcW w:w="757"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cs="宋体"/>
                <w:bCs/>
                <w:color w:val="auto"/>
                <w:szCs w:val="21"/>
              </w:rPr>
              <w:t>0.01L</w:t>
            </w:r>
          </w:p>
        </w:tc>
        <w:tc>
          <w:tcPr>
            <w:tcW w:w="758"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cs="宋体"/>
                <w:bCs/>
                <w:color w:val="auto"/>
                <w:szCs w:val="21"/>
              </w:rPr>
              <w:t>0.01L</w:t>
            </w:r>
          </w:p>
        </w:tc>
        <w:tc>
          <w:tcPr>
            <w:tcW w:w="761" w:type="pct"/>
            <w:gridSpan w:val="2"/>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cs="宋体"/>
                <w:bCs/>
                <w:color w:val="auto"/>
                <w:szCs w:val="21"/>
              </w:rPr>
              <w:t>0.01L</w:t>
            </w:r>
          </w:p>
        </w:tc>
        <w:tc>
          <w:tcPr>
            <w:tcW w:w="739" w:type="pct"/>
            <w:tcBorders>
              <w:tl2br w:val="nil"/>
              <w:tr2bl w:val="nil"/>
            </w:tcBorders>
            <w:vAlign w:val="center"/>
          </w:tcPr>
          <w:p>
            <w:pPr>
              <w:jc w:val="center"/>
              <w:textAlignment w:val="bottom"/>
              <w:rPr>
                <w:rFonts w:ascii="Times New Roman" w:hAnsi="Times New Roman" w:eastAsiaTheme="minorEastAsia" w:cstheme="minorBidi"/>
                <w:bCs/>
                <w:color w:val="auto"/>
                <w:kern w:val="2"/>
                <w:sz w:val="21"/>
                <w:szCs w:val="21"/>
                <w:lang w:val="en-US" w:eastAsia="zh-CN" w:bidi="ar-SA"/>
              </w:rPr>
            </w:pPr>
            <w:r>
              <w:rPr>
                <w:rFonts w:ascii="Times New Roman" w:hAnsi="Times New Roman" w:cs="宋体"/>
                <w:bCs/>
                <w:color w:val="auto"/>
                <w:szCs w:val="21"/>
              </w:rPr>
              <w:t>0.01L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tcBorders>
              <w:tl2br w:val="nil"/>
              <w:tr2bl w:val="nil"/>
            </w:tcBorders>
            <w:vAlign w:val="center"/>
          </w:tcPr>
          <w:p>
            <w:pPr>
              <w:jc w:val="center"/>
              <w:rPr>
                <w:rFonts w:ascii="Times New Roman" w:hAnsi="Times New Roman"/>
                <w:bCs/>
                <w:color w:val="auto"/>
                <w:szCs w:val="21"/>
              </w:rPr>
            </w:pPr>
            <w:r>
              <w:rPr>
                <w:rFonts w:hint="eastAsia" w:ascii="Times New Roman" w:hAnsi="Times New Roman"/>
                <w:bCs/>
                <w:color w:val="auto"/>
                <w:szCs w:val="21"/>
              </w:rPr>
              <w:t>备注</w:t>
            </w:r>
          </w:p>
        </w:tc>
        <w:tc>
          <w:tcPr>
            <w:tcW w:w="4661" w:type="pct"/>
            <w:gridSpan w:val="9"/>
            <w:tcBorders>
              <w:tl2br w:val="nil"/>
              <w:tr2bl w:val="nil"/>
            </w:tcBorders>
            <w:vAlign w:val="center"/>
          </w:tcPr>
          <w:p>
            <w:pPr>
              <w:widowControl/>
              <w:jc w:val="center"/>
              <w:textAlignment w:val="bottom"/>
              <w:rPr>
                <w:rFonts w:hint="eastAsia" w:ascii="Times New Roman" w:hAnsi="Times New Roman"/>
                <w:color w:val="auto"/>
                <w:szCs w:val="21"/>
              </w:rPr>
            </w:pPr>
            <w:r>
              <w:rPr>
                <w:rFonts w:hint="eastAsia" w:ascii="Times New Roman" w:hAnsi="Times New Roman"/>
                <w:color w:val="auto"/>
                <w:szCs w:val="21"/>
              </w:rPr>
              <w:t>“</w:t>
            </w:r>
            <w:r>
              <w:rPr>
                <w:rFonts w:ascii="Times New Roman" w:hAnsi="Times New Roman"/>
                <w:color w:val="auto"/>
                <w:szCs w:val="21"/>
              </w:rPr>
              <w:t>L</w:t>
            </w:r>
            <w:r>
              <w:rPr>
                <w:rFonts w:hint="eastAsia" w:ascii="Times New Roman" w:hAnsi="Times New Roman"/>
                <w:color w:val="auto"/>
                <w:szCs w:val="21"/>
              </w:rPr>
              <w:t>”表示未检出，检测结果低于方法检出限以</w:t>
            </w:r>
            <w:r>
              <w:rPr>
                <w:rFonts w:ascii="Times New Roman" w:hAnsi="Times New Roman"/>
                <w:color w:val="auto"/>
                <w:szCs w:val="21"/>
              </w:rPr>
              <w:t>L</w:t>
            </w:r>
            <w:r>
              <w:rPr>
                <w:rFonts w:hint="eastAsia" w:ascii="Times New Roman" w:hAnsi="Times New Roman"/>
                <w:color w:val="auto"/>
                <w:szCs w:val="21"/>
              </w:rPr>
              <w:t>或未检出表示</w:t>
            </w:r>
          </w:p>
        </w:tc>
      </w:tr>
    </w:tbl>
    <w:p>
      <w:pPr>
        <w:pStyle w:val="104"/>
        <w:ind w:firstLine="422"/>
        <w:jc w:val="center"/>
        <w:rPr>
          <w:rFonts w:hint="eastAsia" w:ascii="Times New Roman" w:hAnsi="Times New Roman" w:eastAsia="宋体"/>
          <w:b/>
          <w:color w:val="auto"/>
          <w:sz w:val="21"/>
          <w:szCs w:val="21"/>
          <w:lang w:val="en-US" w:eastAsia="zh-CN"/>
        </w:rPr>
      </w:pPr>
      <w:r>
        <w:rPr>
          <w:rFonts w:ascii="Times New Roman" w:hAnsi="Times New Roman"/>
          <w:b/>
          <w:color w:val="auto"/>
          <w:sz w:val="21"/>
          <w:szCs w:val="21"/>
        </w:rPr>
        <w:t>表9.</w:t>
      </w:r>
      <w:r>
        <w:rPr>
          <w:rFonts w:hint="eastAsia" w:ascii="Times New Roman" w:hAnsi="Times New Roman"/>
          <w:b/>
          <w:color w:val="auto"/>
          <w:sz w:val="21"/>
          <w:szCs w:val="21"/>
        </w:rPr>
        <w:t>3</w:t>
      </w:r>
      <w:r>
        <w:rPr>
          <w:rFonts w:ascii="Times New Roman" w:hAnsi="Times New Roman"/>
          <w:b/>
          <w:color w:val="auto"/>
          <w:sz w:val="21"/>
          <w:szCs w:val="21"/>
        </w:rPr>
        <w:t>-</w:t>
      </w:r>
      <w:r>
        <w:rPr>
          <w:rFonts w:hint="eastAsia" w:ascii="Times New Roman" w:hAnsi="Times New Roman"/>
          <w:b/>
          <w:color w:val="auto"/>
          <w:sz w:val="21"/>
          <w:szCs w:val="21"/>
          <w:lang w:val="en-US" w:eastAsia="zh-CN"/>
        </w:rPr>
        <w:t xml:space="preserve">4  </w:t>
      </w:r>
      <w:r>
        <w:rPr>
          <w:rFonts w:hint="eastAsia" w:ascii="Times New Roman" w:hAnsi="Times New Roman"/>
          <w:b/>
          <w:color w:val="auto"/>
          <w:sz w:val="21"/>
          <w:szCs w:val="21"/>
        </w:rPr>
        <w:t>地下水</w:t>
      </w:r>
      <w:r>
        <w:rPr>
          <w:rFonts w:ascii="Times New Roman" w:hAnsi="Times New Roman"/>
          <w:b/>
          <w:color w:val="auto"/>
          <w:sz w:val="21"/>
          <w:szCs w:val="21"/>
        </w:rPr>
        <w:t>监测结果表</w:t>
      </w:r>
      <w:r>
        <w:rPr>
          <w:rFonts w:hint="eastAsia" w:ascii="Times New Roman" w:hAnsi="Times New Roman"/>
          <w:b/>
          <w:color w:val="auto"/>
          <w:sz w:val="21"/>
          <w:szCs w:val="21"/>
          <w:lang w:eastAsia="zh-CN"/>
        </w:rPr>
        <w:t>（</w:t>
      </w:r>
      <w:r>
        <w:rPr>
          <w:rFonts w:hint="eastAsia" w:ascii="Times New Roman" w:hAnsi="Times New Roman"/>
          <w:b/>
          <w:color w:val="auto"/>
          <w:sz w:val="21"/>
          <w:szCs w:val="21"/>
          <w:lang w:val="en-US" w:eastAsia="zh-CN"/>
        </w:rPr>
        <w:t>4</w:t>
      </w:r>
      <w:r>
        <w:rPr>
          <w:rFonts w:hint="eastAsia" w:ascii="Times New Roman" w:hAnsi="Times New Roman"/>
          <w:b/>
          <w:color w:val="auto"/>
          <w:sz w:val="21"/>
          <w:szCs w:val="21"/>
          <w:lang w:eastAsia="zh-CN"/>
        </w:rPr>
        <w:t>）</w:t>
      </w:r>
    </w:p>
    <w:tbl>
      <w:tblPr>
        <w:tblStyle w:val="29"/>
        <w:tblpPr w:leftFromText="180" w:rightFromText="180" w:vertAnchor="text" w:horzAnchor="margin" w:tblpXSpec="center" w:tblpY="66"/>
        <w:tblW w:w="4995"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34"/>
        <w:gridCol w:w="1840"/>
        <w:gridCol w:w="1379"/>
        <w:gridCol w:w="1379"/>
        <w:gridCol w:w="1379"/>
        <w:gridCol w:w="1388"/>
        <w:gridCol w:w="139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18" w:type="pct"/>
            <w:gridSpan w:val="2"/>
            <w:tcBorders>
              <w:tl2br w:val="nil"/>
              <w:tr2bl w:val="nil"/>
            </w:tcBorders>
            <w:vAlign w:val="center"/>
          </w:tcPr>
          <w:p>
            <w:pPr>
              <w:jc w:val="center"/>
              <w:rPr>
                <w:rFonts w:ascii="Times New Roman" w:hAnsi="Times New Roman"/>
                <w:b/>
                <w:color w:val="auto"/>
                <w:szCs w:val="21"/>
              </w:rPr>
            </w:pPr>
            <w:r>
              <w:rPr>
                <w:rFonts w:hint="eastAsia" w:ascii="Times New Roman" w:hAnsi="Times New Roman"/>
                <w:b/>
                <w:color w:val="auto"/>
                <w:szCs w:val="21"/>
              </w:rPr>
              <w:t>监测点位</w:t>
            </w:r>
          </w:p>
        </w:tc>
        <w:tc>
          <w:tcPr>
            <w:tcW w:w="734" w:type="pct"/>
            <w:tcBorders>
              <w:tl2br w:val="nil"/>
              <w:tr2bl w:val="nil"/>
            </w:tcBorders>
            <w:vAlign w:val="center"/>
          </w:tcPr>
          <w:p>
            <w:pPr>
              <w:jc w:val="center"/>
              <w:rPr>
                <w:rFonts w:ascii="Times New Roman" w:hAnsi="Times New Roman" w:cs="宋体"/>
                <w:b/>
                <w:bCs/>
                <w:color w:val="auto"/>
                <w:szCs w:val="21"/>
              </w:rPr>
            </w:pPr>
            <w:r>
              <w:rPr>
                <w:rFonts w:hint="eastAsia" w:ascii="Times New Roman" w:hAnsi="Times New Roman" w:cs="宋体"/>
                <w:b/>
                <w:bCs/>
                <w:color w:val="auto"/>
                <w:szCs w:val="21"/>
              </w:rPr>
              <w:t>填埋库区上游</w:t>
            </w:r>
            <w:r>
              <w:rPr>
                <w:rFonts w:ascii="Times New Roman" w:hAnsi="Times New Roman" w:cs="宋体"/>
                <w:b/>
                <w:bCs/>
                <w:color w:val="auto"/>
                <w:szCs w:val="21"/>
              </w:rPr>
              <w:t>40m</w:t>
            </w:r>
            <w:r>
              <w:rPr>
                <w:rFonts w:hint="eastAsia" w:ascii="Times New Roman" w:hAnsi="Times New Roman" w:cs="宋体"/>
                <w:b/>
                <w:bCs/>
                <w:color w:val="auto"/>
                <w:szCs w:val="21"/>
              </w:rPr>
              <w:t>处</w:t>
            </w:r>
          </w:p>
        </w:tc>
        <w:tc>
          <w:tcPr>
            <w:tcW w:w="734" w:type="pct"/>
            <w:tcBorders>
              <w:tl2br w:val="nil"/>
              <w:tr2bl w:val="nil"/>
            </w:tcBorders>
            <w:vAlign w:val="center"/>
          </w:tcPr>
          <w:p>
            <w:pPr>
              <w:jc w:val="center"/>
              <w:rPr>
                <w:rFonts w:hint="eastAsia" w:ascii="Times New Roman" w:hAnsi="Times New Roman" w:cs="宋体" w:eastAsiaTheme="minorEastAsia"/>
                <w:b/>
                <w:bCs/>
                <w:color w:val="auto"/>
                <w:szCs w:val="21"/>
                <w:lang w:eastAsia="zh-CN"/>
              </w:rPr>
            </w:pPr>
            <w:r>
              <w:rPr>
                <w:rFonts w:hint="eastAsia" w:ascii="Times New Roman" w:hAnsi="Times New Roman" w:cs="宋体"/>
                <w:b/>
                <w:bCs/>
                <w:color w:val="auto"/>
                <w:szCs w:val="21"/>
              </w:rPr>
              <w:t>填埋库区</w:t>
            </w:r>
            <w:r>
              <w:rPr>
                <w:rFonts w:hint="eastAsia" w:ascii="Times New Roman" w:hAnsi="Times New Roman" w:cs="宋体"/>
                <w:b/>
                <w:bCs/>
                <w:color w:val="auto"/>
                <w:szCs w:val="21"/>
                <w:lang w:eastAsia="zh-CN"/>
              </w:rPr>
              <w:t>南侧监控井</w:t>
            </w:r>
          </w:p>
        </w:tc>
        <w:tc>
          <w:tcPr>
            <w:tcW w:w="734" w:type="pct"/>
            <w:tcBorders>
              <w:tl2br w:val="nil"/>
              <w:tr2bl w:val="nil"/>
            </w:tcBorders>
            <w:vAlign w:val="center"/>
          </w:tcPr>
          <w:p>
            <w:pPr>
              <w:jc w:val="center"/>
              <w:rPr>
                <w:rFonts w:ascii="Times New Roman" w:hAnsi="Times New Roman" w:cs="宋体"/>
                <w:b/>
                <w:bCs/>
                <w:color w:val="auto"/>
                <w:szCs w:val="21"/>
              </w:rPr>
            </w:pPr>
            <w:r>
              <w:rPr>
                <w:rFonts w:hint="eastAsia" w:ascii="Times New Roman" w:hAnsi="Times New Roman" w:cs="宋体"/>
                <w:b/>
                <w:bCs/>
                <w:color w:val="auto"/>
                <w:szCs w:val="21"/>
              </w:rPr>
              <w:t>填埋库区下游</w:t>
            </w:r>
            <w:r>
              <w:rPr>
                <w:rFonts w:ascii="Times New Roman" w:hAnsi="Times New Roman" w:cs="宋体"/>
                <w:b/>
                <w:bCs/>
                <w:color w:val="auto"/>
                <w:szCs w:val="21"/>
              </w:rPr>
              <w:t>30m</w:t>
            </w:r>
            <w:r>
              <w:rPr>
                <w:rFonts w:hint="eastAsia" w:ascii="Times New Roman" w:hAnsi="Times New Roman" w:cs="宋体"/>
                <w:b/>
                <w:bCs/>
                <w:color w:val="auto"/>
                <w:szCs w:val="21"/>
              </w:rPr>
              <w:t>处</w:t>
            </w:r>
          </w:p>
        </w:tc>
        <w:tc>
          <w:tcPr>
            <w:tcW w:w="739" w:type="pct"/>
            <w:tcBorders>
              <w:tl2br w:val="nil"/>
              <w:tr2bl w:val="nil"/>
            </w:tcBorders>
            <w:vAlign w:val="center"/>
          </w:tcPr>
          <w:p>
            <w:pPr>
              <w:jc w:val="center"/>
              <w:rPr>
                <w:rFonts w:ascii="Times New Roman" w:hAnsi="Times New Roman" w:cs="宋体"/>
                <w:b/>
                <w:bCs/>
                <w:color w:val="auto"/>
                <w:szCs w:val="21"/>
              </w:rPr>
            </w:pPr>
            <w:r>
              <w:rPr>
                <w:rFonts w:hint="eastAsia" w:ascii="Times New Roman" w:hAnsi="Times New Roman" w:cs="宋体"/>
                <w:b/>
                <w:bCs/>
                <w:color w:val="auto"/>
                <w:szCs w:val="21"/>
              </w:rPr>
              <w:t>填埋库区下游</w:t>
            </w:r>
            <w:r>
              <w:rPr>
                <w:rFonts w:ascii="Times New Roman" w:hAnsi="Times New Roman" w:cs="宋体"/>
                <w:b/>
                <w:bCs/>
                <w:color w:val="auto"/>
                <w:szCs w:val="21"/>
              </w:rPr>
              <w:t>50m</w:t>
            </w:r>
            <w:r>
              <w:rPr>
                <w:rFonts w:hint="eastAsia" w:ascii="Times New Roman" w:hAnsi="Times New Roman" w:cs="宋体"/>
                <w:b/>
                <w:bCs/>
                <w:color w:val="auto"/>
                <w:szCs w:val="21"/>
              </w:rPr>
              <w:t>处</w:t>
            </w:r>
          </w:p>
        </w:tc>
        <w:tc>
          <w:tcPr>
            <w:tcW w:w="739" w:type="pct"/>
            <w:tcBorders>
              <w:tl2br w:val="nil"/>
              <w:tr2bl w:val="nil"/>
            </w:tcBorders>
            <w:vAlign w:val="center"/>
          </w:tcPr>
          <w:p>
            <w:pPr>
              <w:jc w:val="center"/>
              <w:rPr>
                <w:rFonts w:hint="eastAsia" w:ascii="Times New Roman" w:hAnsi="Times New Roman" w:cs="宋体" w:eastAsiaTheme="minorEastAsia"/>
                <w:b/>
                <w:bCs/>
                <w:color w:val="auto"/>
                <w:szCs w:val="21"/>
                <w:lang w:eastAsia="zh-CN"/>
              </w:rPr>
            </w:pPr>
            <w:r>
              <w:rPr>
                <w:rFonts w:hint="eastAsia" w:ascii="Times New Roman" w:hAnsi="Times New Roman" w:cs="宋体"/>
                <w:b/>
                <w:bCs/>
                <w:color w:val="auto"/>
                <w:szCs w:val="21"/>
                <w:lang w:eastAsia="zh-CN"/>
              </w:rPr>
              <w:t>填埋库区西北侧监控井</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00" w:type="pct"/>
            <w:gridSpan w:val="7"/>
            <w:tcBorders>
              <w:tl2br w:val="nil"/>
              <w:tr2bl w:val="nil"/>
            </w:tcBorders>
            <w:vAlign w:val="center"/>
          </w:tcPr>
          <w:p>
            <w:pPr>
              <w:jc w:val="center"/>
              <w:textAlignment w:val="bottom"/>
              <w:rPr>
                <w:rFonts w:hint="eastAsia" w:ascii="Times New Roman" w:hAnsi="Times New Roman"/>
                <w:b/>
                <w:color w:val="auto"/>
                <w:szCs w:val="21"/>
              </w:rPr>
            </w:pPr>
            <w:r>
              <w:rPr>
                <w:rFonts w:hint="eastAsia" w:ascii="Times New Roman" w:hAnsi="Times New Roman"/>
                <w:b/>
                <w:color w:val="auto"/>
                <w:szCs w:val="21"/>
              </w:rPr>
              <w:t>监测日期：</w:t>
            </w:r>
            <w:r>
              <w:rPr>
                <w:rFonts w:ascii="Times New Roman" w:hAnsi="Times New Roman"/>
                <w:b/>
                <w:color w:val="auto"/>
                <w:szCs w:val="21"/>
              </w:rPr>
              <w:t>2020</w:t>
            </w:r>
            <w:r>
              <w:rPr>
                <w:rFonts w:hint="eastAsia" w:ascii="Times New Roman" w:hAnsi="Times New Roman"/>
                <w:b/>
                <w:color w:val="auto"/>
                <w:szCs w:val="21"/>
              </w:rPr>
              <w:t>年</w:t>
            </w:r>
            <w:r>
              <w:rPr>
                <w:rFonts w:ascii="Times New Roman" w:hAnsi="Times New Roman"/>
                <w:b/>
                <w:color w:val="auto"/>
                <w:szCs w:val="21"/>
              </w:rPr>
              <w:t>10</w:t>
            </w:r>
            <w:r>
              <w:rPr>
                <w:rFonts w:hint="eastAsia" w:ascii="Times New Roman" w:hAnsi="Times New Roman"/>
                <w:b/>
                <w:color w:val="auto"/>
                <w:szCs w:val="21"/>
              </w:rPr>
              <w:t>月</w:t>
            </w:r>
            <w:r>
              <w:rPr>
                <w:rFonts w:ascii="Times New Roman" w:hAnsi="Times New Roman"/>
                <w:b/>
                <w:color w:val="auto"/>
                <w:szCs w:val="21"/>
              </w:rPr>
              <w:t>24</w:t>
            </w:r>
            <w:r>
              <w:rPr>
                <w:rFonts w:hint="eastAsia" w:ascii="Times New Roman" w:hAnsi="Times New Roman"/>
                <w:b/>
                <w:color w:val="auto"/>
                <w:szCs w:val="21"/>
              </w:rPr>
              <w:t>日</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restart"/>
            <w:tcBorders>
              <w:tl2br w:val="nil"/>
              <w:tr2bl w:val="nil"/>
            </w:tcBorders>
            <w:vAlign w:val="center"/>
          </w:tcPr>
          <w:p>
            <w:pPr>
              <w:jc w:val="center"/>
              <w:rPr>
                <w:rFonts w:ascii="Times New Roman" w:hAnsi="Times New Roman"/>
                <w:b/>
                <w:color w:val="auto"/>
                <w:szCs w:val="21"/>
              </w:rPr>
            </w:pPr>
            <w:r>
              <w:rPr>
                <w:rFonts w:hint="eastAsia" w:ascii="Times New Roman" w:hAnsi="Times New Roman"/>
                <w:b/>
                <w:color w:val="auto"/>
                <w:szCs w:val="21"/>
              </w:rPr>
              <w:t>分析项目</w:t>
            </w:r>
          </w:p>
        </w:tc>
        <w:tc>
          <w:tcPr>
            <w:tcW w:w="979" w:type="pct"/>
            <w:tcBorders>
              <w:tl2br w:val="nil"/>
              <w:tr2bl w:val="nil"/>
            </w:tcBorders>
            <w:vAlign w:val="center"/>
          </w:tcPr>
          <w:p>
            <w:pPr>
              <w:jc w:val="center"/>
              <w:rPr>
                <w:rFonts w:ascii="Times New Roman" w:hAnsi="Times New Roman"/>
                <w:bCs/>
                <w:color w:val="auto"/>
                <w:szCs w:val="21"/>
              </w:rPr>
            </w:pPr>
            <w:r>
              <w:rPr>
                <w:rFonts w:ascii="Times New Roman" w:hAnsi="Times New Roman"/>
                <w:bCs/>
                <w:color w:val="auto"/>
                <w:szCs w:val="21"/>
              </w:rPr>
              <w:t>pH</w:t>
            </w:r>
            <w:r>
              <w:rPr>
                <w:rFonts w:hint="eastAsia" w:ascii="Times New Roman" w:hAnsi="Times New Roman"/>
                <w:bCs/>
                <w:color w:val="auto"/>
                <w:szCs w:val="21"/>
              </w:rPr>
              <w:t>（无量纲）</w:t>
            </w:r>
          </w:p>
        </w:tc>
        <w:tc>
          <w:tcPr>
            <w:tcW w:w="734"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7.35</w:t>
            </w:r>
          </w:p>
        </w:tc>
        <w:tc>
          <w:tcPr>
            <w:tcW w:w="734"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7.41</w:t>
            </w:r>
          </w:p>
        </w:tc>
        <w:tc>
          <w:tcPr>
            <w:tcW w:w="734"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7.39</w:t>
            </w:r>
          </w:p>
        </w:tc>
        <w:tc>
          <w:tcPr>
            <w:tcW w:w="739"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7.40</w:t>
            </w:r>
          </w:p>
        </w:tc>
        <w:tc>
          <w:tcPr>
            <w:tcW w:w="739" w:type="pct"/>
            <w:tcBorders>
              <w:tl2br w:val="nil"/>
              <w:tr2bl w:val="nil"/>
            </w:tcBorders>
            <w:vAlign w:val="center"/>
          </w:tcPr>
          <w:p>
            <w:pPr>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7.51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jc w:val="center"/>
              <w:rPr>
                <w:rFonts w:ascii="Times New Roman" w:hAnsi="Times New Roman"/>
                <w:bCs/>
                <w:color w:val="auto"/>
                <w:szCs w:val="21"/>
              </w:rPr>
            </w:pPr>
          </w:p>
        </w:tc>
        <w:tc>
          <w:tcPr>
            <w:tcW w:w="979" w:type="pct"/>
            <w:tcBorders>
              <w:tl2br w:val="nil"/>
              <w:tr2bl w:val="nil"/>
            </w:tcBorders>
            <w:vAlign w:val="center"/>
          </w:tcPr>
          <w:p>
            <w:pPr>
              <w:jc w:val="center"/>
              <w:rPr>
                <w:rFonts w:ascii="Times New Roman" w:hAnsi="Times New Roman"/>
                <w:bCs/>
                <w:color w:val="auto"/>
                <w:szCs w:val="21"/>
              </w:rPr>
            </w:pPr>
            <w:r>
              <w:rPr>
                <w:rFonts w:hint="eastAsia" w:ascii="Times New Roman" w:hAnsi="Times New Roman"/>
                <w:bCs/>
                <w:color w:val="auto"/>
                <w:szCs w:val="21"/>
              </w:rPr>
              <w:t>耗氧量（</w:t>
            </w:r>
            <w:r>
              <w:rPr>
                <w:rFonts w:ascii="Times New Roman" w:hAnsi="Times New Roman"/>
                <w:bCs/>
                <w:color w:val="auto"/>
                <w:szCs w:val="21"/>
              </w:rPr>
              <w:t>mg/L</w:t>
            </w:r>
            <w:r>
              <w:rPr>
                <w:rFonts w:hint="eastAsia" w:ascii="Times New Roman" w:hAnsi="Times New Roman"/>
                <w:bCs/>
                <w:color w:val="auto"/>
                <w:szCs w:val="21"/>
              </w:rPr>
              <w:t>）</w:t>
            </w:r>
          </w:p>
        </w:tc>
        <w:tc>
          <w:tcPr>
            <w:tcW w:w="734"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2.05</w:t>
            </w:r>
          </w:p>
        </w:tc>
        <w:tc>
          <w:tcPr>
            <w:tcW w:w="734"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1.78</w:t>
            </w:r>
          </w:p>
        </w:tc>
        <w:tc>
          <w:tcPr>
            <w:tcW w:w="734"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2.11</w:t>
            </w:r>
          </w:p>
        </w:tc>
        <w:tc>
          <w:tcPr>
            <w:tcW w:w="739"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1.91</w:t>
            </w:r>
          </w:p>
        </w:tc>
        <w:tc>
          <w:tcPr>
            <w:tcW w:w="739" w:type="pct"/>
            <w:tcBorders>
              <w:tl2br w:val="nil"/>
              <w:tr2bl w:val="nil"/>
            </w:tcBorders>
            <w:vAlign w:val="center"/>
          </w:tcPr>
          <w:p>
            <w:pPr>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1.90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jc w:val="center"/>
              <w:rPr>
                <w:rFonts w:ascii="Times New Roman" w:hAnsi="Times New Roman"/>
                <w:bCs/>
                <w:color w:val="auto"/>
                <w:szCs w:val="21"/>
              </w:rPr>
            </w:pPr>
          </w:p>
        </w:tc>
        <w:tc>
          <w:tcPr>
            <w:tcW w:w="979" w:type="pct"/>
            <w:tcBorders>
              <w:tl2br w:val="nil"/>
              <w:tr2bl w:val="nil"/>
            </w:tcBorders>
            <w:vAlign w:val="center"/>
          </w:tcPr>
          <w:p>
            <w:pPr>
              <w:jc w:val="center"/>
              <w:rPr>
                <w:rFonts w:ascii="Times New Roman" w:hAnsi="Times New Roman"/>
                <w:bCs/>
                <w:color w:val="auto"/>
                <w:szCs w:val="21"/>
              </w:rPr>
            </w:pPr>
            <w:r>
              <w:rPr>
                <w:rFonts w:hint="eastAsia" w:ascii="Times New Roman" w:hAnsi="Times New Roman"/>
                <w:bCs/>
                <w:color w:val="auto"/>
                <w:szCs w:val="21"/>
              </w:rPr>
              <w:t>总硬度（</w:t>
            </w:r>
            <w:r>
              <w:rPr>
                <w:rFonts w:ascii="Times New Roman" w:hAnsi="Times New Roman"/>
                <w:bCs/>
                <w:color w:val="auto"/>
                <w:szCs w:val="21"/>
              </w:rPr>
              <w:t>mg/L</w:t>
            </w:r>
            <w:r>
              <w:rPr>
                <w:rFonts w:hint="eastAsia" w:ascii="Times New Roman" w:hAnsi="Times New Roman"/>
                <w:bCs/>
                <w:color w:val="auto"/>
                <w:szCs w:val="21"/>
              </w:rPr>
              <w:t>）</w:t>
            </w:r>
          </w:p>
        </w:tc>
        <w:tc>
          <w:tcPr>
            <w:tcW w:w="734"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121</w:t>
            </w:r>
          </w:p>
        </w:tc>
        <w:tc>
          <w:tcPr>
            <w:tcW w:w="734"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124</w:t>
            </w:r>
          </w:p>
        </w:tc>
        <w:tc>
          <w:tcPr>
            <w:tcW w:w="734"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124</w:t>
            </w:r>
          </w:p>
        </w:tc>
        <w:tc>
          <w:tcPr>
            <w:tcW w:w="739"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120</w:t>
            </w:r>
          </w:p>
        </w:tc>
        <w:tc>
          <w:tcPr>
            <w:tcW w:w="739" w:type="pct"/>
            <w:tcBorders>
              <w:tl2br w:val="nil"/>
              <w:tr2bl w:val="nil"/>
            </w:tcBorders>
            <w:vAlign w:val="center"/>
          </w:tcPr>
          <w:p>
            <w:pPr>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128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jc w:val="center"/>
              <w:rPr>
                <w:rFonts w:ascii="Times New Roman" w:hAnsi="Times New Roman"/>
                <w:bCs/>
                <w:color w:val="auto"/>
                <w:szCs w:val="21"/>
              </w:rPr>
            </w:pPr>
          </w:p>
        </w:tc>
        <w:tc>
          <w:tcPr>
            <w:tcW w:w="979" w:type="pct"/>
            <w:tcBorders>
              <w:tl2br w:val="nil"/>
              <w:tr2bl w:val="nil"/>
            </w:tcBorders>
            <w:vAlign w:val="center"/>
          </w:tcPr>
          <w:p>
            <w:pPr>
              <w:jc w:val="center"/>
              <w:rPr>
                <w:rFonts w:ascii="Times New Roman" w:hAnsi="Times New Roman"/>
                <w:bCs/>
                <w:color w:val="auto"/>
                <w:szCs w:val="21"/>
              </w:rPr>
            </w:pPr>
            <w:r>
              <w:rPr>
                <w:rFonts w:hint="eastAsia" w:ascii="Times New Roman" w:hAnsi="Times New Roman"/>
                <w:bCs/>
                <w:color w:val="auto"/>
                <w:szCs w:val="21"/>
              </w:rPr>
              <w:t>溶解性总固体（</w:t>
            </w:r>
            <w:r>
              <w:rPr>
                <w:rFonts w:ascii="Times New Roman" w:hAnsi="Times New Roman"/>
                <w:bCs/>
                <w:color w:val="auto"/>
                <w:szCs w:val="21"/>
              </w:rPr>
              <w:t>mg/L</w:t>
            </w:r>
            <w:r>
              <w:rPr>
                <w:rFonts w:hint="eastAsia" w:ascii="Times New Roman" w:hAnsi="Times New Roman"/>
                <w:bCs/>
                <w:color w:val="auto"/>
                <w:szCs w:val="21"/>
              </w:rPr>
              <w:t>）</w:t>
            </w:r>
          </w:p>
        </w:tc>
        <w:tc>
          <w:tcPr>
            <w:tcW w:w="734"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321</w:t>
            </w:r>
          </w:p>
        </w:tc>
        <w:tc>
          <w:tcPr>
            <w:tcW w:w="734"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318</w:t>
            </w:r>
          </w:p>
        </w:tc>
        <w:tc>
          <w:tcPr>
            <w:tcW w:w="734"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322</w:t>
            </w:r>
          </w:p>
        </w:tc>
        <w:tc>
          <w:tcPr>
            <w:tcW w:w="739"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341</w:t>
            </w:r>
          </w:p>
        </w:tc>
        <w:tc>
          <w:tcPr>
            <w:tcW w:w="739" w:type="pct"/>
            <w:tcBorders>
              <w:tl2br w:val="nil"/>
              <w:tr2bl w:val="nil"/>
            </w:tcBorders>
            <w:vAlign w:val="center"/>
          </w:tcPr>
          <w:p>
            <w:pPr>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321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jc w:val="center"/>
              <w:rPr>
                <w:rFonts w:ascii="Times New Roman" w:hAnsi="Times New Roman"/>
                <w:bCs/>
                <w:color w:val="auto"/>
                <w:szCs w:val="21"/>
              </w:rPr>
            </w:pPr>
          </w:p>
        </w:tc>
        <w:tc>
          <w:tcPr>
            <w:tcW w:w="979" w:type="pct"/>
            <w:tcBorders>
              <w:tl2br w:val="nil"/>
              <w:tr2bl w:val="nil"/>
            </w:tcBorders>
            <w:vAlign w:val="center"/>
          </w:tcPr>
          <w:p>
            <w:pPr>
              <w:jc w:val="center"/>
              <w:rPr>
                <w:rFonts w:ascii="Times New Roman" w:hAnsi="Times New Roman" w:cs="宋体"/>
                <w:color w:val="000000" w:themeColor="text1"/>
                <w:szCs w:val="21"/>
                <w14:textFill>
                  <w14:solidFill>
                    <w14:schemeClr w14:val="tx1"/>
                  </w14:solidFill>
                </w14:textFill>
              </w:rPr>
            </w:pPr>
            <w:r>
              <w:rPr>
                <w:rFonts w:hint="eastAsia" w:ascii="Times New Roman" w:hAnsi="Times New Roman" w:cs="宋体"/>
                <w:color w:val="000000" w:themeColor="text1"/>
                <w:szCs w:val="21"/>
                <w14:textFill>
                  <w14:solidFill>
                    <w14:schemeClr w14:val="tx1"/>
                  </w14:solidFill>
                </w14:textFill>
              </w:rPr>
              <w:t>氯化物</w:t>
            </w:r>
            <w:r>
              <w:rPr>
                <w:rFonts w:hint="eastAsia" w:ascii="Times New Roman" w:hAnsi="Times New Roman"/>
                <w:bCs/>
                <w:color w:val="000000" w:themeColor="text1"/>
                <w:szCs w:val="21"/>
                <w14:textFill>
                  <w14:solidFill>
                    <w14:schemeClr w14:val="tx1"/>
                  </w14:solidFill>
                </w14:textFill>
              </w:rPr>
              <w:t>（</w:t>
            </w:r>
            <w:r>
              <w:rPr>
                <w:rFonts w:ascii="Times New Roman" w:hAnsi="Times New Roman"/>
                <w:bCs/>
                <w:color w:val="000000" w:themeColor="text1"/>
                <w:szCs w:val="21"/>
                <w14:textFill>
                  <w14:solidFill>
                    <w14:schemeClr w14:val="tx1"/>
                  </w14:solidFill>
                </w14:textFill>
              </w:rPr>
              <w:t>mg/L</w:t>
            </w:r>
            <w:r>
              <w:rPr>
                <w:rFonts w:hint="eastAsia" w:ascii="Times New Roman" w:hAnsi="Times New Roman"/>
                <w:bCs/>
                <w:color w:val="000000" w:themeColor="text1"/>
                <w:szCs w:val="21"/>
                <w14:textFill>
                  <w14:solidFill>
                    <w14:schemeClr w14:val="tx1"/>
                  </w14:solidFill>
                </w14:textFill>
              </w:rPr>
              <w:t>）</w:t>
            </w:r>
          </w:p>
        </w:tc>
        <w:tc>
          <w:tcPr>
            <w:tcW w:w="734" w:type="pct"/>
            <w:tcBorders>
              <w:tl2br w:val="nil"/>
              <w:tr2bl w:val="nil"/>
            </w:tcBorders>
            <w:vAlign w:val="center"/>
          </w:tcPr>
          <w:p>
            <w:pPr>
              <w:jc w:val="center"/>
              <w:textAlignment w:val="bottom"/>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26.1</w:t>
            </w:r>
          </w:p>
        </w:tc>
        <w:tc>
          <w:tcPr>
            <w:tcW w:w="734" w:type="pct"/>
            <w:tcBorders>
              <w:tl2br w:val="nil"/>
              <w:tr2bl w:val="nil"/>
            </w:tcBorders>
            <w:vAlign w:val="center"/>
          </w:tcPr>
          <w:p>
            <w:pPr>
              <w:jc w:val="center"/>
              <w:textAlignment w:val="bottom"/>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25.1</w:t>
            </w:r>
          </w:p>
        </w:tc>
        <w:tc>
          <w:tcPr>
            <w:tcW w:w="734" w:type="pct"/>
            <w:tcBorders>
              <w:tl2br w:val="nil"/>
              <w:tr2bl w:val="nil"/>
            </w:tcBorders>
            <w:vAlign w:val="center"/>
          </w:tcPr>
          <w:p>
            <w:pPr>
              <w:jc w:val="center"/>
              <w:textAlignment w:val="bottom"/>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25.1</w:t>
            </w:r>
          </w:p>
        </w:tc>
        <w:tc>
          <w:tcPr>
            <w:tcW w:w="739" w:type="pct"/>
            <w:tcBorders>
              <w:tl2br w:val="nil"/>
              <w:tr2bl w:val="nil"/>
            </w:tcBorders>
            <w:vAlign w:val="center"/>
          </w:tcPr>
          <w:p>
            <w:pPr>
              <w:jc w:val="center"/>
              <w:textAlignment w:val="bottom"/>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26.1</w:t>
            </w:r>
          </w:p>
        </w:tc>
        <w:tc>
          <w:tcPr>
            <w:tcW w:w="739" w:type="pct"/>
            <w:tcBorders>
              <w:tl2br w:val="nil"/>
              <w:tr2bl w:val="nil"/>
            </w:tcBorders>
            <w:vAlign w:val="center"/>
          </w:tcPr>
          <w:p>
            <w:pPr>
              <w:jc w:val="center"/>
              <w:textAlignment w:val="bottom"/>
              <w:rPr>
                <w:rFonts w:hint="default" w:ascii="Times New Roman" w:hAnsi="Times New Roman" w:eastAsiaTheme="minorEastAsia"/>
                <w:bCs/>
                <w:color w:val="000000" w:themeColor="text1"/>
                <w:szCs w:val="21"/>
                <w:lang w:val="en-US" w:eastAsia="zh-CN"/>
                <w14:textFill>
                  <w14:solidFill>
                    <w14:schemeClr w14:val="tx1"/>
                  </w14:solidFill>
                </w14:textFill>
              </w:rPr>
            </w:pPr>
            <w:r>
              <w:rPr>
                <w:rFonts w:hint="eastAsia" w:ascii="Times New Roman" w:hAnsi="Times New Roman"/>
                <w:bCs/>
                <w:color w:val="000000" w:themeColor="text1"/>
                <w:szCs w:val="21"/>
                <w:lang w:val="en-US" w:eastAsia="zh-CN"/>
                <w14:textFill>
                  <w14:solidFill>
                    <w14:schemeClr w14:val="tx1"/>
                  </w14:solidFill>
                </w14:textFill>
              </w:rPr>
              <w:t>24.9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jc w:val="center"/>
              <w:rPr>
                <w:rFonts w:ascii="Times New Roman" w:hAnsi="Times New Roman"/>
                <w:bCs/>
                <w:color w:val="auto"/>
                <w:szCs w:val="21"/>
              </w:rPr>
            </w:pPr>
          </w:p>
        </w:tc>
        <w:tc>
          <w:tcPr>
            <w:tcW w:w="979" w:type="pct"/>
            <w:tcBorders>
              <w:tl2br w:val="nil"/>
              <w:tr2bl w:val="nil"/>
            </w:tcBorders>
            <w:vAlign w:val="center"/>
          </w:tcPr>
          <w:p>
            <w:pPr>
              <w:jc w:val="center"/>
              <w:rPr>
                <w:rFonts w:ascii="Times New Roman" w:hAnsi="Times New Roman" w:cs="宋体"/>
                <w:color w:val="auto"/>
                <w:szCs w:val="21"/>
              </w:rPr>
            </w:pPr>
            <w:r>
              <w:rPr>
                <w:rFonts w:hint="eastAsia" w:ascii="Times New Roman" w:hAnsi="Times New Roman" w:cs="宋体"/>
                <w:color w:val="auto"/>
                <w:szCs w:val="21"/>
              </w:rPr>
              <w:t>硫酸盐</w:t>
            </w:r>
            <w:r>
              <w:rPr>
                <w:rFonts w:hint="eastAsia" w:ascii="Times New Roman" w:hAnsi="Times New Roman"/>
                <w:bCs/>
                <w:color w:val="auto"/>
                <w:szCs w:val="21"/>
              </w:rPr>
              <w:t>（</w:t>
            </w:r>
            <w:r>
              <w:rPr>
                <w:rFonts w:ascii="Times New Roman" w:hAnsi="Times New Roman"/>
                <w:bCs/>
                <w:color w:val="auto"/>
                <w:szCs w:val="21"/>
              </w:rPr>
              <w:t>mg/L</w:t>
            </w:r>
            <w:r>
              <w:rPr>
                <w:rFonts w:hint="eastAsia" w:ascii="Times New Roman" w:hAnsi="Times New Roman"/>
                <w:bCs/>
                <w:color w:val="auto"/>
                <w:szCs w:val="21"/>
              </w:rPr>
              <w:t>）</w:t>
            </w:r>
          </w:p>
        </w:tc>
        <w:tc>
          <w:tcPr>
            <w:tcW w:w="734"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78.4</w:t>
            </w:r>
          </w:p>
        </w:tc>
        <w:tc>
          <w:tcPr>
            <w:tcW w:w="734"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79.1</w:t>
            </w:r>
          </w:p>
        </w:tc>
        <w:tc>
          <w:tcPr>
            <w:tcW w:w="734"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78.2</w:t>
            </w:r>
          </w:p>
        </w:tc>
        <w:tc>
          <w:tcPr>
            <w:tcW w:w="739"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74.5</w:t>
            </w:r>
          </w:p>
        </w:tc>
        <w:tc>
          <w:tcPr>
            <w:tcW w:w="739" w:type="pct"/>
            <w:tcBorders>
              <w:tl2br w:val="nil"/>
              <w:tr2bl w:val="nil"/>
            </w:tcBorders>
            <w:vAlign w:val="center"/>
          </w:tcPr>
          <w:p>
            <w:pPr>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79.5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jc w:val="center"/>
              <w:rPr>
                <w:rFonts w:ascii="Times New Roman" w:hAnsi="Times New Roman"/>
                <w:bCs/>
                <w:color w:val="auto"/>
                <w:szCs w:val="21"/>
              </w:rPr>
            </w:pPr>
          </w:p>
        </w:tc>
        <w:tc>
          <w:tcPr>
            <w:tcW w:w="979" w:type="pct"/>
            <w:tcBorders>
              <w:tl2br w:val="nil"/>
              <w:tr2bl w:val="nil"/>
            </w:tcBorders>
            <w:vAlign w:val="center"/>
          </w:tcPr>
          <w:p>
            <w:pPr>
              <w:jc w:val="center"/>
              <w:rPr>
                <w:rFonts w:ascii="Times New Roman" w:hAnsi="Times New Roman" w:cs="宋体"/>
                <w:color w:val="auto"/>
                <w:szCs w:val="21"/>
              </w:rPr>
            </w:pPr>
            <w:r>
              <w:rPr>
                <w:rFonts w:hint="eastAsia" w:ascii="Times New Roman" w:hAnsi="Times New Roman" w:cs="宋体"/>
                <w:color w:val="auto"/>
                <w:szCs w:val="21"/>
              </w:rPr>
              <w:t>硝酸盐</w:t>
            </w:r>
            <w:r>
              <w:rPr>
                <w:rFonts w:hint="eastAsia" w:ascii="Times New Roman" w:hAnsi="Times New Roman"/>
                <w:bCs/>
                <w:color w:val="auto"/>
                <w:szCs w:val="21"/>
              </w:rPr>
              <w:t>（</w:t>
            </w:r>
            <w:r>
              <w:rPr>
                <w:rFonts w:ascii="Times New Roman" w:hAnsi="Times New Roman"/>
                <w:bCs/>
                <w:color w:val="auto"/>
                <w:szCs w:val="21"/>
              </w:rPr>
              <w:t>mg/L</w:t>
            </w:r>
            <w:r>
              <w:rPr>
                <w:rFonts w:hint="eastAsia" w:ascii="Times New Roman" w:hAnsi="Times New Roman"/>
                <w:bCs/>
                <w:color w:val="auto"/>
                <w:szCs w:val="21"/>
              </w:rPr>
              <w:t>）</w:t>
            </w:r>
          </w:p>
        </w:tc>
        <w:tc>
          <w:tcPr>
            <w:tcW w:w="734"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8.12</w:t>
            </w:r>
          </w:p>
        </w:tc>
        <w:tc>
          <w:tcPr>
            <w:tcW w:w="734"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7.95</w:t>
            </w:r>
          </w:p>
        </w:tc>
        <w:tc>
          <w:tcPr>
            <w:tcW w:w="734"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8.10</w:t>
            </w:r>
          </w:p>
        </w:tc>
        <w:tc>
          <w:tcPr>
            <w:tcW w:w="739"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7.12</w:t>
            </w:r>
          </w:p>
        </w:tc>
        <w:tc>
          <w:tcPr>
            <w:tcW w:w="739" w:type="pct"/>
            <w:tcBorders>
              <w:tl2br w:val="nil"/>
              <w:tr2bl w:val="nil"/>
            </w:tcBorders>
            <w:vAlign w:val="center"/>
          </w:tcPr>
          <w:p>
            <w:pPr>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8.01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jc w:val="center"/>
              <w:rPr>
                <w:rFonts w:ascii="Times New Roman" w:hAnsi="Times New Roman"/>
                <w:bCs/>
                <w:color w:val="auto"/>
                <w:szCs w:val="21"/>
              </w:rPr>
            </w:pPr>
          </w:p>
        </w:tc>
        <w:tc>
          <w:tcPr>
            <w:tcW w:w="979" w:type="pct"/>
            <w:tcBorders>
              <w:tl2br w:val="nil"/>
              <w:tr2bl w:val="nil"/>
            </w:tcBorders>
            <w:vAlign w:val="center"/>
          </w:tcPr>
          <w:p>
            <w:pPr>
              <w:jc w:val="center"/>
              <w:rPr>
                <w:rFonts w:ascii="Times New Roman" w:hAnsi="Times New Roman" w:cs="宋体"/>
                <w:color w:val="auto"/>
                <w:szCs w:val="21"/>
              </w:rPr>
            </w:pPr>
            <w:r>
              <w:rPr>
                <w:rFonts w:hint="eastAsia" w:ascii="Times New Roman" w:hAnsi="Times New Roman" w:cs="宋体"/>
                <w:color w:val="auto"/>
                <w:szCs w:val="21"/>
              </w:rPr>
              <w:t>氟化物</w:t>
            </w:r>
            <w:r>
              <w:rPr>
                <w:rFonts w:hint="eastAsia" w:ascii="Times New Roman" w:hAnsi="Times New Roman"/>
                <w:bCs/>
                <w:color w:val="auto"/>
                <w:szCs w:val="21"/>
              </w:rPr>
              <w:t>（</w:t>
            </w:r>
            <w:r>
              <w:rPr>
                <w:rFonts w:ascii="Times New Roman" w:hAnsi="Times New Roman"/>
                <w:bCs/>
                <w:color w:val="auto"/>
                <w:szCs w:val="21"/>
              </w:rPr>
              <w:t>mg/L</w:t>
            </w:r>
            <w:r>
              <w:rPr>
                <w:rFonts w:hint="eastAsia" w:ascii="Times New Roman" w:hAnsi="Times New Roman"/>
                <w:bCs/>
                <w:color w:val="auto"/>
                <w:szCs w:val="21"/>
              </w:rPr>
              <w:t>）</w:t>
            </w:r>
          </w:p>
        </w:tc>
        <w:tc>
          <w:tcPr>
            <w:tcW w:w="734" w:type="pct"/>
            <w:tcBorders>
              <w:tl2br w:val="nil"/>
              <w:tr2bl w:val="nil"/>
            </w:tcBorders>
            <w:vAlign w:val="center"/>
          </w:tcPr>
          <w:p>
            <w:pPr>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0.81</w:t>
            </w:r>
          </w:p>
        </w:tc>
        <w:tc>
          <w:tcPr>
            <w:tcW w:w="734" w:type="pct"/>
            <w:tcBorders>
              <w:tl2br w:val="nil"/>
              <w:tr2bl w:val="nil"/>
            </w:tcBorders>
            <w:vAlign w:val="center"/>
          </w:tcPr>
          <w:p>
            <w:pPr>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0.84</w:t>
            </w:r>
          </w:p>
        </w:tc>
        <w:tc>
          <w:tcPr>
            <w:tcW w:w="734" w:type="pct"/>
            <w:tcBorders>
              <w:tl2br w:val="nil"/>
              <w:tr2bl w:val="nil"/>
            </w:tcBorders>
            <w:vAlign w:val="center"/>
          </w:tcPr>
          <w:p>
            <w:pPr>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0.82</w:t>
            </w:r>
          </w:p>
        </w:tc>
        <w:tc>
          <w:tcPr>
            <w:tcW w:w="739" w:type="pct"/>
            <w:tcBorders>
              <w:tl2br w:val="nil"/>
              <w:tr2bl w:val="nil"/>
            </w:tcBorders>
            <w:vAlign w:val="center"/>
          </w:tcPr>
          <w:p>
            <w:pPr>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0.81</w:t>
            </w:r>
          </w:p>
        </w:tc>
        <w:tc>
          <w:tcPr>
            <w:tcW w:w="739" w:type="pct"/>
            <w:tcBorders>
              <w:tl2br w:val="nil"/>
              <w:tr2bl w:val="nil"/>
            </w:tcBorders>
            <w:vAlign w:val="center"/>
          </w:tcPr>
          <w:p>
            <w:pPr>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0.85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jc w:val="center"/>
              <w:rPr>
                <w:rFonts w:ascii="Times New Roman" w:hAnsi="Times New Roman"/>
                <w:bCs/>
                <w:color w:val="auto"/>
                <w:szCs w:val="21"/>
              </w:rPr>
            </w:pPr>
          </w:p>
        </w:tc>
        <w:tc>
          <w:tcPr>
            <w:tcW w:w="979" w:type="pct"/>
            <w:tcBorders>
              <w:tl2br w:val="nil"/>
              <w:tr2bl w:val="nil"/>
            </w:tcBorders>
            <w:vAlign w:val="center"/>
          </w:tcPr>
          <w:p>
            <w:pPr>
              <w:jc w:val="center"/>
              <w:rPr>
                <w:rFonts w:ascii="Times New Roman" w:hAnsi="Times New Roman" w:cs="宋体"/>
                <w:color w:val="auto"/>
                <w:szCs w:val="21"/>
              </w:rPr>
            </w:pPr>
            <w:r>
              <w:rPr>
                <w:rFonts w:hint="eastAsia" w:ascii="Times New Roman" w:hAnsi="Times New Roman" w:cs="宋体"/>
                <w:color w:val="auto"/>
                <w:szCs w:val="21"/>
              </w:rPr>
              <w:t>氨氮</w:t>
            </w:r>
            <w:r>
              <w:rPr>
                <w:rFonts w:hint="eastAsia" w:ascii="Times New Roman" w:hAnsi="Times New Roman"/>
                <w:bCs/>
                <w:color w:val="auto"/>
                <w:szCs w:val="21"/>
              </w:rPr>
              <w:t>（</w:t>
            </w:r>
            <w:r>
              <w:rPr>
                <w:rFonts w:ascii="Times New Roman" w:hAnsi="Times New Roman"/>
                <w:bCs/>
                <w:color w:val="auto"/>
                <w:szCs w:val="21"/>
              </w:rPr>
              <w:t>mg/L</w:t>
            </w:r>
            <w:r>
              <w:rPr>
                <w:rFonts w:hint="eastAsia" w:ascii="Times New Roman" w:hAnsi="Times New Roman"/>
                <w:bCs/>
                <w:color w:val="auto"/>
                <w:szCs w:val="21"/>
              </w:rPr>
              <w:t>）</w:t>
            </w:r>
          </w:p>
        </w:tc>
        <w:tc>
          <w:tcPr>
            <w:tcW w:w="734"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0.121</w:t>
            </w:r>
          </w:p>
        </w:tc>
        <w:tc>
          <w:tcPr>
            <w:tcW w:w="734"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0.118</w:t>
            </w:r>
          </w:p>
        </w:tc>
        <w:tc>
          <w:tcPr>
            <w:tcW w:w="734"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0.114</w:t>
            </w:r>
          </w:p>
        </w:tc>
        <w:tc>
          <w:tcPr>
            <w:tcW w:w="739"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0.120</w:t>
            </w:r>
          </w:p>
        </w:tc>
        <w:tc>
          <w:tcPr>
            <w:tcW w:w="739" w:type="pct"/>
            <w:tcBorders>
              <w:tl2br w:val="nil"/>
              <w:tr2bl w:val="nil"/>
            </w:tcBorders>
            <w:vAlign w:val="center"/>
          </w:tcPr>
          <w:p>
            <w:pPr>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0.108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jc w:val="center"/>
              <w:rPr>
                <w:rFonts w:ascii="Times New Roman" w:hAnsi="Times New Roman"/>
                <w:bCs/>
                <w:color w:val="auto"/>
                <w:szCs w:val="21"/>
              </w:rPr>
            </w:pPr>
          </w:p>
        </w:tc>
        <w:tc>
          <w:tcPr>
            <w:tcW w:w="979" w:type="pct"/>
            <w:tcBorders>
              <w:tl2br w:val="nil"/>
              <w:tr2bl w:val="nil"/>
            </w:tcBorders>
            <w:vAlign w:val="center"/>
          </w:tcPr>
          <w:p>
            <w:pPr>
              <w:jc w:val="center"/>
              <w:rPr>
                <w:rFonts w:ascii="Times New Roman" w:hAnsi="Times New Roman" w:cs="宋体"/>
                <w:color w:val="auto"/>
                <w:szCs w:val="21"/>
              </w:rPr>
            </w:pPr>
            <w:r>
              <w:rPr>
                <w:rFonts w:hint="eastAsia" w:ascii="Times New Roman" w:hAnsi="Times New Roman" w:cs="宋体"/>
                <w:color w:val="auto"/>
                <w:szCs w:val="21"/>
              </w:rPr>
              <w:t>砷</w:t>
            </w:r>
            <w:r>
              <w:rPr>
                <w:rFonts w:hint="eastAsia" w:ascii="Times New Roman" w:hAnsi="Times New Roman"/>
                <w:bCs/>
                <w:color w:val="auto"/>
                <w:szCs w:val="21"/>
              </w:rPr>
              <w:t>（</w:t>
            </w:r>
            <w:r>
              <w:rPr>
                <w:rFonts w:hint="eastAsia" w:ascii="Times New Roman" w:hAnsi="Times New Roman" w:cs="宋体"/>
                <w:color w:val="auto"/>
                <w:szCs w:val="21"/>
              </w:rPr>
              <w:t>μ</w:t>
            </w:r>
            <w:r>
              <w:rPr>
                <w:rFonts w:ascii="Times New Roman" w:hAnsi="Times New Roman" w:cs="宋体"/>
                <w:color w:val="auto"/>
                <w:szCs w:val="21"/>
              </w:rPr>
              <w:t>g/L</w:t>
            </w:r>
            <w:r>
              <w:rPr>
                <w:rFonts w:hint="eastAsia" w:ascii="Times New Roman" w:hAnsi="Times New Roman"/>
                <w:bCs/>
                <w:color w:val="auto"/>
                <w:szCs w:val="21"/>
              </w:rPr>
              <w:t>）</w:t>
            </w:r>
          </w:p>
        </w:tc>
        <w:tc>
          <w:tcPr>
            <w:tcW w:w="734"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cs="宋体"/>
                <w:bCs/>
                <w:color w:val="auto"/>
                <w:szCs w:val="21"/>
              </w:rPr>
              <w:t>0.3L</w:t>
            </w:r>
          </w:p>
        </w:tc>
        <w:tc>
          <w:tcPr>
            <w:tcW w:w="734"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cs="宋体"/>
                <w:bCs/>
                <w:color w:val="auto"/>
                <w:szCs w:val="21"/>
              </w:rPr>
              <w:t>0.3L</w:t>
            </w:r>
          </w:p>
        </w:tc>
        <w:tc>
          <w:tcPr>
            <w:tcW w:w="734"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cs="宋体"/>
                <w:bCs/>
                <w:color w:val="auto"/>
                <w:szCs w:val="21"/>
              </w:rPr>
              <w:t>0.3L</w:t>
            </w:r>
          </w:p>
        </w:tc>
        <w:tc>
          <w:tcPr>
            <w:tcW w:w="739"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cs="宋体"/>
                <w:bCs/>
                <w:color w:val="auto"/>
                <w:szCs w:val="21"/>
              </w:rPr>
              <w:t>0.3L</w:t>
            </w:r>
          </w:p>
        </w:tc>
        <w:tc>
          <w:tcPr>
            <w:tcW w:w="739" w:type="pct"/>
            <w:tcBorders>
              <w:tl2br w:val="nil"/>
              <w:tr2bl w:val="nil"/>
            </w:tcBorders>
            <w:vAlign w:val="center"/>
          </w:tcPr>
          <w:p>
            <w:pPr>
              <w:jc w:val="center"/>
              <w:textAlignment w:val="bottom"/>
              <w:rPr>
                <w:rFonts w:hint="default" w:ascii="Times New Roman" w:hAnsi="Times New Roman" w:cs="宋体" w:eastAsiaTheme="minorEastAsia"/>
                <w:bCs/>
                <w:color w:val="auto"/>
                <w:szCs w:val="21"/>
                <w:lang w:val="en-US" w:eastAsia="zh-CN"/>
              </w:rPr>
            </w:pPr>
            <w:r>
              <w:rPr>
                <w:rFonts w:hint="eastAsia" w:ascii="Times New Roman" w:hAnsi="Times New Roman" w:cs="宋体"/>
                <w:bCs/>
                <w:color w:val="auto"/>
                <w:szCs w:val="21"/>
                <w:lang w:val="en-US" w:eastAsia="zh-CN"/>
              </w:rPr>
              <w:t>0.3L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jc w:val="center"/>
              <w:rPr>
                <w:rFonts w:ascii="Times New Roman" w:hAnsi="Times New Roman"/>
                <w:bCs/>
                <w:color w:val="auto"/>
                <w:szCs w:val="21"/>
              </w:rPr>
            </w:pPr>
          </w:p>
        </w:tc>
        <w:tc>
          <w:tcPr>
            <w:tcW w:w="979" w:type="pct"/>
            <w:tcBorders>
              <w:tl2br w:val="nil"/>
              <w:tr2bl w:val="nil"/>
            </w:tcBorders>
            <w:vAlign w:val="center"/>
          </w:tcPr>
          <w:p>
            <w:pPr>
              <w:jc w:val="center"/>
              <w:rPr>
                <w:rFonts w:ascii="Times New Roman" w:hAnsi="Times New Roman" w:cs="宋体"/>
                <w:color w:val="auto"/>
                <w:szCs w:val="21"/>
              </w:rPr>
            </w:pPr>
            <w:r>
              <w:rPr>
                <w:rFonts w:hint="eastAsia" w:ascii="Times New Roman" w:hAnsi="Times New Roman" w:cs="宋体"/>
                <w:color w:val="auto"/>
                <w:szCs w:val="21"/>
              </w:rPr>
              <w:t>镉</w:t>
            </w:r>
            <w:r>
              <w:rPr>
                <w:rFonts w:hint="eastAsia" w:ascii="Times New Roman" w:hAnsi="Times New Roman"/>
                <w:bCs/>
                <w:color w:val="auto"/>
                <w:szCs w:val="21"/>
              </w:rPr>
              <w:t>（</w:t>
            </w:r>
            <w:r>
              <w:rPr>
                <w:rFonts w:ascii="Times New Roman" w:hAnsi="Times New Roman"/>
                <w:bCs/>
                <w:color w:val="auto"/>
                <w:szCs w:val="21"/>
              </w:rPr>
              <w:t>mg/L</w:t>
            </w:r>
            <w:r>
              <w:rPr>
                <w:rFonts w:hint="eastAsia" w:ascii="Times New Roman" w:hAnsi="Times New Roman"/>
                <w:bCs/>
                <w:color w:val="auto"/>
                <w:szCs w:val="21"/>
              </w:rPr>
              <w:t>）</w:t>
            </w:r>
          </w:p>
        </w:tc>
        <w:tc>
          <w:tcPr>
            <w:tcW w:w="734"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cs="宋体"/>
                <w:bCs/>
                <w:color w:val="auto"/>
                <w:szCs w:val="21"/>
              </w:rPr>
              <w:t>0.001L</w:t>
            </w:r>
          </w:p>
        </w:tc>
        <w:tc>
          <w:tcPr>
            <w:tcW w:w="734"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cs="宋体"/>
                <w:bCs/>
                <w:color w:val="auto"/>
                <w:szCs w:val="21"/>
              </w:rPr>
              <w:t>0.001L</w:t>
            </w:r>
          </w:p>
        </w:tc>
        <w:tc>
          <w:tcPr>
            <w:tcW w:w="734"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cs="宋体"/>
                <w:bCs/>
                <w:color w:val="auto"/>
                <w:szCs w:val="21"/>
              </w:rPr>
              <w:t>0.001L</w:t>
            </w:r>
          </w:p>
        </w:tc>
        <w:tc>
          <w:tcPr>
            <w:tcW w:w="739"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cs="宋体"/>
                <w:bCs/>
                <w:color w:val="auto"/>
                <w:szCs w:val="21"/>
              </w:rPr>
              <w:t>0.001L</w:t>
            </w:r>
          </w:p>
        </w:tc>
        <w:tc>
          <w:tcPr>
            <w:tcW w:w="739" w:type="pct"/>
            <w:tcBorders>
              <w:tl2br w:val="nil"/>
              <w:tr2bl w:val="nil"/>
            </w:tcBorders>
            <w:vAlign w:val="center"/>
          </w:tcPr>
          <w:p>
            <w:pPr>
              <w:jc w:val="center"/>
              <w:textAlignment w:val="bottom"/>
              <w:rPr>
                <w:rFonts w:hint="default" w:ascii="Times New Roman" w:hAnsi="Times New Roman" w:cs="宋体" w:eastAsiaTheme="minorEastAsia"/>
                <w:bCs/>
                <w:color w:val="auto"/>
                <w:szCs w:val="21"/>
                <w:lang w:val="en-US" w:eastAsia="zh-CN"/>
              </w:rPr>
            </w:pPr>
            <w:r>
              <w:rPr>
                <w:rFonts w:hint="eastAsia" w:ascii="Times New Roman" w:hAnsi="Times New Roman" w:cs="宋体"/>
                <w:bCs/>
                <w:color w:val="auto"/>
                <w:szCs w:val="21"/>
                <w:lang w:val="en-US" w:eastAsia="zh-CN"/>
              </w:rPr>
              <w:t>0.001L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jc w:val="center"/>
              <w:rPr>
                <w:rFonts w:ascii="Times New Roman" w:hAnsi="Times New Roman"/>
                <w:bCs/>
                <w:color w:val="auto"/>
                <w:szCs w:val="21"/>
              </w:rPr>
            </w:pPr>
          </w:p>
        </w:tc>
        <w:tc>
          <w:tcPr>
            <w:tcW w:w="979" w:type="pct"/>
            <w:tcBorders>
              <w:tl2br w:val="nil"/>
              <w:tr2bl w:val="nil"/>
            </w:tcBorders>
            <w:vAlign w:val="center"/>
          </w:tcPr>
          <w:p>
            <w:pPr>
              <w:jc w:val="center"/>
              <w:rPr>
                <w:rFonts w:ascii="Times New Roman" w:hAnsi="Times New Roman" w:cs="宋体"/>
                <w:color w:val="auto"/>
                <w:szCs w:val="21"/>
              </w:rPr>
            </w:pPr>
            <w:r>
              <w:rPr>
                <w:rFonts w:hint="eastAsia" w:ascii="Times New Roman" w:hAnsi="Times New Roman" w:cs="宋体"/>
                <w:color w:val="auto"/>
                <w:szCs w:val="21"/>
              </w:rPr>
              <w:t>铜</w:t>
            </w:r>
            <w:r>
              <w:rPr>
                <w:rFonts w:hint="eastAsia" w:ascii="Times New Roman" w:hAnsi="Times New Roman"/>
                <w:bCs/>
                <w:color w:val="auto"/>
                <w:szCs w:val="21"/>
              </w:rPr>
              <w:t>（</w:t>
            </w:r>
            <w:r>
              <w:rPr>
                <w:rFonts w:ascii="Times New Roman" w:hAnsi="Times New Roman"/>
                <w:bCs/>
                <w:color w:val="auto"/>
                <w:szCs w:val="21"/>
              </w:rPr>
              <w:t>mg/L</w:t>
            </w:r>
            <w:r>
              <w:rPr>
                <w:rFonts w:hint="eastAsia" w:ascii="Times New Roman" w:hAnsi="Times New Roman"/>
                <w:bCs/>
                <w:color w:val="auto"/>
                <w:szCs w:val="21"/>
              </w:rPr>
              <w:t>）</w:t>
            </w:r>
          </w:p>
        </w:tc>
        <w:tc>
          <w:tcPr>
            <w:tcW w:w="734"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0.003</w:t>
            </w:r>
          </w:p>
        </w:tc>
        <w:tc>
          <w:tcPr>
            <w:tcW w:w="734"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0.004</w:t>
            </w:r>
          </w:p>
        </w:tc>
        <w:tc>
          <w:tcPr>
            <w:tcW w:w="734"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0.005</w:t>
            </w:r>
          </w:p>
        </w:tc>
        <w:tc>
          <w:tcPr>
            <w:tcW w:w="739"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0.004</w:t>
            </w:r>
          </w:p>
        </w:tc>
        <w:tc>
          <w:tcPr>
            <w:tcW w:w="739" w:type="pct"/>
            <w:tcBorders>
              <w:tl2br w:val="nil"/>
              <w:tr2bl w:val="nil"/>
            </w:tcBorders>
            <w:vAlign w:val="center"/>
          </w:tcPr>
          <w:p>
            <w:pPr>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0.004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jc w:val="center"/>
              <w:rPr>
                <w:rFonts w:ascii="Times New Roman" w:hAnsi="Times New Roman"/>
                <w:bCs/>
                <w:color w:val="auto"/>
                <w:szCs w:val="21"/>
              </w:rPr>
            </w:pPr>
          </w:p>
        </w:tc>
        <w:tc>
          <w:tcPr>
            <w:tcW w:w="979" w:type="pct"/>
            <w:tcBorders>
              <w:tl2br w:val="nil"/>
              <w:tr2bl w:val="nil"/>
            </w:tcBorders>
            <w:vAlign w:val="center"/>
          </w:tcPr>
          <w:p>
            <w:pPr>
              <w:jc w:val="center"/>
              <w:rPr>
                <w:rFonts w:ascii="Times New Roman" w:hAnsi="Times New Roman" w:cs="宋体"/>
                <w:color w:val="auto"/>
                <w:szCs w:val="21"/>
              </w:rPr>
            </w:pPr>
            <w:r>
              <w:rPr>
                <w:rFonts w:hint="eastAsia" w:ascii="Times New Roman" w:hAnsi="Times New Roman" w:cs="宋体"/>
                <w:color w:val="auto"/>
                <w:szCs w:val="21"/>
              </w:rPr>
              <w:t>锌</w:t>
            </w:r>
            <w:r>
              <w:rPr>
                <w:rFonts w:hint="eastAsia" w:ascii="Times New Roman" w:hAnsi="Times New Roman"/>
                <w:bCs/>
                <w:color w:val="auto"/>
                <w:szCs w:val="21"/>
              </w:rPr>
              <w:t>（</w:t>
            </w:r>
            <w:r>
              <w:rPr>
                <w:rFonts w:ascii="Times New Roman" w:hAnsi="Times New Roman"/>
                <w:bCs/>
                <w:color w:val="auto"/>
                <w:szCs w:val="21"/>
              </w:rPr>
              <w:t>mg/L</w:t>
            </w:r>
            <w:r>
              <w:rPr>
                <w:rFonts w:hint="eastAsia" w:ascii="Times New Roman" w:hAnsi="Times New Roman"/>
                <w:bCs/>
                <w:color w:val="auto"/>
                <w:szCs w:val="21"/>
              </w:rPr>
              <w:t>）</w:t>
            </w:r>
          </w:p>
        </w:tc>
        <w:tc>
          <w:tcPr>
            <w:tcW w:w="734"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0.11</w:t>
            </w:r>
          </w:p>
        </w:tc>
        <w:tc>
          <w:tcPr>
            <w:tcW w:w="734"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0.12</w:t>
            </w:r>
          </w:p>
        </w:tc>
        <w:tc>
          <w:tcPr>
            <w:tcW w:w="734"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0.11</w:t>
            </w:r>
          </w:p>
        </w:tc>
        <w:tc>
          <w:tcPr>
            <w:tcW w:w="739"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0.10</w:t>
            </w:r>
          </w:p>
        </w:tc>
        <w:tc>
          <w:tcPr>
            <w:tcW w:w="739" w:type="pct"/>
            <w:tcBorders>
              <w:tl2br w:val="nil"/>
              <w:tr2bl w:val="nil"/>
            </w:tcBorders>
            <w:vAlign w:val="center"/>
          </w:tcPr>
          <w:p>
            <w:pPr>
              <w:jc w:val="center"/>
              <w:textAlignment w:val="bottom"/>
              <w:rPr>
                <w:rFonts w:hint="default" w:ascii="Times New Roman" w:hAnsi="Times New Roman" w:eastAsiaTheme="minorEastAsia"/>
                <w:bCs/>
                <w:color w:val="auto"/>
                <w:szCs w:val="21"/>
                <w:lang w:val="en-US" w:eastAsia="zh-CN"/>
              </w:rPr>
            </w:pPr>
            <w:r>
              <w:rPr>
                <w:rFonts w:hint="eastAsia" w:ascii="Times New Roman" w:hAnsi="Times New Roman"/>
                <w:bCs/>
                <w:color w:val="auto"/>
                <w:szCs w:val="21"/>
                <w:lang w:val="en-US" w:eastAsia="zh-CN"/>
              </w:rPr>
              <w:t>0.12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jc w:val="center"/>
              <w:rPr>
                <w:rFonts w:ascii="Times New Roman" w:hAnsi="Times New Roman"/>
                <w:bCs/>
                <w:color w:val="auto"/>
                <w:szCs w:val="21"/>
              </w:rPr>
            </w:pPr>
          </w:p>
        </w:tc>
        <w:tc>
          <w:tcPr>
            <w:tcW w:w="979" w:type="pct"/>
            <w:tcBorders>
              <w:tl2br w:val="nil"/>
              <w:tr2bl w:val="nil"/>
            </w:tcBorders>
            <w:vAlign w:val="center"/>
          </w:tcPr>
          <w:p>
            <w:pPr>
              <w:jc w:val="center"/>
              <w:rPr>
                <w:rFonts w:ascii="Times New Roman" w:hAnsi="Times New Roman" w:cs="宋体"/>
                <w:color w:val="auto"/>
                <w:szCs w:val="21"/>
              </w:rPr>
            </w:pPr>
            <w:r>
              <w:rPr>
                <w:rFonts w:hint="eastAsia" w:ascii="Times New Roman" w:hAnsi="Times New Roman" w:cs="宋体"/>
                <w:color w:val="auto"/>
                <w:szCs w:val="21"/>
              </w:rPr>
              <w:t>铅</w:t>
            </w:r>
            <w:r>
              <w:rPr>
                <w:rFonts w:hint="eastAsia" w:ascii="Times New Roman" w:hAnsi="Times New Roman"/>
                <w:bCs/>
                <w:color w:val="auto"/>
                <w:szCs w:val="21"/>
              </w:rPr>
              <w:t>（</w:t>
            </w:r>
            <w:r>
              <w:rPr>
                <w:rFonts w:ascii="Times New Roman" w:hAnsi="Times New Roman"/>
                <w:bCs/>
                <w:color w:val="auto"/>
                <w:szCs w:val="21"/>
              </w:rPr>
              <w:t>mg/L</w:t>
            </w:r>
            <w:r>
              <w:rPr>
                <w:rFonts w:hint="eastAsia" w:ascii="Times New Roman" w:hAnsi="Times New Roman"/>
                <w:bCs/>
                <w:color w:val="auto"/>
                <w:szCs w:val="21"/>
              </w:rPr>
              <w:t>）</w:t>
            </w:r>
          </w:p>
        </w:tc>
        <w:tc>
          <w:tcPr>
            <w:tcW w:w="734"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cs="宋体"/>
                <w:bCs/>
                <w:color w:val="auto"/>
                <w:szCs w:val="21"/>
              </w:rPr>
              <w:t>0.01L</w:t>
            </w:r>
          </w:p>
        </w:tc>
        <w:tc>
          <w:tcPr>
            <w:tcW w:w="734"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cs="宋体"/>
                <w:bCs/>
                <w:color w:val="auto"/>
                <w:szCs w:val="21"/>
              </w:rPr>
              <w:t>0.01L</w:t>
            </w:r>
          </w:p>
        </w:tc>
        <w:tc>
          <w:tcPr>
            <w:tcW w:w="734"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cs="宋体"/>
                <w:bCs/>
                <w:color w:val="auto"/>
                <w:szCs w:val="21"/>
              </w:rPr>
              <w:t>0.01L</w:t>
            </w:r>
          </w:p>
        </w:tc>
        <w:tc>
          <w:tcPr>
            <w:tcW w:w="739"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cs="宋体"/>
                <w:bCs/>
                <w:color w:val="auto"/>
                <w:szCs w:val="21"/>
              </w:rPr>
              <w:t>0.01L</w:t>
            </w:r>
          </w:p>
        </w:tc>
        <w:tc>
          <w:tcPr>
            <w:tcW w:w="739" w:type="pct"/>
            <w:tcBorders>
              <w:tl2br w:val="nil"/>
              <w:tr2bl w:val="nil"/>
            </w:tcBorders>
            <w:vAlign w:val="center"/>
          </w:tcPr>
          <w:p>
            <w:pPr>
              <w:jc w:val="center"/>
              <w:textAlignment w:val="bottom"/>
              <w:rPr>
                <w:rFonts w:hint="default" w:ascii="Times New Roman" w:hAnsi="Times New Roman" w:cs="宋体" w:eastAsiaTheme="minorEastAsia"/>
                <w:bCs/>
                <w:color w:val="auto"/>
                <w:szCs w:val="21"/>
                <w:lang w:val="en-US" w:eastAsia="zh-CN"/>
              </w:rPr>
            </w:pPr>
            <w:r>
              <w:rPr>
                <w:rFonts w:hint="eastAsia" w:ascii="Times New Roman" w:hAnsi="Times New Roman" w:cs="宋体"/>
                <w:bCs/>
                <w:color w:val="auto"/>
                <w:szCs w:val="21"/>
                <w:lang w:val="en-US" w:eastAsia="zh-CN"/>
              </w:rPr>
              <w:t>0.01L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jc w:val="center"/>
              <w:rPr>
                <w:rFonts w:ascii="Times New Roman" w:hAnsi="Times New Roman"/>
                <w:bCs/>
                <w:color w:val="auto"/>
                <w:szCs w:val="21"/>
              </w:rPr>
            </w:pPr>
          </w:p>
        </w:tc>
        <w:tc>
          <w:tcPr>
            <w:tcW w:w="979" w:type="pct"/>
            <w:tcBorders>
              <w:tl2br w:val="nil"/>
              <w:tr2bl w:val="nil"/>
            </w:tcBorders>
            <w:vAlign w:val="center"/>
          </w:tcPr>
          <w:p>
            <w:pPr>
              <w:jc w:val="center"/>
              <w:rPr>
                <w:rFonts w:ascii="Times New Roman" w:hAnsi="Times New Roman" w:cs="宋体"/>
                <w:color w:val="auto"/>
                <w:szCs w:val="21"/>
              </w:rPr>
            </w:pPr>
            <w:r>
              <w:rPr>
                <w:rFonts w:hint="eastAsia" w:ascii="Times New Roman" w:hAnsi="Times New Roman" w:cs="宋体"/>
                <w:color w:val="auto"/>
                <w:szCs w:val="21"/>
              </w:rPr>
              <w:t>铬</w:t>
            </w:r>
            <w:r>
              <w:rPr>
                <w:rFonts w:hint="eastAsia" w:ascii="Times New Roman" w:hAnsi="Times New Roman"/>
                <w:bCs/>
                <w:color w:val="auto"/>
                <w:szCs w:val="21"/>
              </w:rPr>
              <w:t>（</w:t>
            </w:r>
            <w:r>
              <w:rPr>
                <w:rFonts w:ascii="Times New Roman" w:hAnsi="Times New Roman"/>
                <w:bCs/>
                <w:color w:val="auto"/>
                <w:szCs w:val="21"/>
              </w:rPr>
              <w:t>mg/L</w:t>
            </w:r>
            <w:r>
              <w:rPr>
                <w:rFonts w:hint="eastAsia" w:ascii="Times New Roman" w:hAnsi="Times New Roman"/>
                <w:bCs/>
                <w:color w:val="auto"/>
                <w:szCs w:val="21"/>
              </w:rPr>
              <w:t>）</w:t>
            </w:r>
          </w:p>
        </w:tc>
        <w:tc>
          <w:tcPr>
            <w:tcW w:w="734"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0.03L</w:t>
            </w:r>
          </w:p>
        </w:tc>
        <w:tc>
          <w:tcPr>
            <w:tcW w:w="734"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0.03L</w:t>
            </w:r>
          </w:p>
        </w:tc>
        <w:tc>
          <w:tcPr>
            <w:tcW w:w="734"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0.03L</w:t>
            </w:r>
          </w:p>
        </w:tc>
        <w:tc>
          <w:tcPr>
            <w:tcW w:w="739"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bCs/>
                <w:color w:val="auto"/>
                <w:szCs w:val="21"/>
              </w:rPr>
              <w:t>0.03L</w:t>
            </w:r>
          </w:p>
        </w:tc>
        <w:tc>
          <w:tcPr>
            <w:tcW w:w="739" w:type="pct"/>
            <w:tcBorders>
              <w:tl2br w:val="nil"/>
              <w:tr2bl w:val="nil"/>
            </w:tcBorders>
            <w:vAlign w:val="center"/>
          </w:tcPr>
          <w:p>
            <w:pPr>
              <w:jc w:val="center"/>
              <w:textAlignment w:val="bottom"/>
              <w:rPr>
                <w:rFonts w:ascii="Times New Roman" w:hAnsi="Times New Roman" w:eastAsiaTheme="minorEastAsia" w:cstheme="minorBidi"/>
                <w:bCs/>
                <w:color w:val="auto"/>
                <w:kern w:val="2"/>
                <w:sz w:val="21"/>
                <w:szCs w:val="21"/>
                <w:lang w:val="en-US" w:eastAsia="zh-CN" w:bidi="ar-SA"/>
              </w:rPr>
            </w:pPr>
            <w:r>
              <w:rPr>
                <w:rFonts w:ascii="Times New Roman" w:hAnsi="Times New Roman"/>
                <w:bCs/>
                <w:color w:val="auto"/>
                <w:szCs w:val="21"/>
              </w:rPr>
              <w:t>0.03L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vMerge w:val="continue"/>
            <w:tcBorders>
              <w:tl2br w:val="nil"/>
              <w:tr2bl w:val="nil"/>
            </w:tcBorders>
            <w:vAlign w:val="center"/>
          </w:tcPr>
          <w:p>
            <w:pPr>
              <w:jc w:val="center"/>
              <w:rPr>
                <w:rFonts w:ascii="Times New Roman" w:hAnsi="Times New Roman"/>
                <w:bCs/>
                <w:color w:val="auto"/>
                <w:szCs w:val="21"/>
              </w:rPr>
            </w:pPr>
          </w:p>
        </w:tc>
        <w:tc>
          <w:tcPr>
            <w:tcW w:w="979" w:type="pct"/>
            <w:tcBorders>
              <w:tl2br w:val="nil"/>
              <w:tr2bl w:val="nil"/>
            </w:tcBorders>
            <w:vAlign w:val="center"/>
          </w:tcPr>
          <w:p>
            <w:pPr>
              <w:jc w:val="center"/>
              <w:rPr>
                <w:rFonts w:ascii="Times New Roman" w:hAnsi="Times New Roman" w:cs="宋体"/>
                <w:color w:val="auto"/>
                <w:szCs w:val="21"/>
              </w:rPr>
            </w:pPr>
            <w:r>
              <w:rPr>
                <w:rFonts w:hint="eastAsia" w:ascii="Times New Roman" w:hAnsi="Times New Roman" w:cs="宋体"/>
                <w:color w:val="auto"/>
                <w:szCs w:val="21"/>
              </w:rPr>
              <w:t>铁</w:t>
            </w:r>
            <w:r>
              <w:rPr>
                <w:rFonts w:hint="eastAsia" w:ascii="Times New Roman" w:hAnsi="Times New Roman"/>
                <w:bCs/>
                <w:color w:val="auto"/>
                <w:szCs w:val="21"/>
              </w:rPr>
              <w:t>（</w:t>
            </w:r>
            <w:r>
              <w:rPr>
                <w:rFonts w:ascii="Times New Roman" w:hAnsi="Times New Roman"/>
                <w:bCs/>
                <w:color w:val="auto"/>
                <w:szCs w:val="21"/>
              </w:rPr>
              <w:t>mg/L</w:t>
            </w:r>
            <w:r>
              <w:rPr>
                <w:rFonts w:hint="eastAsia" w:ascii="Times New Roman" w:hAnsi="Times New Roman"/>
                <w:bCs/>
                <w:color w:val="auto"/>
                <w:szCs w:val="21"/>
              </w:rPr>
              <w:t>）</w:t>
            </w:r>
          </w:p>
        </w:tc>
        <w:tc>
          <w:tcPr>
            <w:tcW w:w="734"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cs="宋体"/>
                <w:bCs/>
                <w:color w:val="auto"/>
                <w:szCs w:val="21"/>
              </w:rPr>
              <w:t>0.01L</w:t>
            </w:r>
          </w:p>
        </w:tc>
        <w:tc>
          <w:tcPr>
            <w:tcW w:w="734"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cs="宋体"/>
                <w:bCs/>
                <w:color w:val="auto"/>
                <w:szCs w:val="21"/>
              </w:rPr>
              <w:t>0.01L</w:t>
            </w:r>
          </w:p>
        </w:tc>
        <w:tc>
          <w:tcPr>
            <w:tcW w:w="734"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cs="宋体"/>
                <w:bCs/>
                <w:color w:val="auto"/>
                <w:szCs w:val="21"/>
              </w:rPr>
              <w:t>0.01L</w:t>
            </w:r>
          </w:p>
        </w:tc>
        <w:tc>
          <w:tcPr>
            <w:tcW w:w="739" w:type="pct"/>
            <w:tcBorders>
              <w:tl2br w:val="nil"/>
              <w:tr2bl w:val="nil"/>
            </w:tcBorders>
            <w:vAlign w:val="center"/>
          </w:tcPr>
          <w:p>
            <w:pPr>
              <w:jc w:val="center"/>
              <w:textAlignment w:val="bottom"/>
              <w:rPr>
                <w:rFonts w:ascii="Times New Roman" w:hAnsi="Times New Roman"/>
                <w:bCs/>
                <w:color w:val="auto"/>
                <w:szCs w:val="21"/>
              </w:rPr>
            </w:pPr>
            <w:r>
              <w:rPr>
                <w:rFonts w:ascii="Times New Roman" w:hAnsi="Times New Roman" w:cs="宋体"/>
                <w:bCs/>
                <w:color w:val="auto"/>
                <w:szCs w:val="21"/>
              </w:rPr>
              <w:t>0.01L</w:t>
            </w:r>
          </w:p>
        </w:tc>
        <w:tc>
          <w:tcPr>
            <w:tcW w:w="739" w:type="pct"/>
            <w:tcBorders>
              <w:tl2br w:val="nil"/>
              <w:tr2bl w:val="nil"/>
            </w:tcBorders>
            <w:vAlign w:val="center"/>
          </w:tcPr>
          <w:p>
            <w:pPr>
              <w:jc w:val="center"/>
              <w:textAlignment w:val="bottom"/>
              <w:rPr>
                <w:rFonts w:ascii="Times New Roman" w:hAnsi="Times New Roman" w:eastAsiaTheme="minorEastAsia" w:cstheme="minorBidi"/>
                <w:bCs/>
                <w:color w:val="auto"/>
                <w:kern w:val="2"/>
                <w:sz w:val="21"/>
                <w:szCs w:val="21"/>
                <w:lang w:val="en-US" w:eastAsia="zh-CN" w:bidi="ar-SA"/>
              </w:rPr>
            </w:pPr>
            <w:r>
              <w:rPr>
                <w:rFonts w:ascii="Times New Roman" w:hAnsi="Times New Roman" w:cs="宋体"/>
                <w:bCs/>
                <w:color w:val="auto"/>
                <w:szCs w:val="21"/>
              </w:rPr>
              <w:t>0.01L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8" w:type="pct"/>
            <w:tcBorders>
              <w:tl2br w:val="nil"/>
              <w:tr2bl w:val="nil"/>
            </w:tcBorders>
            <w:vAlign w:val="center"/>
          </w:tcPr>
          <w:p>
            <w:pPr>
              <w:jc w:val="center"/>
              <w:rPr>
                <w:rFonts w:ascii="Times New Roman" w:hAnsi="Times New Roman"/>
                <w:bCs/>
                <w:color w:val="auto"/>
                <w:szCs w:val="21"/>
              </w:rPr>
            </w:pPr>
            <w:r>
              <w:rPr>
                <w:rFonts w:hint="eastAsia" w:ascii="Times New Roman" w:hAnsi="Times New Roman"/>
                <w:bCs/>
                <w:color w:val="auto"/>
                <w:szCs w:val="21"/>
              </w:rPr>
              <w:t>备注</w:t>
            </w:r>
          </w:p>
        </w:tc>
        <w:tc>
          <w:tcPr>
            <w:tcW w:w="4661" w:type="pct"/>
            <w:gridSpan w:val="6"/>
            <w:tcBorders>
              <w:tl2br w:val="nil"/>
              <w:tr2bl w:val="nil"/>
            </w:tcBorders>
            <w:vAlign w:val="center"/>
          </w:tcPr>
          <w:p>
            <w:pPr>
              <w:widowControl/>
              <w:jc w:val="center"/>
              <w:textAlignment w:val="bottom"/>
              <w:rPr>
                <w:rFonts w:hint="eastAsia" w:ascii="Times New Roman" w:hAnsi="Times New Roman"/>
                <w:color w:val="auto"/>
                <w:szCs w:val="21"/>
              </w:rPr>
            </w:pPr>
            <w:r>
              <w:rPr>
                <w:rFonts w:hint="eastAsia" w:ascii="Times New Roman" w:hAnsi="Times New Roman"/>
                <w:color w:val="auto"/>
                <w:szCs w:val="21"/>
              </w:rPr>
              <w:t>“</w:t>
            </w:r>
            <w:r>
              <w:rPr>
                <w:rFonts w:ascii="Times New Roman" w:hAnsi="Times New Roman"/>
                <w:color w:val="auto"/>
                <w:szCs w:val="21"/>
              </w:rPr>
              <w:t>L</w:t>
            </w:r>
            <w:r>
              <w:rPr>
                <w:rFonts w:hint="eastAsia" w:ascii="Times New Roman" w:hAnsi="Times New Roman"/>
                <w:color w:val="auto"/>
                <w:szCs w:val="21"/>
              </w:rPr>
              <w:t>”表示未检出，检测结果低于方法检出限以</w:t>
            </w:r>
            <w:r>
              <w:rPr>
                <w:rFonts w:ascii="Times New Roman" w:hAnsi="Times New Roman"/>
                <w:color w:val="auto"/>
                <w:szCs w:val="21"/>
              </w:rPr>
              <w:t>L</w:t>
            </w:r>
            <w:r>
              <w:rPr>
                <w:rFonts w:hint="eastAsia" w:ascii="Times New Roman" w:hAnsi="Times New Roman"/>
                <w:color w:val="auto"/>
                <w:szCs w:val="21"/>
              </w:rPr>
              <w:t>或未检出表示</w:t>
            </w:r>
          </w:p>
        </w:tc>
      </w:tr>
    </w:tbl>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color w:val="auto"/>
        </w:rPr>
      </w:pPr>
      <w:r>
        <w:rPr>
          <w:rFonts w:hint="eastAsia" w:ascii="Times New Roman" w:hAnsi="Times New Roman"/>
          <w:color w:val="auto"/>
        </w:rPr>
        <w:t>监测结果表明：验收监测期间，厂区地下水监测井中</w:t>
      </w:r>
      <w:r>
        <w:rPr>
          <w:rFonts w:ascii="Times New Roman" w:hAnsi="Times New Roman"/>
          <w:color w:val="auto"/>
        </w:rPr>
        <w:t>pH</w:t>
      </w:r>
      <w:r>
        <w:rPr>
          <w:rFonts w:hint="eastAsia" w:ascii="Times New Roman" w:hAnsi="Times New Roman"/>
          <w:color w:val="auto"/>
        </w:rPr>
        <w:t>监测结果为7.</w:t>
      </w:r>
      <w:r>
        <w:rPr>
          <w:rFonts w:hint="eastAsia" w:ascii="Times New Roman" w:hAnsi="Times New Roman"/>
          <w:color w:val="auto"/>
          <w:lang w:val="en-US" w:eastAsia="zh-CN"/>
        </w:rPr>
        <w:t>32</w:t>
      </w:r>
      <w:r>
        <w:rPr>
          <w:rFonts w:hint="eastAsia" w:ascii="Times New Roman" w:hAnsi="Times New Roman"/>
          <w:color w:val="auto"/>
        </w:rPr>
        <w:t>~7.</w:t>
      </w:r>
      <w:r>
        <w:rPr>
          <w:rFonts w:hint="eastAsia" w:ascii="Times New Roman" w:hAnsi="Times New Roman"/>
          <w:color w:val="auto"/>
          <w:lang w:val="en-US" w:eastAsia="zh-CN"/>
        </w:rPr>
        <w:t>52</w:t>
      </w:r>
      <w:r>
        <w:rPr>
          <w:rFonts w:hint="eastAsia" w:ascii="Times New Roman" w:hAnsi="Times New Roman"/>
          <w:color w:val="auto"/>
        </w:rPr>
        <w:t>（无量纲）；氨氮监测结果</w:t>
      </w:r>
      <w:r>
        <w:rPr>
          <w:rFonts w:hint="eastAsia" w:ascii="Times New Roman" w:hAnsi="Times New Roman"/>
          <w:color w:val="auto"/>
          <w:lang w:eastAsia="zh-CN"/>
        </w:rPr>
        <w:t>为</w:t>
      </w:r>
      <w:r>
        <w:rPr>
          <w:rFonts w:hint="eastAsia" w:ascii="Times New Roman" w:hAnsi="Times New Roman"/>
          <w:color w:val="auto"/>
        </w:rPr>
        <w:t>0.</w:t>
      </w:r>
      <w:r>
        <w:rPr>
          <w:rFonts w:hint="eastAsia" w:ascii="Times New Roman" w:hAnsi="Times New Roman"/>
          <w:color w:val="auto"/>
          <w:lang w:val="en-US" w:eastAsia="zh-CN"/>
        </w:rPr>
        <w:t>105~0.151</w:t>
      </w:r>
      <w:r>
        <w:rPr>
          <w:rFonts w:ascii="Times New Roman" w:hAnsi="Times New Roman"/>
          <w:color w:val="auto"/>
        </w:rPr>
        <w:t>mg/L</w:t>
      </w:r>
      <w:r>
        <w:rPr>
          <w:rFonts w:hint="eastAsia" w:ascii="Times New Roman" w:hAnsi="Times New Roman"/>
          <w:color w:val="auto"/>
        </w:rPr>
        <w:t>；硝酸盐监测结果</w:t>
      </w:r>
      <w:r>
        <w:rPr>
          <w:rFonts w:hint="eastAsia" w:ascii="Times New Roman" w:hAnsi="Times New Roman"/>
          <w:color w:val="auto"/>
          <w:lang w:eastAsia="zh-CN"/>
        </w:rPr>
        <w:t>为</w:t>
      </w:r>
      <w:r>
        <w:rPr>
          <w:rFonts w:hint="eastAsia" w:ascii="Times New Roman" w:hAnsi="Times New Roman"/>
          <w:color w:val="auto"/>
          <w:lang w:val="en-US" w:eastAsia="zh-CN"/>
        </w:rPr>
        <w:t>7.11~8.14</w:t>
      </w:r>
      <w:r>
        <w:rPr>
          <w:rFonts w:ascii="Times New Roman" w:hAnsi="Times New Roman"/>
          <w:color w:val="auto"/>
        </w:rPr>
        <w:t>mg/L</w:t>
      </w:r>
      <w:r>
        <w:rPr>
          <w:rFonts w:hint="eastAsia" w:ascii="Times New Roman" w:hAnsi="Times New Roman"/>
          <w:color w:val="auto"/>
        </w:rPr>
        <w:t>；</w:t>
      </w:r>
      <w:r>
        <w:rPr>
          <w:rFonts w:hint="eastAsia" w:ascii="Times New Roman" w:hAnsi="Times New Roman"/>
          <w:color w:val="auto"/>
          <w:lang w:eastAsia="zh-CN"/>
        </w:rPr>
        <w:t>硫酸</w:t>
      </w:r>
      <w:r>
        <w:rPr>
          <w:rFonts w:hint="eastAsia" w:ascii="Times New Roman" w:hAnsi="Times New Roman"/>
          <w:color w:val="auto"/>
        </w:rPr>
        <w:t>盐监测结果</w:t>
      </w:r>
      <w:r>
        <w:rPr>
          <w:rFonts w:hint="eastAsia" w:ascii="Times New Roman" w:hAnsi="Times New Roman"/>
          <w:color w:val="auto"/>
          <w:lang w:eastAsia="zh-CN"/>
        </w:rPr>
        <w:t>为</w:t>
      </w:r>
      <w:r>
        <w:rPr>
          <w:rFonts w:hint="eastAsia" w:ascii="Times New Roman" w:hAnsi="Times New Roman"/>
          <w:color w:val="auto"/>
          <w:lang w:val="en-US" w:eastAsia="zh-CN"/>
        </w:rPr>
        <w:t>74.1~82.1</w:t>
      </w:r>
      <w:r>
        <w:rPr>
          <w:rFonts w:ascii="Times New Roman" w:hAnsi="Times New Roman"/>
          <w:color w:val="auto"/>
        </w:rPr>
        <w:t>mg/L</w:t>
      </w:r>
      <w:r>
        <w:rPr>
          <w:rFonts w:hint="eastAsia" w:ascii="Times New Roman" w:hAnsi="Times New Roman"/>
          <w:color w:val="auto"/>
        </w:rPr>
        <w:t>；</w:t>
      </w:r>
      <w:r>
        <w:rPr>
          <w:rFonts w:hint="eastAsia" w:ascii="Times New Roman" w:hAnsi="Times New Roman"/>
          <w:color w:val="auto"/>
          <w:lang w:eastAsia="zh-CN"/>
        </w:rPr>
        <w:t>溶解性总固体</w:t>
      </w:r>
      <w:r>
        <w:rPr>
          <w:rFonts w:hint="eastAsia" w:ascii="Times New Roman" w:hAnsi="Times New Roman"/>
          <w:color w:val="auto"/>
        </w:rPr>
        <w:t>监测结果</w:t>
      </w:r>
      <w:r>
        <w:rPr>
          <w:rFonts w:hint="eastAsia" w:ascii="Times New Roman" w:hAnsi="Times New Roman"/>
          <w:color w:val="auto"/>
          <w:lang w:eastAsia="zh-CN"/>
        </w:rPr>
        <w:t>为</w:t>
      </w:r>
      <w:r>
        <w:rPr>
          <w:rFonts w:hint="eastAsia" w:ascii="Times New Roman" w:hAnsi="Times New Roman"/>
          <w:color w:val="auto"/>
          <w:lang w:val="en-US" w:eastAsia="zh-CN"/>
        </w:rPr>
        <w:t>308~341</w:t>
      </w:r>
      <w:r>
        <w:rPr>
          <w:rFonts w:ascii="Times New Roman" w:hAnsi="Times New Roman"/>
          <w:color w:val="auto"/>
        </w:rPr>
        <w:t>mg/L</w:t>
      </w:r>
      <w:r>
        <w:rPr>
          <w:rFonts w:hint="eastAsia" w:ascii="Times New Roman" w:hAnsi="Times New Roman"/>
          <w:color w:val="auto"/>
        </w:rPr>
        <w:t>；</w:t>
      </w:r>
      <w:r>
        <w:rPr>
          <w:rFonts w:hint="eastAsia" w:ascii="Times New Roman" w:hAnsi="Times New Roman"/>
          <w:color w:val="auto"/>
          <w:lang w:eastAsia="zh-CN"/>
        </w:rPr>
        <w:t>好氧量</w:t>
      </w:r>
      <w:r>
        <w:rPr>
          <w:rFonts w:hint="eastAsia" w:ascii="Times New Roman" w:hAnsi="Times New Roman"/>
          <w:color w:val="auto"/>
        </w:rPr>
        <w:t>监测结果</w:t>
      </w:r>
      <w:r>
        <w:rPr>
          <w:rFonts w:hint="eastAsia" w:ascii="Times New Roman" w:hAnsi="Times New Roman"/>
          <w:color w:val="auto"/>
          <w:lang w:eastAsia="zh-CN"/>
        </w:rPr>
        <w:t>为</w:t>
      </w:r>
      <w:r>
        <w:rPr>
          <w:rFonts w:hint="eastAsia" w:ascii="Times New Roman" w:hAnsi="Times New Roman"/>
          <w:color w:val="auto"/>
          <w:lang w:val="en-US" w:eastAsia="zh-CN"/>
        </w:rPr>
        <w:t>1.78~2.11</w:t>
      </w:r>
      <w:r>
        <w:rPr>
          <w:rFonts w:ascii="Times New Roman" w:hAnsi="Times New Roman"/>
          <w:color w:val="auto"/>
        </w:rPr>
        <w:t>mg/L</w:t>
      </w:r>
      <w:r>
        <w:rPr>
          <w:rFonts w:hint="eastAsia" w:ascii="Times New Roman" w:hAnsi="Times New Roman"/>
          <w:color w:val="auto"/>
        </w:rPr>
        <w:t>；</w:t>
      </w:r>
      <w:r>
        <w:rPr>
          <w:rFonts w:hint="eastAsia" w:ascii="Times New Roman" w:hAnsi="Times New Roman"/>
          <w:color w:val="auto"/>
          <w:lang w:eastAsia="zh-CN"/>
        </w:rPr>
        <w:t>总硬度监测结果为</w:t>
      </w:r>
      <w:r>
        <w:rPr>
          <w:rFonts w:hint="eastAsia" w:ascii="Times New Roman" w:hAnsi="Times New Roman"/>
          <w:color w:val="auto"/>
          <w:lang w:val="en-US" w:eastAsia="zh-CN"/>
        </w:rPr>
        <w:t>108~128</w:t>
      </w:r>
      <w:r>
        <w:rPr>
          <w:rFonts w:ascii="Times New Roman" w:hAnsi="Times New Roman"/>
          <w:color w:val="auto"/>
        </w:rPr>
        <w:t>mg/L</w:t>
      </w:r>
      <w:r>
        <w:rPr>
          <w:rFonts w:hint="eastAsia" w:ascii="Times New Roman" w:hAnsi="Times New Roman"/>
          <w:color w:val="auto"/>
        </w:rPr>
        <w:t>；</w:t>
      </w:r>
      <w:r>
        <w:rPr>
          <w:rFonts w:hint="eastAsia" w:ascii="Times New Roman" w:hAnsi="Times New Roman"/>
          <w:color w:val="auto"/>
          <w:lang w:eastAsia="zh-CN"/>
        </w:rPr>
        <w:t>氯化物监测结果为</w:t>
      </w:r>
      <w:r>
        <w:rPr>
          <w:rFonts w:hint="eastAsia" w:ascii="Times New Roman" w:hAnsi="Times New Roman"/>
          <w:color w:val="auto"/>
          <w:lang w:val="en-US" w:eastAsia="zh-CN"/>
        </w:rPr>
        <w:t>23.9~26.1</w:t>
      </w:r>
      <w:r>
        <w:rPr>
          <w:rFonts w:ascii="Times New Roman" w:hAnsi="Times New Roman"/>
          <w:color w:val="auto"/>
        </w:rPr>
        <w:t>mg/L</w:t>
      </w:r>
      <w:r>
        <w:rPr>
          <w:rFonts w:hint="eastAsia" w:ascii="Times New Roman" w:hAnsi="Times New Roman"/>
          <w:color w:val="auto"/>
        </w:rPr>
        <w:t>；</w:t>
      </w:r>
      <w:r>
        <w:rPr>
          <w:rFonts w:hint="eastAsia" w:ascii="Times New Roman" w:hAnsi="Times New Roman"/>
          <w:color w:val="auto"/>
          <w:lang w:eastAsia="zh-CN"/>
        </w:rPr>
        <w:t>氟化物</w:t>
      </w:r>
      <w:r>
        <w:rPr>
          <w:rFonts w:hint="eastAsia" w:ascii="Times New Roman" w:hAnsi="Times New Roman"/>
          <w:color w:val="auto"/>
        </w:rPr>
        <w:t>监测结果为</w:t>
      </w:r>
      <w:r>
        <w:rPr>
          <w:rFonts w:hint="eastAsia" w:ascii="Times New Roman" w:hAnsi="Times New Roman"/>
          <w:color w:val="auto"/>
          <w:lang w:val="en-US" w:eastAsia="zh-CN"/>
        </w:rPr>
        <w:t>0.</w:t>
      </w:r>
      <w:r>
        <w:rPr>
          <w:rFonts w:hint="eastAsia"/>
          <w:color w:val="auto"/>
          <w:lang w:val="en-US" w:eastAsia="zh-CN"/>
        </w:rPr>
        <w:t>80</w:t>
      </w:r>
      <w:r>
        <w:rPr>
          <w:rFonts w:hint="eastAsia" w:ascii="Times New Roman" w:hAnsi="Times New Roman"/>
          <w:color w:val="auto"/>
        </w:rPr>
        <w:t>~</w:t>
      </w:r>
      <w:r>
        <w:rPr>
          <w:rFonts w:hint="eastAsia" w:ascii="Times New Roman" w:hAnsi="Times New Roman"/>
          <w:color w:val="auto"/>
          <w:lang w:val="en-US" w:eastAsia="zh-CN"/>
        </w:rPr>
        <w:t>0.</w:t>
      </w:r>
      <w:r>
        <w:rPr>
          <w:rFonts w:hint="eastAsia"/>
          <w:color w:val="auto"/>
          <w:lang w:val="en-US" w:eastAsia="zh-CN"/>
        </w:rPr>
        <w:t>88</w:t>
      </w:r>
      <w:r>
        <w:rPr>
          <w:rFonts w:ascii="Times New Roman" w:hAnsi="Times New Roman"/>
          <w:color w:val="auto"/>
        </w:rPr>
        <w:t>mg/L</w:t>
      </w:r>
      <w:r>
        <w:rPr>
          <w:rFonts w:hint="eastAsia" w:ascii="Times New Roman" w:hAnsi="Times New Roman"/>
          <w:color w:val="auto"/>
        </w:rPr>
        <w:t>；</w:t>
      </w:r>
      <w:r>
        <w:rPr>
          <w:rFonts w:hint="eastAsia" w:ascii="Times New Roman" w:hAnsi="Times New Roman"/>
          <w:color w:val="auto"/>
          <w:lang w:eastAsia="zh-CN"/>
        </w:rPr>
        <w:t>铜的监测结果为</w:t>
      </w:r>
      <w:r>
        <w:rPr>
          <w:rFonts w:hint="eastAsia" w:ascii="Times New Roman" w:hAnsi="Times New Roman"/>
          <w:color w:val="auto"/>
          <w:lang w:val="en-US" w:eastAsia="zh-CN"/>
        </w:rPr>
        <w:t>0.001~0.005</w:t>
      </w:r>
      <w:r>
        <w:rPr>
          <w:rFonts w:ascii="Times New Roman" w:hAnsi="Times New Roman"/>
          <w:color w:val="auto"/>
        </w:rPr>
        <w:t>mg/L</w:t>
      </w:r>
      <w:r>
        <w:rPr>
          <w:rFonts w:hint="eastAsia" w:ascii="Times New Roman" w:hAnsi="Times New Roman"/>
          <w:color w:val="auto"/>
        </w:rPr>
        <w:t>；</w:t>
      </w:r>
      <w:r>
        <w:rPr>
          <w:rFonts w:hint="eastAsia" w:ascii="Times New Roman" w:hAnsi="Times New Roman"/>
          <w:color w:val="auto"/>
          <w:lang w:eastAsia="zh-CN"/>
        </w:rPr>
        <w:t>锌的监测结果为</w:t>
      </w:r>
      <w:r>
        <w:rPr>
          <w:rFonts w:hint="eastAsia" w:ascii="Times New Roman" w:hAnsi="Times New Roman"/>
          <w:color w:val="auto"/>
          <w:lang w:val="en-US" w:eastAsia="zh-CN"/>
        </w:rPr>
        <w:t>0.10~0.12</w:t>
      </w:r>
      <w:r>
        <w:rPr>
          <w:rFonts w:ascii="Times New Roman" w:hAnsi="Times New Roman"/>
          <w:color w:val="auto"/>
        </w:rPr>
        <w:t>mg/L</w:t>
      </w:r>
      <w:r>
        <w:rPr>
          <w:rFonts w:hint="eastAsia" w:ascii="Times New Roman" w:hAnsi="Times New Roman"/>
          <w:color w:val="auto"/>
        </w:rPr>
        <w:t>；</w:t>
      </w:r>
      <w:r>
        <w:rPr>
          <w:rFonts w:hint="eastAsia" w:ascii="Times New Roman" w:hAnsi="Times New Roman"/>
          <w:color w:val="auto"/>
          <w:lang w:eastAsia="zh-CN"/>
        </w:rPr>
        <w:t>砷、铅、</w:t>
      </w:r>
      <w:r>
        <w:rPr>
          <w:rFonts w:hint="eastAsia" w:ascii="Times New Roman" w:hAnsi="Times New Roman"/>
          <w:color w:val="auto"/>
        </w:rPr>
        <w:t>铁</w:t>
      </w:r>
      <w:r>
        <w:rPr>
          <w:rFonts w:hint="eastAsia" w:ascii="Times New Roman" w:hAnsi="Times New Roman"/>
          <w:color w:val="auto"/>
          <w:lang w:eastAsia="zh-CN"/>
        </w:rPr>
        <w:t>、</w:t>
      </w:r>
      <w:r>
        <w:rPr>
          <w:rFonts w:hint="eastAsia" w:ascii="Times New Roman" w:hAnsi="Times New Roman"/>
          <w:color w:val="auto"/>
        </w:rPr>
        <w:t>镉</w:t>
      </w:r>
      <w:r>
        <w:rPr>
          <w:rFonts w:hint="eastAsia" w:ascii="Times New Roman" w:hAnsi="Times New Roman"/>
          <w:color w:val="auto"/>
          <w:lang w:eastAsia="zh-CN"/>
        </w:rPr>
        <w:t>、铬的</w:t>
      </w:r>
      <w:r>
        <w:rPr>
          <w:rFonts w:hint="eastAsia" w:ascii="Times New Roman" w:hAnsi="Times New Roman"/>
          <w:color w:val="auto"/>
        </w:rPr>
        <w:t>监测结果</w:t>
      </w:r>
      <w:r>
        <w:rPr>
          <w:rFonts w:hint="eastAsia" w:ascii="Times New Roman" w:hAnsi="Times New Roman"/>
          <w:color w:val="auto"/>
          <w:lang w:eastAsia="zh-CN"/>
        </w:rPr>
        <w:t>均低于各自的检出限</w:t>
      </w:r>
      <w:r>
        <w:rPr>
          <w:rFonts w:hint="eastAsia" w:ascii="Times New Roman" w:hAnsi="Times New Roman"/>
          <w:color w:val="auto"/>
          <w:szCs w:val="21"/>
        </w:rPr>
        <w:t>。项目厂区地下水</w:t>
      </w:r>
      <w:r>
        <w:rPr>
          <w:rFonts w:hint="eastAsia" w:ascii="Times New Roman" w:hAnsi="Times New Roman"/>
          <w:color w:val="auto"/>
        </w:rPr>
        <w:t>监测井监测结果均满足</w:t>
      </w:r>
      <w:r>
        <w:rPr>
          <w:rFonts w:ascii="Times New Roman" w:hAnsi="Times New Roman"/>
          <w:color w:val="auto"/>
        </w:rPr>
        <w:t>《</w:t>
      </w:r>
      <w:r>
        <w:rPr>
          <w:rFonts w:hint="eastAsia" w:ascii="Times New Roman" w:hAnsi="Times New Roman"/>
          <w:color w:val="auto"/>
        </w:rPr>
        <w:t>地下水质量标准</w:t>
      </w:r>
      <w:r>
        <w:rPr>
          <w:rFonts w:ascii="Times New Roman" w:hAnsi="Times New Roman"/>
          <w:color w:val="auto"/>
        </w:rPr>
        <w:t>》（GB</w:t>
      </w:r>
      <w:r>
        <w:rPr>
          <w:rFonts w:hint="eastAsia" w:ascii="Times New Roman" w:hAnsi="Times New Roman"/>
          <w:color w:val="auto"/>
        </w:rPr>
        <w:t>/T14848</w:t>
      </w:r>
      <w:r>
        <w:rPr>
          <w:rFonts w:ascii="Times New Roman" w:hAnsi="Times New Roman"/>
          <w:color w:val="auto"/>
        </w:rPr>
        <w:t>-20</w:t>
      </w:r>
      <w:r>
        <w:rPr>
          <w:rFonts w:hint="eastAsia" w:ascii="Times New Roman" w:hAnsi="Times New Roman"/>
          <w:color w:val="auto"/>
        </w:rPr>
        <w:t>17</w:t>
      </w:r>
      <w:r>
        <w:rPr>
          <w:rFonts w:ascii="Times New Roman" w:hAnsi="Times New Roman"/>
          <w:color w:val="auto"/>
        </w:rPr>
        <w:t>）表</w:t>
      </w:r>
      <w:r>
        <w:rPr>
          <w:rFonts w:hint="eastAsia" w:ascii="Times New Roman" w:hAnsi="Times New Roman"/>
          <w:color w:val="auto"/>
        </w:rPr>
        <w:t>1中III类</w:t>
      </w:r>
      <w:r>
        <w:rPr>
          <w:rFonts w:ascii="Times New Roman" w:hAnsi="Times New Roman"/>
          <w:color w:val="auto"/>
        </w:rPr>
        <w:t>限值</w:t>
      </w:r>
      <w:r>
        <w:rPr>
          <w:rFonts w:hint="eastAsia" w:ascii="Times New Roman" w:hAnsi="Times New Roman"/>
          <w:color w:val="auto"/>
        </w:rPr>
        <w:t>要求。</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color w:val="auto"/>
        </w:rPr>
      </w:pP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color w:val="auto"/>
        </w:rPr>
      </w:pP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color w:val="auto"/>
        </w:rPr>
      </w:pP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color w:val="auto"/>
        </w:rPr>
      </w:pP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color w:val="auto"/>
        </w:rPr>
      </w:pP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color w:val="auto"/>
        </w:rPr>
      </w:pP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color w:val="auto"/>
        </w:rPr>
      </w:pP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color w:val="auto"/>
        </w:rPr>
      </w:pP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color w:val="auto"/>
        </w:rPr>
      </w:pP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color w:val="auto"/>
        </w:rPr>
      </w:pP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color w:val="auto"/>
        </w:rPr>
      </w:pP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color w:val="auto"/>
        </w:rPr>
      </w:pP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color w:val="auto"/>
        </w:rPr>
      </w:pPr>
    </w:p>
    <w:p>
      <w:pPr>
        <w:pStyle w:val="6"/>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color w:val="auto"/>
        </w:rPr>
      </w:pPr>
      <w:bookmarkStart w:id="176" w:name="_Toc3823"/>
      <w:r>
        <w:rPr>
          <w:rFonts w:hint="eastAsia" w:ascii="Times New Roman" w:hAnsi="Times New Roman"/>
          <w:color w:val="auto"/>
        </w:rPr>
        <w:t>9.4环评审批意见落实情况</w:t>
      </w:r>
      <w:bookmarkEnd w:id="176"/>
    </w:p>
    <w:p>
      <w:pPr>
        <w:pStyle w:val="62"/>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color w:val="auto"/>
        </w:rPr>
      </w:pPr>
      <w:r>
        <w:rPr>
          <w:rFonts w:hint="eastAsia" w:ascii="Times New Roman" w:hAnsi="Times New Roman"/>
          <w:color w:val="auto"/>
        </w:rPr>
        <w:t>项目审批意见落实情况详见表9</w:t>
      </w:r>
      <w:r>
        <w:rPr>
          <w:rFonts w:ascii="Times New Roman" w:hAnsi="Times New Roman"/>
          <w:color w:val="auto"/>
        </w:rPr>
        <w:t>.</w:t>
      </w:r>
      <w:r>
        <w:rPr>
          <w:rFonts w:hint="eastAsia" w:ascii="Times New Roman" w:hAnsi="Times New Roman"/>
          <w:color w:val="auto"/>
        </w:rPr>
        <w:t>4</w:t>
      </w:r>
      <w:r>
        <w:rPr>
          <w:rFonts w:ascii="Times New Roman" w:hAnsi="Times New Roman"/>
          <w:color w:val="auto"/>
        </w:rPr>
        <w:t>-1</w:t>
      </w:r>
      <w:r>
        <w:rPr>
          <w:rFonts w:hint="eastAsia" w:ascii="Times New Roman" w:hAnsi="Times New Roman"/>
          <w:color w:val="auto"/>
        </w:rPr>
        <w:t>：</w:t>
      </w:r>
    </w:p>
    <w:bookmarkEnd w:id="171"/>
    <w:p>
      <w:pPr>
        <w:pStyle w:val="62"/>
        <w:pageBreakBefore w:val="0"/>
        <w:widowControl w:val="0"/>
        <w:kinsoku/>
        <w:wordWrap/>
        <w:overflowPunct/>
        <w:topLinePunct w:val="0"/>
        <w:autoSpaceDE/>
        <w:autoSpaceDN/>
        <w:bidi w:val="0"/>
        <w:adjustRightInd/>
        <w:snapToGrid/>
        <w:spacing w:line="360" w:lineRule="auto"/>
        <w:ind w:firstLine="422"/>
        <w:jc w:val="center"/>
        <w:textAlignment w:val="auto"/>
        <w:rPr>
          <w:rFonts w:ascii="Times New Roman" w:hAnsi="Times New Roman"/>
          <w:b/>
          <w:color w:val="auto"/>
          <w:sz w:val="21"/>
          <w:szCs w:val="21"/>
        </w:rPr>
      </w:pPr>
      <w:bookmarkStart w:id="177" w:name="_Toc507454901"/>
      <w:bookmarkStart w:id="178" w:name="_Toc495304801"/>
      <w:r>
        <w:rPr>
          <w:rFonts w:hint="eastAsia" w:ascii="Times New Roman" w:hAnsi="Times New Roman"/>
          <w:b/>
          <w:color w:val="auto"/>
          <w:sz w:val="21"/>
          <w:szCs w:val="21"/>
        </w:rPr>
        <w:t>表9</w:t>
      </w:r>
      <w:r>
        <w:rPr>
          <w:rFonts w:ascii="Times New Roman" w:hAnsi="Times New Roman"/>
          <w:b/>
          <w:color w:val="auto"/>
          <w:sz w:val="21"/>
          <w:szCs w:val="21"/>
        </w:rPr>
        <w:t>.</w:t>
      </w:r>
      <w:r>
        <w:rPr>
          <w:rFonts w:hint="eastAsia" w:ascii="Times New Roman" w:hAnsi="Times New Roman"/>
          <w:b/>
          <w:color w:val="auto"/>
          <w:sz w:val="21"/>
          <w:szCs w:val="21"/>
        </w:rPr>
        <w:t>4</w:t>
      </w:r>
      <w:r>
        <w:rPr>
          <w:rFonts w:ascii="Times New Roman" w:hAnsi="Times New Roman"/>
          <w:b/>
          <w:color w:val="auto"/>
          <w:sz w:val="21"/>
          <w:szCs w:val="21"/>
        </w:rPr>
        <w:t>-1</w:t>
      </w:r>
      <w:r>
        <w:rPr>
          <w:rFonts w:hint="eastAsia" w:ascii="Times New Roman" w:hAnsi="Times New Roman"/>
          <w:b/>
          <w:color w:val="auto"/>
          <w:sz w:val="21"/>
          <w:szCs w:val="21"/>
          <w:lang w:val="en-US" w:eastAsia="zh-CN"/>
        </w:rPr>
        <w:t xml:space="preserve">  </w:t>
      </w:r>
      <w:r>
        <w:rPr>
          <w:rFonts w:hint="eastAsia" w:ascii="Times New Roman" w:hAnsi="Times New Roman"/>
          <w:b/>
          <w:color w:val="auto"/>
          <w:sz w:val="21"/>
          <w:szCs w:val="21"/>
        </w:rPr>
        <w:t>审批意见落实情况表</w:t>
      </w:r>
    </w:p>
    <w:tbl>
      <w:tblPr>
        <w:tblStyle w:val="29"/>
        <w:tblW w:w="4997"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4527"/>
        <w:gridCol w:w="4867"/>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454" w:hRule="atLeast"/>
          <w:tblHeader/>
        </w:trPr>
        <w:tc>
          <w:tcPr>
            <w:tcW w:w="2409" w:type="pct"/>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审批意见要求</w:t>
            </w:r>
          </w:p>
        </w:tc>
        <w:tc>
          <w:tcPr>
            <w:tcW w:w="2590" w:type="pct"/>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落实情况</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4586" w:hRule="atLeast"/>
        </w:trPr>
        <w:tc>
          <w:tcPr>
            <w:tcW w:w="2409" w:type="pct"/>
            <w:vAlign w:val="center"/>
          </w:tcPr>
          <w:p>
            <w:pPr>
              <w:pStyle w:val="104"/>
              <w:spacing w:line="240" w:lineRule="auto"/>
              <w:ind w:firstLine="0" w:firstLineChars="0"/>
              <w:jc w:val="center"/>
              <w:rPr>
                <w:rFonts w:ascii="Times New Roman" w:hAnsi="Times New Roman"/>
                <w:color w:val="auto"/>
                <w:kern w:val="0"/>
                <w:sz w:val="21"/>
                <w:szCs w:val="21"/>
                <w:lang w:val="zh-CN"/>
              </w:rPr>
            </w:pPr>
            <w:r>
              <w:rPr>
                <w:rFonts w:hint="eastAsia" w:ascii="Times New Roman" w:hAnsi="Times New Roman"/>
                <w:color w:val="auto"/>
                <w:kern w:val="0"/>
                <w:sz w:val="21"/>
                <w:szCs w:val="21"/>
                <w:lang w:val="zh-CN"/>
              </w:rPr>
              <w:t>在项目设计、建设和环境管理中要认真落实《报告书》提出的各项环保要求，有效地消除或减缓项目建设期及运营期对周围环境造成的不利影响，严格执行环保“三同时”制度，确保各类污染物稳定达标排放。</w:t>
            </w:r>
          </w:p>
        </w:tc>
        <w:tc>
          <w:tcPr>
            <w:tcW w:w="2590" w:type="pct"/>
            <w:vAlign w:val="center"/>
          </w:tcPr>
          <w:p>
            <w:pPr>
              <w:pStyle w:val="104"/>
              <w:spacing w:line="240" w:lineRule="auto"/>
              <w:ind w:firstLine="0" w:firstLineChars="0"/>
              <w:jc w:val="center"/>
              <w:rPr>
                <w:rFonts w:ascii="Times New Roman" w:hAnsi="Times New Roman"/>
                <w:color w:val="auto"/>
                <w:kern w:val="0"/>
                <w:sz w:val="21"/>
                <w:szCs w:val="21"/>
                <w:lang w:val="zh-CN"/>
              </w:rPr>
            </w:pPr>
            <w:r>
              <w:rPr>
                <w:rFonts w:hint="eastAsia" w:ascii="Times New Roman" w:hAnsi="Times New Roman"/>
                <w:color w:val="auto"/>
                <w:kern w:val="0"/>
                <w:sz w:val="21"/>
                <w:szCs w:val="21"/>
                <w:lang w:val="zh-CN"/>
              </w:rPr>
              <w:t>已落实《报告书》提出的各项环保要求，有效地消除或减缓项目建设期及运营期对周围环境造成的不利影响，严格执行环保“三同时”制度，确保各类污染物稳定达标排放。验收监测表明：厂界颗粒物无组织排放浓度符合《大气污染物综合排放标准》（GB16297-1996）表2中无组织排放监控浓度限值标准；厂界噪声监测结果符合《工业企业厂界环境噪声排放标准》（GB12348- 2008）中2类标准；项目厂区地下水监测井监测结果均满足《地下水质量标准》（GB/T14848-2017）表1中III类限值要求。</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1845" w:hRule="atLeast"/>
        </w:trPr>
        <w:tc>
          <w:tcPr>
            <w:tcW w:w="2409" w:type="pct"/>
            <w:vAlign w:val="center"/>
          </w:tcPr>
          <w:p>
            <w:pPr>
              <w:pStyle w:val="104"/>
              <w:spacing w:line="240" w:lineRule="auto"/>
              <w:ind w:firstLine="0" w:firstLineChars="0"/>
              <w:jc w:val="center"/>
              <w:rPr>
                <w:rFonts w:ascii="Times New Roman" w:hAnsi="Times New Roman"/>
                <w:color w:val="auto"/>
                <w:kern w:val="0"/>
                <w:sz w:val="21"/>
                <w:szCs w:val="21"/>
                <w:lang w:val="zh-CN"/>
              </w:rPr>
            </w:pPr>
            <w:r>
              <w:rPr>
                <w:rFonts w:hint="eastAsia" w:ascii="Times New Roman" w:hAnsi="Times New Roman"/>
                <w:color w:val="auto"/>
                <w:kern w:val="0"/>
                <w:sz w:val="21"/>
                <w:szCs w:val="21"/>
                <w:lang w:val="zh-CN"/>
              </w:rPr>
              <w:t>运营期应严格按照《一般工业固体废物贮存、处置场污染控制标准》（GB18599-2013）中一般工业固体废物入场要求控制进场的固体废物；禁止危险废物、生活垃圾进入本项目填埋区填埋，并建立运行台账。</w:t>
            </w:r>
          </w:p>
        </w:tc>
        <w:tc>
          <w:tcPr>
            <w:tcW w:w="2590" w:type="pct"/>
            <w:vAlign w:val="center"/>
          </w:tcPr>
          <w:p>
            <w:pPr>
              <w:pStyle w:val="104"/>
              <w:spacing w:line="240" w:lineRule="auto"/>
              <w:ind w:firstLine="0" w:firstLineChars="0"/>
              <w:jc w:val="center"/>
              <w:rPr>
                <w:rFonts w:ascii="Times New Roman" w:hAnsi="Times New Roman"/>
                <w:color w:val="auto"/>
                <w:kern w:val="0"/>
                <w:sz w:val="21"/>
                <w:szCs w:val="21"/>
                <w:lang w:val="zh-CN"/>
              </w:rPr>
            </w:pPr>
            <w:r>
              <w:rPr>
                <w:rFonts w:hint="eastAsia" w:ascii="Times New Roman" w:hAnsi="Times New Roman"/>
                <w:color w:val="auto"/>
                <w:kern w:val="0"/>
                <w:sz w:val="21"/>
                <w:szCs w:val="21"/>
                <w:lang w:val="zh-CN"/>
              </w:rPr>
              <w:t>已严格按照《一般工业固体废物贮存、处置场污染控制标准》（GB18599-2013）中一般工业固体废物入场要求控制进场的固体废物；禁止危险废物、生活垃圾进入本项目填埋区填埋，并建立运行台账。</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1262" w:hRule="atLeast"/>
        </w:trPr>
        <w:tc>
          <w:tcPr>
            <w:tcW w:w="2409" w:type="pct"/>
            <w:vAlign w:val="center"/>
          </w:tcPr>
          <w:p>
            <w:pPr>
              <w:pStyle w:val="104"/>
              <w:spacing w:line="240" w:lineRule="auto"/>
              <w:ind w:firstLine="0" w:firstLineChars="0"/>
              <w:jc w:val="center"/>
              <w:rPr>
                <w:rFonts w:ascii="Times New Roman" w:hAnsi="Times New Roman"/>
                <w:color w:val="auto"/>
                <w:kern w:val="0"/>
                <w:sz w:val="21"/>
                <w:szCs w:val="21"/>
                <w:lang w:val="zh-CN"/>
              </w:rPr>
            </w:pPr>
            <w:r>
              <w:rPr>
                <w:rFonts w:hint="eastAsia" w:ascii="Times New Roman" w:hAnsi="Times New Roman"/>
                <w:color w:val="auto"/>
                <w:kern w:val="0"/>
                <w:sz w:val="21"/>
                <w:szCs w:val="21"/>
                <w:lang w:val="zh-CN"/>
              </w:rPr>
              <w:t>严格按照环评文件及相关标准和规范要求，做好项目防渗及防洪工程，规范设置地下水监测井，定期检测防渗衬层系统的完整性，如出现渗漏时，应及时采取补救措施。</w:t>
            </w:r>
          </w:p>
        </w:tc>
        <w:tc>
          <w:tcPr>
            <w:tcW w:w="2590" w:type="pct"/>
            <w:vAlign w:val="center"/>
          </w:tcPr>
          <w:p>
            <w:pPr>
              <w:jc w:val="center"/>
              <w:rPr>
                <w:rFonts w:ascii="Times New Roman" w:hAnsi="Times New Roman" w:eastAsia="宋体" w:cs="Times New Roman"/>
                <w:color w:val="auto"/>
                <w:kern w:val="0"/>
                <w:szCs w:val="21"/>
              </w:rPr>
            </w:pPr>
            <w:r>
              <w:rPr>
                <w:rFonts w:hint="eastAsia" w:ascii="Times New Roman" w:hAnsi="Times New Roman"/>
                <w:color w:val="auto"/>
                <w:kern w:val="0"/>
                <w:szCs w:val="21"/>
                <w:lang w:val="zh-CN"/>
              </w:rPr>
              <w:t>已严格按照环评文件及相关标准和规范要求，做好项目防渗及防洪工程，规范设置地下水监测井，定期检测防渗衬层系统的完整性，如出现渗漏时，及时采取补救措施。</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1835" w:hRule="atLeast"/>
        </w:trPr>
        <w:tc>
          <w:tcPr>
            <w:tcW w:w="2409" w:type="pct"/>
            <w:vAlign w:val="center"/>
          </w:tcPr>
          <w:p>
            <w:pPr>
              <w:pStyle w:val="104"/>
              <w:spacing w:line="240" w:lineRule="auto"/>
              <w:ind w:firstLine="0" w:firstLineChars="0"/>
              <w:jc w:val="center"/>
              <w:rPr>
                <w:rFonts w:ascii="Times New Roman" w:hAnsi="Times New Roman"/>
                <w:color w:val="auto"/>
                <w:kern w:val="0"/>
                <w:sz w:val="21"/>
                <w:szCs w:val="21"/>
                <w:lang w:val="zh-CN"/>
              </w:rPr>
            </w:pPr>
            <w:r>
              <w:rPr>
                <w:rFonts w:hint="eastAsia" w:ascii="Times New Roman" w:hAnsi="Times New Roman"/>
                <w:color w:val="auto"/>
                <w:kern w:val="0"/>
                <w:sz w:val="21"/>
                <w:szCs w:val="21"/>
                <w:lang w:val="zh-CN"/>
              </w:rPr>
              <w:t>严格落实环评中提出的大气污染防治措施，项目环境防护距离为200米，在此范围内不得新建居民、学校及医院等环境敏感目标。</w:t>
            </w:r>
          </w:p>
        </w:tc>
        <w:tc>
          <w:tcPr>
            <w:tcW w:w="2590" w:type="pct"/>
            <w:vAlign w:val="center"/>
          </w:tcPr>
          <w:p>
            <w:pPr>
              <w:jc w:val="center"/>
              <w:rPr>
                <w:rFonts w:ascii="Times New Roman" w:hAnsi="Times New Roman" w:eastAsia="宋体" w:cs="Times New Roman"/>
                <w:color w:val="auto"/>
                <w:kern w:val="0"/>
                <w:szCs w:val="21"/>
              </w:rPr>
            </w:pPr>
            <w:r>
              <w:rPr>
                <w:rFonts w:hint="eastAsia" w:ascii="Times New Roman" w:hAnsi="Times New Roman"/>
                <w:color w:val="auto"/>
                <w:kern w:val="0"/>
                <w:sz w:val="21"/>
                <w:szCs w:val="21"/>
                <w:lang w:val="zh-CN"/>
              </w:rPr>
              <w:t>已严格落实环评中提出的大气污染防治措施，项目环境防护距离为200米，在此范围内无新建居民、学校及医院等环境敏感目标。</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1491" w:hRule="atLeast"/>
        </w:trPr>
        <w:tc>
          <w:tcPr>
            <w:tcW w:w="2409" w:type="pct"/>
            <w:vAlign w:val="center"/>
          </w:tcPr>
          <w:p>
            <w:pPr>
              <w:pStyle w:val="104"/>
              <w:spacing w:line="240" w:lineRule="auto"/>
              <w:ind w:firstLine="0" w:firstLineChars="0"/>
              <w:jc w:val="center"/>
              <w:rPr>
                <w:rFonts w:ascii="Times New Roman" w:hAnsi="Times New Roman"/>
                <w:color w:val="auto"/>
                <w:kern w:val="0"/>
                <w:sz w:val="21"/>
                <w:szCs w:val="21"/>
                <w:lang w:val="zh-CN"/>
              </w:rPr>
            </w:pPr>
            <w:r>
              <w:rPr>
                <w:rFonts w:hint="eastAsia" w:ascii="Times New Roman" w:hAnsi="Times New Roman"/>
                <w:color w:val="auto"/>
                <w:kern w:val="0"/>
                <w:sz w:val="21"/>
                <w:szCs w:val="21"/>
                <w:lang w:val="zh-CN"/>
              </w:rPr>
              <w:t>强化环境风险防范和应急措施，制定环境风险应急预案并定期开展应急演练工作。加强环境管理及监测。建立健全企业内部环境管理机制，制定完善的环保规章制度和企业环境管理体系；严格按照环境监测计划开展监测。</w:t>
            </w:r>
          </w:p>
        </w:tc>
        <w:tc>
          <w:tcPr>
            <w:tcW w:w="2590" w:type="pct"/>
            <w:vAlign w:val="center"/>
          </w:tcPr>
          <w:p>
            <w:pPr>
              <w:jc w:val="center"/>
              <w:rPr>
                <w:rFonts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lang w:eastAsia="zh-CN"/>
              </w:rPr>
              <w:t>已</w:t>
            </w:r>
            <w:r>
              <w:rPr>
                <w:rFonts w:hint="eastAsia" w:ascii="Times New Roman" w:hAnsi="Times New Roman" w:eastAsia="宋体" w:cs="Times New Roman"/>
                <w:color w:val="auto"/>
                <w:kern w:val="0"/>
                <w:szCs w:val="21"/>
              </w:rPr>
              <w:t>强化环境风险防范和应急措施，制定环境风险应急预案并定期开展应急演练工作。加强环境管理及监测。建立健全企业内部环境管理机制，制定完善的环保规章制度和企业环境管理体系；严格按照环境监测计划开展监测。</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2767" w:hRule="atLeast"/>
        </w:trPr>
        <w:tc>
          <w:tcPr>
            <w:tcW w:w="2409" w:type="pct"/>
            <w:vAlign w:val="center"/>
          </w:tcPr>
          <w:p>
            <w:pPr>
              <w:pStyle w:val="104"/>
              <w:spacing w:line="240" w:lineRule="auto"/>
              <w:ind w:firstLine="0" w:firstLineChars="0"/>
              <w:jc w:val="center"/>
              <w:rPr>
                <w:rFonts w:ascii="Times New Roman" w:hAnsi="Times New Roman"/>
                <w:color w:val="auto"/>
                <w:kern w:val="0"/>
                <w:sz w:val="21"/>
                <w:szCs w:val="21"/>
                <w:lang w:val="zh-CN"/>
              </w:rPr>
            </w:pPr>
            <w:r>
              <w:rPr>
                <w:rFonts w:hint="eastAsia" w:ascii="Times New Roman" w:hAnsi="Times New Roman"/>
                <w:color w:val="auto"/>
                <w:kern w:val="0"/>
                <w:sz w:val="21"/>
                <w:szCs w:val="21"/>
                <w:lang w:val="zh-CN"/>
              </w:rPr>
              <w:t>项目建设及运行过程中，应建立通畅的公众参与平台，满足公众合理的环境保护要求，高度重视并及时回应项目建设与运行可能引起的社会关注，及时采取措施解决公众关注的问题并消除影响。</w:t>
            </w:r>
          </w:p>
        </w:tc>
        <w:tc>
          <w:tcPr>
            <w:tcW w:w="2590" w:type="pct"/>
            <w:vAlign w:val="center"/>
          </w:tcPr>
          <w:p>
            <w:pPr>
              <w:jc w:val="center"/>
              <w:rPr>
                <w:rFonts w:ascii="Times New Roman" w:hAnsi="Times New Roman" w:eastAsia="宋体" w:cs="Times New Roman"/>
                <w:color w:val="auto"/>
                <w:kern w:val="0"/>
                <w:szCs w:val="21"/>
              </w:rPr>
            </w:pPr>
            <w:r>
              <w:rPr>
                <w:rFonts w:hint="eastAsia" w:ascii="Times New Roman" w:hAnsi="Times New Roman"/>
                <w:color w:val="auto"/>
                <w:kern w:val="0"/>
                <w:sz w:val="21"/>
                <w:szCs w:val="21"/>
                <w:lang w:val="zh-CN"/>
              </w:rPr>
              <w:t>已建立企业公开官网，</w:t>
            </w:r>
            <w:r>
              <w:rPr>
                <w:rFonts w:ascii="Times New Roman" w:hAnsi="Times New Roman"/>
                <w:color w:val="auto"/>
                <w:kern w:val="0"/>
                <w:sz w:val="21"/>
                <w:szCs w:val="21"/>
                <w:lang w:val="zh-CN"/>
              </w:rPr>
              <w:t>在项目施工和运营过程中，</w:t>
            </w:r>
            <w:r>
              <w:rPr>
                <w:rFonts w:hint="eastAsia" w:ascii="Times New Roman" w:hAnsi="Times New Roman"/>
                <w:color w:val="auto"/>
                <w:kern w:val="0"/>
                <w:sz w:val="21"/>
                <w:szCs w:val="21"/>
                <w:lang w:val="zh-CN"/>
              </w:rPr>
              <w:t>在企业官网平台</w:t>
            </w:r>
            <w:r>
              <w:rPr>
                <w:rFonts w:ascii="Times New Roman" w:hAnsi="Times New Roman"/>
                <w:color w:val="auto"/>
                <w:kern w:val="0"/>
                <w:sz w:val="21"/>
                <w:szCs w:val="21"/>
                <w:lang w:val="zh-CN"/>
              </w:rPr>
              <w:t>定期发布企业环境信息，并主动接受社会监督。</w:t>
            </w:r>
            <w:r>
              <w:rPr>
                <w:rFonts w:hint="eastAsia" w:ascii="Times New Roman" w:hAnsi="Times New Roman"/>
                <w:color w:val="auto"/>
                <w:kern w:val="0"/>
                <w:sz w:val="21"/>
                <w:szCs w:val="21"/>
                <w:lang w:val="zh-CN"/>
              </w:rPr>
              <w:t>并</w:t>
            </w:r>
            <w:r>
              <w:rPr>
                <w:rFonts w:ascii="Times New Roman" w:hAnsi="Times New Roman"/>
                <w:color w:val="auto"/>
                <w:kern w:val="0"/>
                <w:sz w:val="21"/>
                <w:szCs w:val="21"/>
                <w:lang w:val="zh-CN"/>
              </w:rPr>
              <w:t>加强宣传与沟通工作，及时解决公众担忧的环境问题，满足公众合理的环境诉求。</w:t>
            </w:r>
          </w:p>
        </w:tc>
      </w:tr>
    </w:tbl>
    <w:p>
      <w:pPr>
        <w:pStyle w:val="5"/>
        <w:spacing w:before="156" w:after="156"/>
        <w:jc w:val="center"/>
        <w:rPr>
          <w:rFonts w:ascii="Times New Roman" w:hAnsi="Times New Roman"/>
          <w:color w:val="auto"/>
        </w:rPr>
        <w:sectPr>
          <w:pgSz w:w="11906" w:h="16838"/>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p>
    <w:p>
      <w:pPr>
        <w:pStyle w:val="5"/>
        <w:pageBreakBefore w:val="0"/>
        <w:widowControl w:val="0"/>
        <w:kinsoku/>
        <w:wordWrap/>
        <w:overflowPunct/>
        <w:topLinePunct w:val="0"/>
        <w:autoSpaceDE/>
        <w:autoSpaceDN/>
        <w:bidi w:val="0"/>
        <w:adjustRightInd/>
        <w:snapToGrid/>
        <w:spacing w:beforeLines="0" w:afterLines="0" w:line="360" w:lineRule="auto"/>
        <w:jc w:val="center"/>
        <w:textAlignment w:val="auto"/>
        <w:rPr>
          <w:rFonts w:ascii="Times New Roman" w:hAnsi="Times New Roman" w:cs="Times New Roman"/>
          <w:color w:val="auto"/>
        </w:rPr>
      </w:pPr>
      <w:bookmarkStart w:id="179" w:name="_Toc18633"/>
      <w:r>
        <w:rPr>
          <w:rFonts w:ascii="Times New Roman" w:hAnsi="Times New Roman"/>
          <w:color w:val="auto"/>
        </w:rPr>
        <w:t>十、</w:t>
      </w:r>
      <w:bookmarkEnd w:id="177"/>
      <w:bookmarkEnd w:id="178"/>
      <w:bookmarkStart w:id="180" w:name="_Toc507454906"/>
      <w:r>
        <w:rPr>
          <w:rFonts w:ascii="Times New Roman" w:hAnsi="Times New Roman" w:cs="Times New Roman"/>
          <w:color w:val="auto"/>
        </w:rPr>
        <w:t>验收监测结论</w:t>
      </w:r>
      <w:bookmarkEnd w:id="179"/>
      <w:bookmarkEnd w:id="180"/>
    </w:p>
    <w:p>
      <w:pPr>
        <w:pageBreakBefore w:val="0"/>
        <w:widowControl w:val="0"/>
        <w:kinsoku/>
        <w:wordWrap/>
        <w:overflowPunct/>
        <w:topLinePunct w:val="0"/>
        <w:autoSpaceDE/>
        <w:autoSpaceDN/>
        <w:bidi w:val="0"/>
        <w:adjustRightInd/>
        <w:snapToGrid/>
        <w:spacing w:line="360" w:lineRule="auto"/>
        <w:ind w:firstLine="482"/>
        <w:textAlignment w:val="auto"/>
        <w:rPr>
          <w:rFonts w:ascii="Times New Roman" w:hAnsi="Times New Roman" w:cs="Times New Roman"/>
          <w:color w:val="auto"/>
          <w:sz w:val="24"/>
          <w:szCs w:val="24"/>
        </w:rPr>
      </w:pPr>
      <w:r>
        <w:rPr>
          <w:rFonts w:hint="eastAsia" w:ascii="Times New Roman" w:hAnsi="Times New Roman" w:cs="Times New Roman"/>
          <w:color w:val="auto"/>
          <w:sz w:val="24"/>
          <w:szCs w:val="24"/>
          <w:lang w:eastAsia="zh-CN"/>
        </w:rPr>
        <w:t>安徽尚德谱检测技术有限责任公司</w:t>
      </w:r>
      <w:r>
        <w:rPr>
          <w:rFonts w:ascii="Times New Roman" w:hAnsi="Times New Roman" w:cs="Times New Roman"/>
          <w:color w:val="auto"/>
          <w:sz w:val="24"/>
          <w:szCs w:val="24"/>
        </w:rPr>
        <w:t>于</w:t>
      </w:r>
      <w:r>
        <w:rPr>
          <w:rFonts w:ascii="Times New Roman" w:hAnsi="Times New Roman" w:cs="Times New Roman"/>
          <w:color w:val="auto"/>
          <w:spacing w:val="-6"/>
          <w:sz w:val="24"/>
          <w:szCs w:val="24"/>
        </w:rPr>
        <w:t>20</w:t>
      </w:r>
      <w:r>
        <w:rPr>
          <w:rFonts w:hint="eastAsia" w:ascii="Times New Roman" w:hAnsi="Times New Roman" w:cs="Times New Roman"/>
          <w:color w:val="auto"/>
          <w:spacing w:val="-6"/>
          <w:sz w:val="24"/>
          <w:szCs w:val="24"/>
        </w:rPr>
        <w:t>20</w:t>
      </w:r>
      <w:r>
        <w:rPr>
          <w:rFonts w:ascii="Times New Roman" w:hAnsi="Times New Roman" w:cs="Times New Roman"/>
          <w:color w:val="auto"/>
          <w:spacing w:val="-6"/>
          <w:sz w:val="24"/>
          <w:szCs w:val="24"/>
        </w:rPr>
        <w:t>年</w:t>
      </w:r>
      <w:r>
        <w:rPr>
          <w:rFonts w:hint="eastAsia" w:ascii="Times New Roman" w:hAnsi="Times New Roman" w:cs="Times New Roman"/>
          <w:color w:val="auto"/>
          <w:spacing w:val="-6"/>
          <w:sz w:val="24"/>
          <w:szCs w:val="24"/>
          <w:lang w:val="en-US" w:eastAsia="zh-CN"/>
        </w:rPr>
        <w:t>10</w:t>
      </w:r>
      <w:r>
        <w:rPr>
          <w:rFonts w:ascii="Times New Roman" w:hAnsi="Times New Roman" w:cs="Times New Roman"/>
          <w:color w:val="auto"/>
          <w:spacing w:val="-6"/>
          <w:sz w:val="24"/>
          <w:szCs w:val="24"/>
        </w:rPr>
        <w:t>月</w:t>
      </w:r>
      <w:r>
        <w:rPr>
          <w:rFonts w:hint="eastAsia" w:ascii="Times New Roman" w:hAnsi="Times New Roman" w:cs="Times New Roman"/>
          <w:color w:val="auto"/>
          <w:spacing w:val="-6"/>
          <w:sz w:val="24"/>
          <w:szCs w:val="24"/>
          <w:lang w:val="en-US" w:eastAsia="zh-CN"/>
        </w:rPr>
        <w:t>23</w:t>
      </w:r>
      <w:r>
        <w:rPr>
          <w:rFonts w:ascii="Times New Roman" w:hAnsi="Times New Roman" w:cs="Times New Roman"/>
          <w:color w:val="auto"/>
          <w:spacing w:val="-6"/>
          <w:sz w:val="24"/>
          <w:szCs w:val="24"/>
        </w:rPr>
        <w:t>日至</w:t>
      </w:r>
      <w:r>
        <w:rPr>
          <w:rFonts w:hint="eastAsia" w:ascii="Times New Roman" w:hAnsi="Times New Roman" w:cs="Times New Roman"/>
          <w:color w:val="auto"/>
          <w:spacing w:val="-6"/>
          <w:sz w:val="24"/>
          <w:szCs w:val="24"/>
          <w:lang w:val="en-US" w:eastAsia="zh-CN"/>
        </w:rPr>
        <w:t>10</w:t>
      </w:r>
      <w:r>
        <w:rPr>
          <w:rFonts w:ascii="Times New Roman" w:hAnsi="Times New Roman" w:cs="Times New Roman"/>
          <w:color w:val="auto"/>
          <w:spacing w:val="-6"/>
          <w:sz w:val="24"/>
          <w:szCs w:val="24"/>
        </w:rPr>
        <w:t>月</w:t>
      </w:r>
      <w:r>
        <w:rPr>
          <w:rFonts w:hint="eastAsia" w:ascii="Times New Roman" w:hAnsi="Times New Roman" w:cs="Times New Roman"/>
          <w:color w:val="auto"/>
          <w:spacing w:val="-6"/>
          <w:sz w:val="24"/>
          <w:szCs w:val="24"/>
          <w:lang w:val="en-US" w:eastAsia="zh-CN"/>
        </w:rPr>
        <w:t>24</w:t>
      </w:r>
      <w:r>
        <w:rPr>
          <w:rFonts w:ascii="Times New Roman" w:hAnsi="Times New Roman" w:cs="Times New Roman"/>
          <w:color w:val="auto"/>
          <w:spacing w:val="-6"/>
          <w:sz w:val="24"/>
          <w:szCs w:val="24"/>
        </w:rPr>
        <w:t>日</w:t>
      </w:r>
      <w:r>
        <w:rPr>
          <w:rFonts w:ascii="Times New Roman" w:hAnsi="Times New Roman" w:cs="Times New Roman"/>
          <w:color w:val="auto"/>
          <w:sz w:val="24"/>
          <w:szCs w:val="24"/>
        </w:rPr>
        <w:t>对</w:t>
      </w:r>
      <w:r>
        <w:rPr>
          <w:rFonts w:hint="eastAsia" w:ascii="Times New Roman" w:hAnsi="Times New Roman" w:cs="Times New Roman"/>
          <w:color w:val="auto"/>
          <w:sz w:val="24"/>
          <w:szCs w:val="24"/>
        </w:rPr>
        <w:t>本项目</w:t>
      </w:r>
      <w:r>
        <w:rPr>
          <w:rFonts w:ascii="Times New Roman" w:hAnsi="Times New Roman" w:cs="Times New Roman"/>
          <w:color w:val="auto"/>
          <w:sz w:val="24"/>
          <w:szCs w:val="24"/>
        </w:rPr>
        <w:t>进行了验收监测，根据验收监测结果，得出结论如下：</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color w:val="auto"/>
          <w:szCs w:val="21"/>
        </w:rPr>
      </w:pPr>
      <w:r>
        <w:rPr>
          <w:rFonts w:hint="eastAsia" w:ascii="Times New Roman" w:hAnsi="Times New Roman"/>
          <w:color w:val="auto"/>
          <w:kern w:val="0"/>
          <w:lang w:val="zh-CN"/>
        </w:rPr>
        <w:t>1、</w:t>
      </w:r>
      <w:r>
        <w:rPr>
          <w:rFonts w:hint="eastAsia" w:ascii="Times New Roman" w:hAnsi="Times New Roman"/>
          <w:color w:val="auto"/>
        </w:rPr>
        <w:t>验收监测期间</w:t>
      </w:r>
      <w:r>
        <w:rPr>
          <w:rFonts w:hint="eastAsia" w:ascii="Times New Roman" w:hAnsi="Times New Roman"/>
          <w:color w:val="auto"/>
          <w:szCs w:val="21"/>
        </w:rPr>
        <w:t>，厂界颗粒物无组织排放浓度最大值为0.255mg/m</w:t>
      </w:r>
      <w:r>
        <w:rPr>
          <w:rFonts w:hint="eastAsia" w:ascii="Times New Roman" w:hAnsi="Times New Roman"/>
          <w:color w:val="auto"/>
          <w:szCs w:val="21"/>
          <w:vertAlign w:val="superscript"/>
        </w:rPr>
        <w:t>3</w:t>
      </w:r>
      <w:r>
        <w:rPr>
          <w:rFonts w:hint="eastAsia" w:ascii="Times New Roman" w:hAnsi="Times New Roman"/>
          <w:color w:val="auto"/>
          <w:szCs w:val="21"/>
        </w:rPr>
        <w:t>，监测结果符合《大气污染物综合排放标准》（GB16297-1996）表2中无组织排放监控浓度限值标准。</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color w:val="auto"/>
        </w:rPr>
      </w:pPr>
      <w:r>
        <w:rPr>
          <w:rFonts w:hint="eastAsia" w:ascii="Times New Roman" w:hAnsi="Times New Roman"/>
          <w:color w:val="auto"/>
          <w:kern w:val="0"/>
          <w:lang w:val="en-US" w:eastAsia="zh-CN"/>
        </w:rPr>
        <w:t>2</w:t>
      </w:r>
      <w:r>
        <w:rPr>
          <w:rFonts w:hint="eastAsia" w:ascii="Times New Roman" w:hAnsi="Times New Roman"/>
          <w:color w:val="auto"/>
          <w:kern w:val="0"/>
          <w:lang w:val="zh-CN"/>
        </w:rPr>
        <w:t>、</w:t>
      </w:r>
      <w:r>
        <w:rPr>
          <w:rFonts w:hint="eastAsia" w:ascii="Times New Roman" w:hAnsi="Times New Roman"/>
          <w:color w:val="auto"/>
          <w:szCs w:val="24"/>
        </w:rPr>
        <w:t>验收监测期间，</w:t>
      </w:r>
      <w:r>
        <w:rPr>
          <w:rFonts w:ascii="Times New Roman" w:hAnsi="Times New Roman"/>
          <w:color w:val="auto"/>
        </w:rPr>
        <w:t>厂界</w:t>
      </w:r>
      <w:r>
        <w:rPr>
          <w:rFonts w:hint="eastAsia" w:ascii="Times New Roman" w:hAnsi="Times New Roman"/>
          <w:color w:val="auto"/>
        </w:rPr>
        <w:t>昼间噪声监测结果为5</w:t>
      </w:r>
      <w:r>
        <w:rPr>
          <w:rFonts w:hint="eastAsia" w:ascii="Times New Roman" w:hAnsi="Times New Roman"/>
          <w:color w:val="auto"/>
          <w:lang w:val="en-US" w:eastAsia="zh-CN"/>
        </w:rPr>
        <w:t>3</w:t>
      </w:r>
      <w:r>
        <w:rPr>
          <w:rFonts w:hint="eastAsia" w:ascii="Times New Roman" w:hAnsi="Times New Roman"/>
          <w:color w:val="auto"/>
        </w:rPr>
        <w:t xml:space="preserve">~ </w:t>
      </w:r>
      <w:r>
        <w:rPr>
          <w:rFonts w:hint="eastAsia" w:ascii="Times New Roman" w:hAnsi="Times New Roman"/>
          <w:color w:val="auto"/>
          <w:lang w:val="en-US" w:eastAsia="zh-CN"/>
        </w:rPr>
        <w:t>55</w:t>
      </w:r>
      <w:r>
        <w:rPr>
          <w:rFonts w:hint="eastAsia" w:ascii="Times New Roman" w:hAnsi="Times New Roman"/>
          <w:color w:val="auto"/>
        </w:rPr>
        <w:t>dB(A)，夜间噪声监测结果为</w:t>
      </w:r>
      <w:r>
        <w:rPr>
          <w:rFonts w:hint="eastAsia" w:ascii="Times New Roman" w:hAnsi="Times New Roman"/>
          <w:color w:val="auto"/>
          <w:lang w:val="en-US" w:eastAsia="zh-CN"/>
        </w:rPr>
        <w:t>43</w:t>
      </w:r>
      <w:r>
        <w:rPr>
          <w:rFonts w:hint="eastAsia" w:ascii="Times New Roman" w:hAnsi="Times New Roman"/>
          <w:color w:val="auto"/>
        </w:rPr>
        <w:t>~</w:t>
      </w:r>
      <w:r>
        <w:rPr>
          <w:rFonts w:hint="eastAsia" w:ascii="Times New Roman" w:hAnsi="Times New Roman"/>
          <w:color w:val="auto"/>
          <w:lang w:val="en-US" w:eastAsia="zh-CN"/>
        </w:rPr>
        <w:t>46</w:t>
      </w:r>
      <w:r>
        <w:rPr>
          <w:rFonts w:hint="eastAsia" w:ascii="Times New Roman" w:hAnsi="Times New Roman"/>
          <w:color w:val="auto"/>
        </w:rPr>
        <w:t xml:space="preserve"> dB(A)，</w:t>
      </w:r>
      <w:r>
        <w:rPr>
          <w:rFonts w:ascii="Times New Roman" w:hAnsi="Times New Roman"/>
          <w:color w:val="auto"/>
        </w:rPr>
        <w:t>噪声</w:t>
      </w:r>
      <w:r>
        <w:rPr>
          <w:rFonts w:hint="eastAsia" w:ascii="Times New Roman" w:hAnsi="Times New Roman"/>
          <w:color w:val="auto"/>
        </w:rPr>
        <w:t>监测结果符合</w:t>
      </w:r>
      <w:r>
        <w:rPr>
          <w:rFonts w:ascii="Times New Roman" w:hAnsi="Times New Roman"/>
          <w:color w:val="auto"/>
        </w:rPr>
        <w:t>《工业企业厂界环境噪声排放标准》</w:t>
      </w:r>
      <w:r>
        <w:rPr>
          <w:rFonts w:hint="eastAsia" w:ascii="Times New Roman" w:hAnsi="Times New Roman"/>
          <w:color w:val="auto"/>
        </w:rPr>
        <w:t>（</w:t>
      </w:r>
      <w:r>
        <w:rPr>
          <w:rFonts w:ascii="Times New Roman" w:hAnsi="Times New Roman"/>
          <w:color w:val="auto"/>
        </w:rPr>
        <w:t>GB12348-</w:t>
      </w:r>
      <w:r>
        <w:rPr>
          <w:rFonts w:hint="eastAsia" w:ascii="Times New Roman" w:hAnsi="Times New Roman"/>
          <w:color w:val="auto"/>
        </w:rPr>
        <w:t xml:space="preserve"> </w:t>
      </w:r>
      <w:r>
        <w:rPr>
          <w:rFonts w:ascii="Times New Roman" w:hAnsi="Times New Roman"/>
          <w:color w:val="auto"/>
        </w:rPr>
        <w:t>2008</w:t>
      </w:r>
      <w:r>
        <w:rPr>
          <w:rFonts w:hint="eastAsia" w:ascii="Times New Roman" w:hAnsi="Times New Roman"/>
          <w:color w:val="auto"/>
        </w:rPr>
        <w:t>）</w:t>
      </w:r>
      <w:r>
        <w:rPr>
          <w:rFonts w:ascii="Times New Roman" w:hAnsi="Times New Roman"/>
          <w:color w:val="auto"/>
        </w:rPr>
        <w:t>中</w:t>
      </w:r>
      <w:r>
        <w:rPr>
          <w:rFonts w:hint="eastAsia" w:ascii="Times New Roman" w:hAnsi="Times New Roman"/>
          <w:color w:val="auto"/>
          <w:lang w:val="en-US" w:eastAsia="zh-CN"/>
        </w:rPr>
        <w:t>2</w:t>
      </w:r>
      <w:r>
        <w:rPr>
          <w:rFonts w:ascii="Times New Roman" w:hAnsi="Times New Roman"/>
          <w:color w:val="auto"/>
        </w:rPr>
        <w:t>类标准</w:t>
      </w:r>
      <w:r>
        <w:rPr>
          <w:rFonts w:hint="eastAsia" w:ascii="Times New Roman" w:hAnsi="Times New Roman"/>
          <w:color w:val="auto"/>
        </w:rPr>
        <w:t>。</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color w:val="auto"/>
        </w:rPr>
      </w:pPr>
      <w:r>
        <w:rPr>
          <w:rFonts w:hint="eastAsia" w:ascii="Times New Roman" w:hAnsi="Times New Roman"/>
          <w:color w:val="auto"/>
          <w:kern w:val="0"/>
          <w:lang w:val="en-US" w:eastAsia="zh-CN"/>
        </w:rPr>
        <w:t>3</w:t>
      </w:r>
      <w:r>
        <w:rPr>
          <w:rFonts w:hint="eastAsia" w:ascii="Times New Roman" w:hAnsi="Times New Roman"/>
          <w:color w:val="auto"/>
          <w:kern w:val="0"/>
          <w:lang w:val="zh-CN"/>
        </w:rPr>
        <w:t>、</w:t>
      </w:r>
      <w:r>
        <w:rPr>
          <w:rFonts w:hint="eastAsia" w:ascii="Times New Roman" w:hAnsi="Times New Roman"/>
          <w:color w:val="auto"/>
        </w:rPr>
        <w:t>验收监测期间，厂区地下水监测井中</w:t>
      </w:r>
      <w:r>
        <w:rPr>
          <w:rFonts w:ascii="Times New Roman" w:hAnsi="Times New Roman"/>
          <w:color w:val="auto"/>
        </w:rPr>
        <w:t>pH</w:t>
      </w:r>
      <w:r>
        <w:rPr>
          <w:rFonts w:hint="eastAsia" w:ascii="Times New Roman" w:hAnsi="Times New Roman"/>
          <w:color w:val="auto"/>
        </w:rPr>
        <w:t>监测结果为7.</w:t>
      </w:r>
      <w:r>
        <w:rPr>
          <w:rFonts w:hint="eastAsia" w:ascii="Times New Roman" w:hAnsi="Times New Roman"/>
          <w:color w:val="auto"/>
          <w:lang w:val="en-US" w:eastAsia="zh-CN"/>
        </w:rPr>
        <w:t>32</w:t>
      </w:r>
      <w:r>
        <w:rPr>
          <w:rFonts w:hint="eastAsia" w:ascii="Times New Roman" w:hAnsi="Times New Roman"/>
          <w:color w:val="auto"/>
        </w:rPr>
        <w:t>~7.</w:t>
      </w:r>
      <w:r>
        <w:rPr>
          <w:rFonts w:hint="eastAsia" w:ascii="Times New Roman" w:hAnsi="Times New Roman"/>
          <w:color w:val="auto"/>
          <w:lang w:val="en-US" w:eastAsia="zh-CN"/>
        </w:rPr>
        <w:t>52</w:t>
      </w:r>
      <w:r>
        <w:rPr>
          <w:rFonts w:hint="eastAsia" w:ascii="Times New Roman" w:hAnsi="Times New Roman"/>
          <w:color w:val="auto"/>
        </w:rPr>
        <w:t>（无量纲）；氨氮监测结果</w:t>
      </w:r>
      <w:r>
        <w:rPr>
          <w:rFonts w:hint="eastAsia" w:ascii="Times New Roman" w:hAnsi="Times New Roman"/>
          <w:color w:val="auto"/>
          <w:lang w:eastAsia="zh-CN"/>
        </w:rPr>
        <w:t>为</w:t>
      </w:r>
      <w:r>
        <w:rPr>
          <w:rFonts w:hint="eastAsia" w:ascii="Times New Roman" w:hAnsi="Times New Roman"/>
          <w:color w:val="auto"/>
        </w:rPr>
        <w:t>0.</w:t>
      </w:r>
      <w:r>
        <w:rPr>
          <w:rFonts w:hint="eastAsia" w:ascii="Times New Roman" w:hAnsi="Times New Roman"/>
          <w:color w:val="auto"/>
          <w:lang w:val="en-US" w:eastAsia="zh-CN"/>
        </w:rPr>
        <w:t>105~0.151</w:t>
      </w:r>
      <w:r>
        <w:rPr>
          <w:rFonts w:ascii="Times New Roman" w:hAnsi="Times New Roman"/>
          <w:color w:val="auto"/>
        </w:rPr>
        <w:t>mg/L</w:t>
      </w:r>
      <w:r>
        <w:rPr>
          <w:rFonts w:hint="eastAsia" w:ascii="Times New Roman" w:hAnsi="Times New Roman"/>
          <w:color w:val="auto"/>
        </w:rPr>
        <w:t>；硝酸盐监测结果</w:t>
      </w:r>
      <w:r>
        <w:rPr>
          <w:rFonts w:hint="eastAsia" w:ascii="Times New Roman" w:hAnsi="Times New Roman"/>
          <w:color w:val="auto"/>
          <w:lang w:eastAsia="zh-CN"/>
        </w:rPr>
        <w:t>为</w:t>
      </w:r>
      <w:r>
        <w:rPr>
          <w:rFonts w:hint="eastAsia" w:ascii="Times New Roman" w:hAnsi="Times New Roman"/>
          <w:color w:val="auto"/>
          <w:lang w:val="en-US" w:eastAsia="zh-CN"/>
        </w:rPr>
        <w:t>7.11~8.14</w:t>
      </w:r>
      <w:r>
        <w:rPr>
          <w:rFonts w:ascii="Times New Roman" w:hAnsi="Times New Roman"/>
          <w:color w:val="auto"/>
        </w:rPr>
        <w:t>mg/L</w:t>
      </w:r>
      <w:r>
        <w:rPr>
          <w:rFonts w:hint="eastAsia" w:ascii="Times New Roman" w:hAnsi="Times New Roman"/>
          <w:color w:val="auto"/>
        </w:rPr>
        <w:t>；</w:t>
      </w:r>
      <w:r>
        <w:rPr>
          <w:rFonts w:hint="eastAsia" w:ascii="Times New Roman" w:hAnsi="Times New Roman"/>
          <w:color w:val="auto"/>
          <w:lang w:eastAsia="zh-CN"/>
        </w:rPr>
        <w:t>硫酸</w:t>
      </w:r>
      <w:r>
        <w:rPr>
          <w:rFonts w:hint="eastAsia" w:ascii="Times New Roman" w:hAnsi="Times New Roman"/>
          <w:color w:val="auto"/>
        </w:rPr>
        <w:t>盐监测结果</w:t>
      </w:r>
      <w:r>
        <w:rPr>
          <w:rFonts w:hint="eastAsia" w:ascii="Times New Roman" w:hAnsi="Times New Roman"/>
          <w:color w:val="auto"/>
          <w:lang w:eastAsia="zh-CN"/>
        </w:rPr>
        <w:t>为</w:t>
      </w:r>
      <w:r>
        <w:rPr>
          <w:rFonts w:hint="eastAsia" w:ascii="Times New Roman" w:hAnsi="Times New Roman"/>
          <w:color w:val="auto"/>
          <w:lang w:val="en-US" w:eastAsia="zh-CN"/>
        </w:rPr>
        <w:t>74.1~82.1</w:t>
      </w:r>
      <w:r>
        <w:rPr>
          <w:rFonts w:ascii="Times New Roman" w:hAnsi="Times New Roman"/>
          <w:color w:val="auto"/>
        </w:rPr>
        <w:t>mg/L</w:t>
      </w:r>
      <w:r>
        <w:rPr>
          <w:rFonts w:hint="eastAsia" w:ascii="Times New Roman" w:hAnsi="Times New Roman"/>
          <w:color w:val="auto"/>
        </w:rPr>
        <w:t>；</w:t>
      </w:r>
      <w:r>
        <w:rPr>
          <w:rFonts w:hint="eastAsia" w:ascii="Times New Roman" w:hAnsi="Times New Roman"/>
          <w:color w:val="auto"/>
          <w:lang w:eastAsia="zh-CN"/>
        </w:rPr>
        <w:t>溶解性总固体</w:t>
      </w:r>
      <w:r>
        <w:rPr>
          <w:rFonts w:hint="eastAsia" w:ascii="Times New Roman" w:hAnsi="Times New Roman"/>
          <w:color w:val="auto"/>
        </w:rPr>
        <w:t>监测结果</w:t>
      </w:r>
      <w:r>
        <w:rPr>
          <w:rFonts w:hint="eastAsia" w:ascii="Times New Roman" w:hAnsi="Times New Roman"/>
          <w:color w:val="auto"/>
          <w:lang w:eastAsia="zh-CN"/>
        </w:rPr>
        <w:t>为</w:t>
      </w:r>
      <w:r>
        <w:rPr>
          <w:rFonts w:hint="eastAsia" w:ascii="Times New Roman" w:hAnsi="Times New Roman"/>
          <w:color w:val="auto"/>
          <w:lang w:val="en-US" w:eastAsia="zh-CN"/>
        </w:rPr>
        <w:t>308~341</w:t>
      </w:r>
      <w:r>
        <w:rPr>
          <w:rFonts w:ascii="Times New Roman" w:hAnsi="Times New Roman"/>
          <w:color w:val="auto"/>
        </w:rPr>
        <w:t>mg/L</w:t>
      </w:r>
      <w:r>
        <w:rPr>
          <w:rFonts w:hint="eastAsia" w:ascii="Times New Roman" w:hAnsi="Times New Roman"/>
          <w:color w:val="auto"/>
        </w:rPr>
        <w:t>；</w:t>
      </w:r>
      <w:r>
        <w:rPr>
          <w:rFonts w:hint="eastAsia" w:ascii="Times New Roman" w:hAnsi="Times New Roman"/>
          <w:color w:val="auto"/>
          <w:lang w:eastAsia="zh-CN"/>
        </w:rPr>
        <w:t>好氧量</w:t>
      </w:r>
      <w:r>
        <w:rPr>
          <w:rFonts w:hint="eastAsia" w:ascii="Times New Roman" w:hAnsi="Times New Roman"/>
          <w:color w:val="auto"/>
        </w:rPr>
        <w:t>监测结果</w:t>
      </w:r>
      <w:r>
        <w:rPr>
          <w:rFonts w:hint="eastAsia" w:ascii="Times New Roman" w:hAnsi="Times New Roman"/>
          <w:color w:val="auto"/>
          <w:lang w:eastAsia="zh-CN"/>
        </w:rPr>
        <w:t>为</w:t>
      </w:r>
      <w:r>
        <w:rPr>
          <w:rFonts w:hint="eastAsia" w:ascii="Times New Roman" w:hAnsi="Times New Roman"/>
          <w:color w:val="auto"/>
          <w:lang w:val="en-US" w:eastAsia="zh-CN"/>
        </w:rPr>
        <w:t>1.78~2.11</w:t>
      </w:r>
      <w:r>
        <w:rPr>
          <w:rFonts w:ascii="Times New Roman" w:hAnsi="Times New Roman"/>
          <w:color w:val="auto"/>
        </w:rPr>
        <w:t>mg/L</w:t>
      </w:r>
      <w:r>
        <w:rPr>
          <w:rFonts w:hint="eastAsia" w:ascii="Times New Roman" w:hAnsi="Times New Roman"/>
          <w:color w:val="auto"/>
        </w:rPr>
        <w:t>；</w:t>
      </w:r>
      <w:r>
        <w:rPr>
          <w:rFonts w:hint="eastAsia" w:ascii="Times New Roman" w:hAnsi="Times New Roman"/>
          <w:color w:val="auto"/>
          <w:lang w:eastAsia="zh-CN"/>
        </w:rPr>
        <w:t>总硬度监测结果为</w:t>
      </w:r>
      <w:r>
        <w:rPr>
          <w:rFonts w:hint="eastAsia" w:ascii="Times New Roman" w:hAnsi="Times New Roman"/>
          <w:color w:val="auto"/>
          <w:lang w:val="en-US" w:eastAsia="zh-CN"/>
        </w:rPr>
        <w:t>108~128</w:t>
      </w:r>
      <w:r>
        <w:rPr>
          <w:rFonts w:ascii="Times New Roman" w:hAnsi="Times New Roman"/>
          <w:color w:val="auto"/>
        </w:rPr>
        <w:t>mg/L</w:t>
      </w:r>
      <w:r>
        <w:rPr>
          <w:rFonts w:hint="eastAsia" w:ascii="Times New Roman" w:hAnsi="Times New Roman"/>
          <w:color w:val="auto"/>
        </w:rPr>
        <w:t>；</w:t>
      </w:r>
      <w:r>
        <w:rPr>
          <w:rFonts w:hint="eastAsia" w:ascii="Times New Roman" w:hAnsi="Times New Roman"/>
          <w:color w:val="auto"/>
          <w:lang w:eastAsia="zh-CN"/>
        </w:rPr>
        <w:t>氯化物监测结果为</w:t>
      </w:r>
      <w:r>
        <w:rPr>
          <w:rFonts w:hint="eastAsia" w:ascii="Times New Roman" w:hAnsi="Times New Roman"/>
          <w:color w:val="auto"/>
          <w:lang w:val="en-US" w:eastAsia="zh-CN"/>
        </w:rPr>
        <w:t>23.9~26.1</w:t>
      </w:r>
      <w:r>
        <w:rPr>
          <w:rFonts w:ascii="Times New Roman" w:hAnsi="Times New Roman"/>
          <w:color w:val="auto"/>
        </w:rPr>
        <w:t>mg/L</w:t>
      </w:r>
      <w:r>
        <w:rPr>
          <w:rFonts w:hint="eastAsia" w:ascii="Times New Roman" w:hAnsi="Times New Roman"/>
          <w:color w:val="auto"/>
        </w:rPr>
        <w:t>；</w:t>
      </w:r>
      <w:r>
        <w:rPr>
          <w:rFonts w:hint="eastAsia" w:ascii="Times New Roman" w:hAnsi="Times New Roman"/>
          <w:color w:val="auto"/>
          <w:lang w:eastAsia="zh-CN"/>
        </w:rPr>
        <w:t>氟化物</w:t>
      </w:r>
      <w:r>
        <w:rPr>
          <w:rFonts w:hint="eastAsia" w:ascii="Times New Roman" w:hAnsi="Times New Roman"/>
          <w:color w:val="auto"/>
        </w:rPr>
        <w:t>监测结果为</w:t>
      </w:r>
      <w:r>
        <w:rPr>
          <w:rFonts w:hint="eastAsia" w:ascii="Times New Roman" w:hAnsi="Times New Roman"/>
          <w:color w:val="auto"/>
          <w:lang w:val="en-US" w:eastAsia="zh-CN"/>
        </w:rPr>
        <w:t>0.</w:t>
      </w:r>
      <w:r>
        <w:rPr>
          <w:rFonts w:hint="eastAsia"/>
          <w:color w:val="auto"/>
          <w:lang w:val="en-US" w:eastAsia="zh-CN"/>
        </w:rPr>
        <w:t>80</w:t>
      </w:r>
      <w:r>
        <w:rPr>
          <w:rFonts w:hint="eastAsia" w:ascii="Times New Roman" w:hAnsi="Times New Roman"/>
          <w:color w:val="auto"/>
        </w:rPr>
        <w:t>~</w:t>
      </w:r>
      <w:r>
        <w:rPr>
          <w:rFonts w:hint="eastAsia" w:ascii="Times New Roman" w:hAnsi="Times New Roman"/>
          <w:color w:val="auto"/>
          <w:lang w:val="en-US" w:eastAsia="zh-CN"/>
        </w:rPr>
        <w:t>0.</w:t>
      </w:r>
      <w:r>
        <w:rPr>
          <w:rFonts w:hint="eastAsia"/>
          <w:color w:val="auto"/>
          <w:lang w:val="en-US" w:eastAsia="zh-CN"/>
        </w:rPr>
        <w:t>88</w:t>
      </w:r>
      <w:r>
        <w:rPr>
          <w:rFonts w:ascii="Times New Roman" w:hAnsi="Times New Roman"/>
          <w:color w:val="auto"/>
        </w:rPr>
        <w:t>mg/L</w:t>
      </w:r>
      <w:r>
        <w:rPr>
          <w:rFonts w:hint="eastAsia" w:ascii="Times New Roman" w:hAnsi="Times New Roman"/>
          <w:color w:val="auto"/>
        </w:rPr>
        <w:t>；</w:t>
      </w:r>
      <w:r>
        <w:rPr>
          <w:rFonts w:hint="eastAsia" w:ascii="Times New Roman" w:hAnsi="Times New Roman"/>
          <w:color w:val="auto"/>
          <w:lang w:eastAsia="zh-CN"/>
        </w:rPr>
        <w:t>铜的监测结果为</w:t>
      </w:r>
      <w:r>
        <w:rPr>
          <w:rFonts w:hint="eastAsia" w:ascii="Times New Roman" w:hAnsi="Times New Roman"/>
          <w:color w:val="auto"/>
          <w:lang w:val="en-US" w:eastAsia="zh-CN"/>
        </w:rPr>
        <w:t>0.001~0.005</w:t>
      </w:r>
      <w:r>
        <w:rPr>
          <w:rFonts w:ascii="Times New Roman" w:hAnsi="Times New Roman"/>
          <w:color w:val="auto"/>
        </w:rPr>
        <w:t>mg/L</w:t>
      </w:r>
      <w:r>
        <w:rPr>
          <w:rFonts w:hint="eastAsia" w:ascii="Times New Roman" w:hAnsi="Times New Roman"/>
          <w:color w:val="auto"/>
        </w:rPr>
        <w:t>；</w:t>
      </w:r>
      <w:r>
        <w:rPr>
          <w:rFonts w:hint="eastAsia" w:ascii="Times New Roman" w:hAnsi="Times New Roman"/>
          <w:color w:val="auto"/>
          <w:lang w:eastAsia="zh-CN"/>
        </w:rPr>
        <w:t>锌的监测结果为</w:t>
      </w:r>
      <w:r>
        <w:rPr>
          <w:rFonts w:hint="eastAsia" w:ascii="Times New Roman" w:hAnsi="Times New Roman"/>
          <w:color w:val="auto"/>
          <w:lang w:val="en-US" w:eastAsia="zh-CN"/>
        </w:rPr>
        <w:t>0.10~0.12</w:t>
      </w:r>
      <w:r>
        <w:rPr>
          <w:rFonts w:ascii="Times New Roman" w:hAnsi="Times New Roman"/>
          <w:color w:val="auto"/>
        </w:rPr>
        <w:t>mg/L</w:t>
      </w:r>
      <w:r>
        <w:rPr>
          <w:rFonts w:hint="eastAsia" w:ascii="Times New Roman" w:hAnsi="Times New Roman"/>
          <w:color w:val="auto"/>
        </w:rPr>
        <w:t>；</w:t>
      </w:r>
      <w:r>
        <w:rPr>
          <w:rFonts w:hint="eastAsia" w:ascii="Times New Roman" w:hAnsi="Times New Roman"/>
          <w:color w:val="auto"/>
          <w:lang w:eastAsia="zh-CN"/>
        </w:rPr>
        <w:t>砷、铅、</w:t>
      </w:r>
      <w:r>
        <w:rPr>
          <w:rFonts w:hint="eastAsia" w:ascii="Times New Roman" w:hAnsi="Times New Roman"/>
          <w:color w:val="auto"/>
        </w:rPr>
        <w:t>铁</w:t>
      </w:r>
      <w:r>
        <w:rPr>
          <w:rFonts w:hint="eastAsia" w:ascii="Times New Roman" w:hAnsi="Times New Roman"/>
          <w:color w:val="auto"/>
          <w:lang w:eastAsia="zh-CN"/>
        </w:rPr>
        <w:t>、</w:t>
      </w:r>
      <w:r>
        <w:rPr>
          <w:rFonts w:hint="eastAsia" w:ascii="Times New Roman" w:hAnsi="Times New Roman"/>
          <w:color w:val="auto"/>
        </w:rPr>
        <w:t>镉</w:t>
      </w:r>
      <w:r>
        <w:rPr>
          <w:rFonts w:hint="eastAsia" w:ascii="Times New Roman" w:hAnsi="Times New Roman"/>
          <w:color w:val="auto"/>
          <w:lang w:eastAsia="zh-CN"/>
        </w:rPr>
        <w:t>、铬的</w:t>
      </w:r>
      <w:r>
        <w:rPr>
          <w:rFonts w:hint="eastAsia" w:ascii="Times New Roman" w:hAnsi="Times New Roman"/>
          <w:color w:val="auto"/>
        </w:rPr>
        <w:t>监测结果</w:t>
      </w:r>
      <w:r>
        <w:rPr>
          <w:rFonts w:hint="eastAsia" w:ascii="Times New Roman" w:hAnsi="Times New Roman"/>
          <w:color w:val="auto"/>
          <w:lang w:eastAsia="zh-CN"/>
        </w:rPr>
        <w:t>均低于各自的检出限</w:t>
      </w:r>
      <w:r>
        <w:rPr>
          <w:rFonts w:hint="eastAsia" w:ascii="Times New Roman" w:hAnsi="Times New Roman"/>
          <w:color w:val="auto"/>
          <w:szCs w:val="21"/>
        </w:rPr>
        <w:t>。项目厂区地下水</w:t>
      </w:r>
      <w:r>
        <w:rPr>
          <w:rFonts w:hint="eastAsia" w:ascii="Times New Roman" w:hAnsi="Times New Roman"/>
          <w:color w:val="auto"/>
        </w:rPr>
        <w:t>监测井监测结果均满足</w:t>
      </w:r>
      <w:r>
        <w:rPr>
          <w:rFonts w:ascii="Times New Roman" w:hAnsi="Times New Roman"/>
          <w:color w:val="auto"/>
        </w:rPr>
        <w:t>《</w:t>
      </w:r>
      <w:r>
        <w:rPr>
          <w:rFonts w:hint="eastAsia" w:ascii="Times New Roman" w:hAnsi="Times New Roman"/>
          <w:color w:val="auto"/>
        </w:rPr>
        <w:t>地下水质量标准</w:t>
      </w:r>
      <w:r>
        <w:rPr>
          <w:rFonts w:ascii="Times New Roman" w:hAnsi="Times New Roman"/>
          <w:color w:val="auto"/>
        </w:rPr>
        <w:t>》（GB</w:t>
      </w:r>
      <w:r>
        <w:rPr>
          <w:rFonts w:hint="eastAsia" w:ascii="Times New Roman" w:hAnsi="Times New Roman"/>
          <w:color w:val="auto"/>
        </w:rPr>
        <w:t>/T14848</w:t>
      </w:r>
      <w:r>
        <w:rPr>
          <w:rFonts w:ascii="Times New Roman" w:hAnsi="Times New Roman"/>
          <w:color w:val="auto"/>
        </w:rPr>
        <w:t>-20</w:t>
      </w:r>
      <w:r>
        <w:rPr>
          <w:rFonts w:hint="eastAsia" w:ascii="Times New Roman" w:hAnsi="Times New Roman"/>
          <w:color w:val="auto"/>
        </w:rPr>
        <w:t>17</w:t>
      </w:r>
      <w:r>
        <w:rPr>
          <w:rFonts w:ascii="Times New Roman" w:hAnsi="Times New Roman"/>
          <w:color w:val="auto"/>
        </w:rPr>
        <w:t>）表</w:t>
      </w:r>
      <w:r>
        <w:rPr>
          <w:rFonts w:hint="eastAsia" w:ascii="Times New Roman" w:hAnsi="Times New Roman"/>
          <w:color w:val="auto"/>
        </w:rPr>
        <w:t>1中III类</w:t>
      </w:r>
      <w:r>
        <w:rPr>
          <w:rFonts w:ascii="Times New Roman" w:hAnsi="Times New Roman"/>
          <w:color w:val="auto"/>
        </w:rPr>
        <w:t>限值</w:t>
      </w:r>
      <w:r>
        <w:rPr>
          <w:rFonts w:hint="eastAsia" w:ascii="Times New Roman" w:hAnsi="Times New Roman"/>
          <w:color w:val="auto"/>
        </w:rPr>
        <w:t>要求。</w:t>
      </w:r>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sz w:val="28"/>
          <w:szCs w:val="28"/>
        </w:rPr>
      </w:pPr>
      <w:r>
        <w:rPr>
          <w:rFonts w:hint="eastAsia" w:ascii="Times New Roman" w:hAnsi="Times New Roman" w:eastAsia="宋体" w:cs="Times New Roman"/>
          <w:color w:val="auto"/>
          <w:sz w:val="24"/>
          <w:szCs w:val="20"/>
        </w:rPr>
        <w:t>综上所述，</w:t>
      </w:r>
      <w:r>
        <w:rPr>
          <w:rFonts w:hint="eastAsia" w:ascii="Times New Roman" w:hAnsi="Times New Roman" w:eastAsia="宋体" w:cs="Times New Roman"/>
          <w:color w:val="auto"/>
          <w:sz w:val="24"/>
          <w:szCs w:val="20"/>
          <w:lang w:eastAsia="zh-CN"/>
        </w:rPr>
        <w:t>灵璧县建设投资集团有限公司灵璧县一般工业固废填埋处置工程</w:t>
      </w:r>
      <w:r>
        <w:rPr>
          <w:rFonts w:hint="eastAsia" w:ascii="Times New Roman" w:hAnsi="Times New Roman" w:eastAsia="宋体" w:cs="Times New Roman"/>
          <w:color w:val="auto"/>
          <w:sz w:val="24"/>
          <w:szCs w:val="20"/>
        </w:rPr>
        <w:t>较好地执行了环境影响评价制度和环保“三同时”制度，项目建设内容按照环评报告书及相关审批决定要求落实了污染防治措施，主要污染物达标排放，不存在《建设项目竣工环境保护验收暂行办法》中九条不予验收的情形</w:t>
      </w:r>
      <w:r>
        <w:rPr>
          <w:rFonts w:hint="eastAsia" w:ascii="Times New Roman" w:hAnsi="Times New Roman" w:eastAsia="宋体" w:cs="Times New Roman"/>
          <w:color w:val="auto"/>
          <w:sz w:val="24"/>
          <w:szCs w:val="24"/>
        </w:rPr>
        <w:t>。</w:t>
      </w:r>
      <w:r>
        <w:rPr>
          <w:rFonts w:hint="eastAsia" w:ascii="Times New Roman" w:hAnsi="Times New Roman" w:eastAsia="宋体"/>
          <w:sz w:val="24"/>
          <w:szCs w:val="24"/>
        </w:rPr>
        <w:t>同意项目通过竣工环境保护验收。</w:t>
      </w:r>
    </w:p>
    <w:p>
      <w:pPr>
        <w:spacing w:line="520" w:lineRule="exact"/>
        <w:ind w:firstLine="482"/>
        <w:rPr>
          <w:rFonts w:ascii="Times New Roman" w:hAnsi="Times New Roman" w:eastAsia="宋体" w:cs="Times New Roman"/>
          <w:color w:val="auto"/>
          <w:sz w:val="24"/>
          <w:szCs w:val="20"/>
        </w:rPr>
        <w:sectPr>
          <w:pgSz w:w="11906" w:h="16838"/>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p>
    <w:p>
      <w:pPr>
        <w:pStyle w:val="5"/>
        <w:spacing w:before="156" w:after="156" w:line="240" w:lineRule="exact"/>
        <w:jc w:val="center"/>
        <w:rPr>
          <w:rFonts w:ascii="Times New Roman" w:hAnsi="Times New Roman"/>
          <w:color w:val="auto"/>
          <w:sz w:val="24"/>
          <w:szCs w:val="24"/>
        </w:rPr>
      </w:pPr>
      <w:bookmarkStart w:id="181" w:name="_Toc507454909"/>
      <w:bookmarkStart w:id="182" w:name="_Toc13912"/>
      <w:r>
        <w:rPr>
          <w:rFonts w:hint="eastAsia" w:ascii="Times New Roman" w:hAnsi="Times New Roman"/>
          <w:color w:val="auto"/>
          <w:sz w:val="24"/>
          <w:szCs w:val="24"/>
        </w:rPr>
        <w:t>十一、建设项目环境保护“三同时”竣工验收登记表</w:t>
      </w:r>
      <w:bookmarkEnd w:id="181"/>
      <w:bookmarkEnd w:id="182"/>
    </w:p>
    <w:p>
      <w:pPr>
        <w:rPr>
          <w:rFonts w:ascii="Times New Roman" w:hAnsi="Times New Roman"/>
          <w:color w:val="auto"/>
          <w:sz w:val="18"/>
          <w:szCs w:val="18"/>
        </w:rPr>
      </w:pPr>
      <w:r>
        <w:rPr>
          <w:rFonts w:ascii="Times New Roman" w:hAnsi="Times New Roman"/>
          <w:color w:val="auto"/>
          <w:sz w:val="18"/>
          <w:szCs w:val="18"/>
        </w:rPr>
        <w:t>填表单位（盖章）：</w:t>
      </w:r>
      <w:r>
        <w:rPr>
          <w:rFonts w:hint="eastAsia" w:ascii="Times New Roman" w:hAnsi="Times New Roman"/>
          <w:color w:val="auto"/>
          <w:sz w:val="18"/>
          <w:szCs w:val="18"/>
          <w:lang w:eastAsia="zh-CN"/>
        </w:rPr>
        <w:t>灵璧县建设投资集团有限公司</w:t>
      </w:r>
      <w:r>
        <w:rPr>
          <w:rFonts w:hint="eastAsia" w:ascii="Times New Roman" w:hAnsi="Times New Roman"/>
          <w:color w:val="auto"/>
          <w:sz w:val="18"/>
          <w:szCs w:val="18"/>
        </w:rPr>
        <w:t xml:space="preserve">                    </w:t>
      </w:r>
      <w:r>
        <w:rPr>
          <w:rFonts w:ascii="Times New Roman" w:hAnsi="Times New Roman"/>
          <w:color w:val="auto"/>
          <w:sz w:val="18"/>
          <w:szCs w:val="18"/>
        </w:rPr>
        <w:t>填表人（签字）：</w:t>
      </w:r>
      <w:r>
        <w:rPr>
          <w:rFonts w:hint="eastAsia" w:ascii="Times New Roman" w:hAnsi="Times New Roman"/>
          <w:color w:val="auto"/>
          <w:sz w:val="18"/>
          <w:szCs w:val="18"/>
        </w:rPr>
        <w:t xml:space="preserve">                                  </w:t>
      </w:r>
      <w:r>
        <w:rPr>
          <w:rFonts w:ascii="Times New Roman" w:hAnsi="Times New Roman"/>
          <w:color w:val="auto"/>
          <w:sz w:val="18"/>
          <w:szCs w:val="18"/>
        </w:rPr>
        <w:t>项目经办人（签字）：</w:t>
      </w:r>
    </w:p>
    <w:tbl>
      <w:tblPr>
        <w:tblStyle w:val="29"/>
        <w:tblW w:w="1587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30"/>
        <w:gridCol w:w="168"/>
        <w:gridCol w:w="1099"/>
        <w:gridCol w:w="697"/>
        <w:gridCol w:w="828"/>
        <w:gridCol w:w="1379"/>
        <w:gridCol w:w="1097"/>
        <w:gridCol w:w="987"/>
        <w:gridCol w:w="6"/>
        <w:gridCol w:w="379"/>
        <w:gridCol w:w="455"/>
        <w:gridCol w:w="1402"/>
        <w:gridCol w:w="1008"/>
        <w:gridCol w:w="1797"/>
        <w:gridCol w:w="1004"/>
        <w:gridCol w:w="690"/>
        <w:gridCol w:w="554"/>
        <w:gridCol w:w="446"/>
        <w:gridCol w:w="656"/>
        <w:gridCol w:w="79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0" w:type="dxa"/>
            <w:vMerge w:val="restart"/>
            <w:tcMar>
              <w:left w:w="57" w:type="dxa"/>
              <w:right w:w="57" w:type="dxa"/>
            </w:tcMar>
            <w:textDirection w:val="tbRlV"/>
            <w:vAlign w:val="center"/>
          </w:tcPr>
          <w:p>
            <w:pPr>
              <w:keepNext w:val="0"/>
              <w:keepLines w:val="0"/>
              <w:pageBreakBefore w:val="0"/>
              <w:widowControl w:val="0"/>
              <w:kinsoku/>
              <w:wordWrap/>
              <w:overflowPunct/>
              <w:topLinePunct w:val="0"/>
              <w:autoSpaceDE/>
              <w:autoSpaceDN/>
              <w:bidi w:val="0"/>
              <w:adjustRightInd/>
              <w:snapToGrid/>
              <w:spacing w:line="240" w:lineRule="auto"/>
              <w:ind w:left="113" w:right="113"/>
              <w:jc w:val="center"/>
              <w:textAlignment w:val="auto"/>
              <w:rPr>
                <w:rFonts w:ascii="Times New Roman" w:hAnsi="Times New Roman" w:cs="Times New Roman"/>
                <w:b/>
                <w:color w:val="auto"/>
                <w:sz w:val="15"/>
                <w:szCs w:val="15"/>
              </w:rPr>
            </w:pPr>
            <w:r>
              <w:rPr>
                <w:rFonts w:ascii="Times New Roman" w:hAnsi="Times New Roman" w:cs="Times New Roman"/>
                <w:b/>
                <w:color w:val="auto"/>
                <w:sz w:val="15"/>
                <w:szCs w:val="15"/>
              </w:rPr>
              <w:t>建设项目</w:t>
            </w:r>
          </w:p>
        </w:tc>
        <w:tc>
          <w:tcPr>
            <w:tcW w:w="196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r>
              <w:rPr>
                <w:rFonts w:ascii="Times New Roman" w:hAnsi="Times New Roman" w:cs="Times New Roman"/>
                <w:b/>
                <w:color w:val="auto"/>
                <w:sz w:val="15"/>
                <w:szCs w:val="15"/>
              </w:rPr>
              <w:t>项目名称</w:t>
            </w:r>
          </w:p>
        </w:tc>
        <w:tc>
          <w:tcPr>
            <w:tcW w:w="5131" w:type="dxa"/>
            <w:gridSpan w:val="7"/>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color w:val="auto"/>
                <w:sz w:val="15"/>
                <w:szCs w:val="15"/>
                <w:lang w:eastAsia="zh-CN"/>
              </w:rPr>
            </w:pPr>
            <w:r>
              <w:rPr>
                <w:rFonts w:hint="eastAsia" w:ascii="Times New Roman" w:hAnsi="Times New Roman" w:cs="宋体"/>
                <w:bCs/>
                <w:color w:val="auto"/>
                <w:sz w:val="15"/>
                <w:szCs w:val="15"/>
                <w:lang w:eastAsia="zh-CN"/>
              </w:rPr>
              <w:t>灵璧县建设投资集团有限公司灵璧县一般工业固废填埋处置工程</w:t>
            </w:r>
          </w:p>
        </w:tc>
        <w:tc>
          <w:tcPr>
            <w:tcW w:w="2410"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r>
              <w:rPr>
                <w:rFonts w:ascii="Times New Roman" w:hAnsi="Times New Roman" w:cs="Times New Roman"/>
                <w:b/>
                <w:color w:val="auto"/>
                <w:sz w:val="15"/>
                <w:szCs w:val="15"/>
              </w:rPr>
              <w:t>项目代码</w:t>
            </w:r>
          </w:p>
        </w:tc>
        <w:tc>
          <w:tcPr>
            <w:tcW w:w="1797"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r>
              <w:rPr>
                <w:rFonts w:ascii="Times New Roman" w:hAnsi="Times New Roman" w:cs="Times New Roman"/>
                <w:color w:val="auto"/>
                <w:sz w:val="15"/>
                <w:szCs w:val="15"/>
              </w:rPr>
              <w:t>/</w:t>
            </w:r>
          </w:p>
        </w:tc>
        <w:tc>
          <w:tcPr>
            <w:tcW w:w="1694"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r>
              <w:rPr>
                <w:rFonts w:ascii="Times New Roman" w:hAnsi="Times New Roman" w:cs="Times New Roman"/>
                <w:b/>
                <w:color w:val="auto"/>
                <w:sz w:val="15"/>
                <w:szCs w:val="15"/>
              </w:rPr>
              <w:t>建设地点</w:t>
            </w:r>
          </w:p>
        </w:tc>
        <w:tc>
          <w:tcPr>
            <w:tcW w:w="2450" w:type="dxa"/>
            <w:gridSpan w:val="4"/>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color w:val="auto"/>
                <w:kern w:val="0"/>
                <w:sz w:val="15"/>
                <w:szCs w:val="15"/>
                <w:lang w:eastAsia="zh-CN"/>
              </w:rPr>
            </w:pPr>
            <w:r>
              <w:rPr>
                <w:rFonts w:hint="eastAsia" w:ascii="Times New Roman" w:hAnsi="Times New Roman" w:cs="Times New Roman"/>
                <w:color w:val="auto"/>
                <w:kern w:val="0"/>
                <w:sz w:val="15"/>
                <w:szCs w:val="15"/>
                <w:lang w:eastAsia="zh-CN"/>
              </w:rPr>
              <w:t>灵璧县虞姬乡三山矿坑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0" w:type="dxa"/>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p>
        </w:tc>
        <w:tc>
          <w:tcPr>
            <w:tcW w:w="196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r>
              <w:rPr>
                <w:rFonts w:ascii="Times New Roman" w:hAnsi="Times New Roman" w:cs="Times New Roman"/>
                <w:b/>
                <w:color w:val="auto"/>
                <w:sz w:val="15"/>
                <w:szCs w:val="15"/>
              </w:rPr>
              <w:t>行业类别（分类管理名录）</w:t>
            </w:r>
          </w:p>
        </w:tc>
        <w:tc>
          <w:tcPr>
            <w:tcW w:w="5131" w:type="dxa"/>
            <w:gridSpan w:val="7"/>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Cs/>
                <w:color w:val="auto"/>
                <w:sz w:val="15"/>
                <w:szCs w:val="15"/>
              </w:rPr>
            </w:pPr>
            <w:r>
              <w:rPr>
                <w:rFonts w:hint="eastAsia" w:ascii="Times New Roman" w:hAnsi="Times New Roman" w:cs="宋体"/>
                <w:bCs/>
                <w:color w:val="auto"/>
                <w:sz w:val="15"/>
                <w:szCs w:val="15"/>
                <w:lang w:eastAsia="zh-CN"/>
              </w:rPr>
              <w:t>N7723固体废物治理</w:t>
            </w:r>
          </w:p>
        </w:tc>
        <w:tc>
          <w:tcPr>
            <w:tcW w:w="2410"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r>
              <w:rPr>
                <w:rFonts w:ascii="Times New Roman" w:hAnsi="Times New Roman" w:cs="Times New Roman"/>
                <w:b/>
                <w:color w:val="auto"/>
                <w:sz w:val="15"/>
                <w:szCs w:val="15"/>
              </w:rPr>
              <w:t>建设性质</w:t>
            </w:r>
          </w:p>
        </w:tc>
        <w:tc>
          <w:tcPr>
            <w:tcW w:w="3491"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r>
              <w:rPr>
                <w:rFonts w:ascii="Times New Roman" w:hAnsi="Times New Roman" w:cs="Times New Roman"/>
                <w:b/>
                <w:color w:val="auto"/>
                <w:sz w:val="15"/>
                <w:szCs w:val="15"/>
              </w:rPr>
              <w:fldChar w:fldCharType="begin"/>
            </w:r>
            <w:r>
              <w:rPr>
                <w:rFonts w:ascii="Times New Roman" w:hAnsi="Times New Roman" w:cs="Times New Roman"/>
                <w:b/>
                <w:color w:val="auto"/>
                <w:sz w:val="15"/>
                <w:szCs w:val="15"/>
              </w:rPr>
              <w:instrText xml:space="preserve">eq \o\ac(□,</w:instrText>
            </w:r>
            <w:r>
              <w:rPr>
                <w:rFonts w:ascii="Times New Roman" w:hAnsi="Times New Roman" w:cs="Times New Roman"/>
                <w:b/>
                <w:color w:val="auto"/>
                <w:position w:val="1"/>
                <w:sz w:val="8"/>
                <w:szCs w:val="15"/>
              </w:rPr>
              <w:instrText xml:space="preserve">√</w:instrText>
            </w:r>
            <w:r>
              <w:rPr>
                <w:rFonts w:ascii="Times New Roman" w:hAnsi="Times New Roman" w:cs="Times New Roman"/>
                <w:b/>
                <w:color w:val="auto"/>
                <w:sz w:val="15"/>
                <w:szCs w:val="15"/>
              </w:rPr>
              <w:instrText xml:space="preserve">)</w:instrText>
            </w:r>
            <w:r>
              <w:rPr>
                <w:rFonts w:ascii="Times New Roman" w:hAnsi="Times New Roman" w:cs="Times New Roman"/>
                <w:b/>
                <w:color w:val="auto"/>
                <w:sz w:val="15"/>
                <w:szCs w:val="15"/>
              </w:rPr>
              <w:fldChar w:fldCharType="end"/>
            </w:r>
            <w:r>
              <w:rPr>
                <w:rFonts w:ascii="Times New Roman" w:hAnsi="Times New Roman" w:cs="Times New Roman"/>
                <w:b/>
                <w:color w:val="auto"/>
                <w:sz w:val="15"/>
                <w:szCs w:val="15"/>
              </w:rPr>
              <w:t>新建  □改扩建  □技术改造</w:t>
            </w:r>
          </w:p>
        </w:tc>
        <w:tc>
          <w:tcPr>
            <w:tcW w:w="1000"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r>
              <w:rPr>
                <w:rFonts w:ascii="Times New Roman" w:hAnsi="Times New Roman" w:cs="Times New Roman"/>
                <w:b/>
                <w:color w:val="auto"/>
                <w:sz w:val="15"/>
                <w:szCs w:val="15"/>
              </w:rPr>
              <w:t>项目厂区中心经度/纬度</w:t>
            </w:r>
          </w:p>
        </w:tc>
        <w:tc>
          <w:tcPr>
            <w:tcW w:w="1450"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r>
              <w:rPr>
                <w:rFonts w:hint="eastAsia" w:ascii="Times New Roman" w:hAnsi="Times New Roman" w:cs="Times New Roman"/>
                <w:color w:val="auto"/>
                <w:sz w:val="15"/>
                <w:szCs w:val="15"/>
              </w:rPr>
              <w:t>E117.639756</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r>
              <w:rPr>
                <w:rFonts w:hint="eastAsia" w:ascii="Times New Roman" w:hAnsi="Times New Roman" w:cs="Times New Roman"/>
                <w:color w:val="auto"/>
                <w:sz w:val="15"/>
                <w:szCs w:val="15"/>
              </w:rPr>
              <w:t>N 33.568825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0" w:type="dxa"/>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p>
        </w:tc>
        <w:tc>
          <w:tcPr>
            <w:tcW w:w="196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r>
              <w:rPr>
                <w:rFonts w:ascii="Times New Roman" w:hAnsi="Times New Roman" w:cs="Times New Roman"/>
                <w:b/>
                <w:color w:val="auto"/>
                <w:sz w:val="15"/>
                <w:szCs w:val="15"/>
              </w:rPr>
              <w:t>设计生产能力</w:t>
            </w:r>
          </w:p>
        </w:tc>
        <w:tc>
          <w:tcPr>
            <w:tcW w:w="5131" w:type="dxa"/>
            <w:gridSpan w:val="7"/>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Cs/>
                <w:color w:val="auto"/>
                <w:sz w:val="15"/>
                <w:szCs w:val="15"/>
              </w:rPr>
            </w:pPr>
            <w:r>
              <w:rPr>
                <w:rFonts w:hint="eastAsia" w:ascii="Times New Roman" w:hAnsi="Times New Roman" w:cs="宋体"/>
                <w:bCs/>
                <w:color w:val="auto"/>
                <w:sz w:val="15"/>
                <w:szCs w:val="15"/>
              </w:rPr>
              <w:t>设计总库容约15万m</w:t>
            </w:r>
            <w:r>
              <w:rPr>
                <w:rFonts w:hint="eastAsia" w:ascii="Times New Roman" w:hAnsi="Times New Roman" w:cs="宋体"/>
                <w:bCs/>
                <w:color w:val="auto"/>
                <w:sz w:val="15"/>
                <w:szCs w:val="15"/>
                <w:vertAlign w:val="superscript"/>
              </w:rPr>
              <w:t>3</w:t>
            </w:r>
          </w:p>
        </w:tc>
        <w:tc>
          <w:tcPr>
            <w:tcW w:w="2410"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r>
              <w:rPr>
                <w:rFonts w:ascii="Times New Roman" w:hAnsi="Times New Roman" w:cs="Times New Roman"/>
                <w:b/>
                <w:color w:val="auto"/>
                <w:sz w:val="15"/>
                <w:szCs w:val="15"/>
              </w:rPr>
              <w:t>实际生产能力</w:t>
            </w:r>
          </w:p>
        </w:tc>
        <w:tc>
          <w:tcPr>
            <w:tcW w:w="1797"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r>
              <w:rPr>
                <w:rFonts w:hint="eastAsia" w:ascii="Times New Roman" w:hAnsi="Times New Roman" w:cs="宋体"/>
                <w:bCs/>
                <w:color w:val="auto"/>
                <w:sz w:val="15"/>
                <w:szCs w:val="15"/>
                <w:lang w:eastAsia="zh-CN"/>
              </w:rPr>
              <w:t>实际</w:t>
            </w:r>
            <w:r>
              <w:rPr>
                <w:rFonts w:hint="eastAsia" w:ascii="Times New Roman" w:hAnsi="Times New Roman" w:cs="宋体"/>
                <w:bCs/>
                <w:color w:val="auto"/>
                <w:sz w:val="15"/>
                <w:szCs w:val="15"/>
              </w:rPr>
              <w:t>总库容</w:t>
            </w:r>
            <w:r>
              <w:rPr>
                <w:rFonts w:hint="eastAsia" w:ascii="Times New Roman" w:hAnsi="Times New Roman" w:cs="宋体"/>
                <w:bCs/>
                <w:color w:val="auto"/>
                <w:sz w:val="15"/>
                <w:szCs w:val="15"/>
                <w:lang w:val="en-US" w:eastAsia="zh-CN"/>
              </w:rPr>
              <w:t>14.8</w:t>
            </w:r>
            <w:r>
              <w:rPr>
                <w:rFonts w:hint="eastAsia" w:ascii="Times New Roman" w:hAnsi="Times New Roman" w:cs="宋体"/>
                <w:bCs/>
                <w:color w:val="auto"/>
                <w:sz w:val="15"/>
                <w:szCs w:val="15"/>
              </w:rPr>
              <w:t>万m</w:t>
            </w:r>
            <w:r>
              <w:rPr>
                <w:rFonts w:hint="eastAsia" w:ascii="Times New Roman" w:hAnsi="Times New Roman" w:cs="宋体"/>
                <w:bCs/>
                <w:color w:val="auto"/>
                <w:sz w:val="15"/>
                <w:szCs w:val="15"/>
                <w:vertAlign w:val="superscript"/>
              </w:rPr>
              <w:t>3</w:t>
            </w:r>
          </w:p>
        </w:tc>
        <w:tc>
          <w:tcPr>
            <w:tcW w:w="1694"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r>
              <w:rPr>
                <w:rFonts w:ascii="Times New Roman" w:hAnsi="Times New Roman" w:cs="Times New Roman"/>
                <w:b/>
                <w:color w:val="auto"/>
                <w:sz w:val="15"/>
                <w:szCs w:val="15"/>
              </w:rPr>
              <w:t>环评单位</w:t>
            </w:r>
          </w:p>
        </w:tc>
        <w:tc>
          <w:tcPr>
            <w:tcW w:w="2450" w:type="dxa"/>
            <w:gridSpan w:val="4"/>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color w:val="auto"/>
                <w:sz w:val="15"/>
                <w:szCs w:val="15"/>
                <w:lang w:eastAsia="zh-CN"/>
              </w:rPr>
            </w:pPr>
            <w:r>
              <w:rPr>
                <w:rFonts w:hint="eastAsia" w:ascii="Times New Roman" w:hAnsi="Times New Roman" w:cs="Times New Roman"/>
                <w:color w:val="auto"/>
                <w:sz w:val="15"/>
                <w:szCs w:val="15"/>
                <w:lang w:eastAsia="zh-CN"/>
              </w:rPr>
              <w:t>安徽子善环境科技有限公司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0" w:type="dxa"/>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p>
        </w:tc>
        <w:tc>
          <w:tcPr>
            <w:tcW w:w="196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r>
              <w:rPr>
                <w:rFonts w:ascii="Times New Roman" w:hAnsi="Times New Roman" w:cs="Times New Roman"/>
                <w:b/>
                <w:color w:val="auto"/>
                <w:sz w:val="15"/>
                <w:szCs w:val="15"/>
              </w:rPr>
              <w:t>环评文件批复机关</w:t>
            </w:r>
          </w:p>
        </w:tc>
        <w:tc>
          <w:tcPr>
            <w:tcW w:w="5131" w:type="dxa"/>
            <w:gridSpan w:val="7"/>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r>
              <w:rPr>
                <w:rFonts w:hint="eastAsia" w:ascii="Times New Roman" w:hAnsi="Times New Roman" w:cs="Times New Roman"/>
                <w:color w:val="auto"/>
                <w:sz w:val="15"/>
                <w:szCs w:val="15"/>
                <w:lang w:eastAsia="zh-CN"/>
              </w:rPr>
              <w:t>宿州市灵璧县</w:t>
            </w:r>
            <w:r>
              <w:rPr>
                <w:rFonts w:hint="eastAsia" w:ascii="Times New Roman" w:hAnsi="Times New Roman" w:cs="Times New Roman"/>
                <w:color w:val="auto"/>
                <w:sz w:val="15"/>
                <w:szCs w:val="15"/>
              </w:rPr>
              <w:t>生态环境</w:t>
            </w:r>
            <w:r>
              <w:rPr>
                <w:rFonts w:hint="eastAsia" w:ascii="Times New Roman" w:hAnsi="Times New Roman" w:cs="Times New Roman"/>
                <w:color w:val="auto"/>
                <w:sz w:val="15"/>
                <w:szCs w:val="15"/>
                <w:lang w:eastAsia="zh-CN"/>
              </w:rPr>
              <w:t>分</w:t>
            </w:r>
            <w:r>
              <w:rPr>
                <w:rFonts w:hint="eastAsia" w:ascii="Times New Roman" w:hAnsi="Times New Roman" w:cs="Times New Roman"/>
                <w:color w:val="auto"/>
                <w:sz w:val="15"/>
                <w:szCs w:val="15"/>
              </w:rPr>
              <w:t>局</w:t>
            </w:r>
          </w:p>
        </w:tc>
        <w:tc>
          <w:tcPr>
            <w:tcW w:w="2410"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r>
              <w:rPr>
                <w:rFonts w:ascii="Times New Roman" w:hAnsi="Times New Roman" w:cs="Times New Roman"/>
                <w:b/>
                <w:color w:val="auto"/>
                <w:sz w:val="15"/>
                <w:szCs w:val="15"/>
              </w:rPr>
              <w:t>批复文号</w:t>
            </w:r>
          </w:p>
        </w:tc>
        <w:tc>
          <w:tcPr>
            <w:tcW w:w="1797"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r>
              <w:rPr>
                <w:rFonts w:hint="eastAsia" w:ascii="Times New Roman" w:hAnsi="Times New Roman" w:cs="Times New Roman"/>
                <w:color w:val="auto"/>
                <w:sz w:val="15"/>
                <w:szCs w:val="15"/>
              </w:rPr>
              <w:t>灵环建[2020]36号</w:t>
            </w:r>
          </w:p>
        </w:tc>
        <w:tc>
          <w:tcPr>
            <w:tcW w:w="1694"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r>
              <w:rPr>
                <w:rFonts w:ascii="Times New Roman" w:hAnsi="Times New Roman" w:cs="Times New Roman"/>
                <w:b/>
                <w:color w:val="auto"/>
                <w:sz w:val="15"/>
                <w:szCs w:val="15"/>
              </w:rPr>
              <w:t>环评文件类型</w:t>
            </w:r>
          </w:p>
        </w:tc>
        <w:tc>
          <w:tcPr>
            <w:tcW w:w="2450" w:type="dxa"/>
            <w:gridSpan w:val="4"/>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r>
              <w:rPr>
                <w:rFonts w:ascii="Times New Roman" w:hAnsi="Times New Roman" w:cs="Times New Roman"/>
                <w:color w:val="auto"/>
                <w:sz w:val="15"/>
                <w:szCs w:val="15"/>
              </w:rPr>
              <w:t>报告书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0" w:type="dxa"/>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p>
        </w:tc>
        <w:tc>
          <w:tcPr>
            <w:tcW w:w="196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r>
              <w:rPr>
                <w:rFonts w:ascii="Times New Roman" w:hAnsi="Times New Roman" w:cs="Times New Roman"/>
                <w:b/>
                <w:color w:val="auto"/>
                <w:sz w:val="15"/>
                <w:szCs w:val="15"/>
              </w:rPr>
              <w:t>开工日期</w:t>
            </w:r>
          </w:p>
        </w:tc>
        <w:tc>
          <w:tcPr>
            <w:tcW w:w="5131" w:type="dxa"/>
            <w:gridSpan w:val="7"/>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5"/>
                <w:szCs w:val="15"/>
                <w:lang w:val="en-US" w:eastAsia="zh-CN"/>
              </w:rPr>
            </w:pPr>
            <w:r>
              <w:rPr>
                <w:rFonts w:hint="eastAsia" w:ascii="Times New Roman" w:hAnsi="Times New Roman" w:cs="Times New Roman"/>
                <w:color w:val="auto"/>
                <w:sz w:val="15"/>
                <w:szCs w:val="15"/>
                <w:lang w:val="en-US" w:eastAsia="zh-CN"/>
              </w:rPr>
              <w:t>2020年9月</w:t>
            </w:r>
          </w:p>
        </w:tc>
        <w:tc>
          <w:tcPr>
            <w:tcW w:w="2410"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r>
              <w:rPr>
                <w:rFonts w:ascii="Times New Roman" w:hAnsi="Times New Roman" w:cs="Times New Roman"/>
                <w:b/>
                <w:color w:val="auto"/>
                <w:sz w:val="15"/>
                <w:szCs w:val="15"/>
              </w:rPr>
              <w:t>竣工日期</w:t>
            </w:r>
          </w:p>
        </w:tc>
        <w:tc>
          <w:tcPr>
            <w:tcW w:w="1797"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5"/>
                <w:szCs w:val="15"/>
                <w:lang w:val="en-US" w:eastAsia="zh-CN"/>
              </w:rPr>
            </w:pPr>
            <w:r>
              <w:rPr>
                <w:rFonts w:hint="eastAsia" w:ascii="Times New Roman" w:hAnsi="Times New Roman" w:cs="Times New Roman"/>
                <w:color w:val="auto"/>
                <w:sz w:val="15"/>
                <w:szCs w:val="15"/>
                <w:lang w:val="en-US" w:eastAsia="zh-CN"/>
              </w:rPr>
              <w:t>2020年10月</w:t>
            </w:r>
          </w:p>
        </w:tc>
        <w:tc>
          <w:tcPr>
            <w:tcW w:w="1694"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r>
              <w:rPr>
                <w:rFonts w:ascii="Times New Roman" w:hAnsi="Times New Roman" w:cs="Times New Roman"/>
                <w:b/>
                <w:color w:val="auto"/>
                <w:sz w:val="15"/>
                <w:szCs w:val="15"/>
              </w:rPr>
              <w:t>排污许可证申领时间</w:t>
            </w:r>
          </w:p>
        </w:tc>
        <w:tc>
          <w:tcPr>
            <w:tcW w:w="2450" w:type="dxa"/>
            <w:gridSpan w:val="4"/>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r>
              <w:rPr>
                <w:rFonts w:hint="eastAsia" w:ascii="Times New Roman" w:hAnsi="Times New Roman" w:cs="Times New Roman"/>
                <w:color w:val="auto"/>
                <w:sz w:val="15"/>
                <w:szCs w:val="15"/>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0" w:type="dxa"/>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p>
        </w:tc>
        <w:tc>
          <w:tcPr>
            <w:tcW w:w="196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r>
              <w:rPr>
                <w:rFonts w:ascii="Times New Roman" w:hAnsi="Times New Roman" w:cs="Times New Roman"/>
                <w:b/>
                <w:color w:val="auto"/>
                <w:sz w:val="15"/>
                <w:szCs w:val="15"/>
              </w:rPr>
              <w:t>环保设施设计单位</w:t>
            </w:r>
          </w:p>
        </w:tc>
        <w:tc>
          <w:tcPr>
            <w:tcW w:w="5131" w:type="dxa"/>
            <w:gridSpan w:val="7"/>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r>
              <w:rPr>
                <w:rFonts w:hint="eastAsia" w:ascii="Times New Roman" w:hAnsi="Times New Roman" w:cs="Times New Roman"/>
                <w:color w:val="auto"/>
                <w:sz w:val="15"/>
                <w:szCs w:val="15"/>
              </w:rPr>
              <w:t>/</w:t>
            </w:r>
          </w:p>
        </w:tc>
        <w:tc>
          <w:tcPr>
            <w:tcW w:w="2410"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r>
              <w:rPr>
                <w:rFonts w:ascii="Times New Roman" w:hAnsi="Times New Roman" w:cs="Times New Roman"/>
                <w:b/>
                <w:color w:val="auto"/>
                <w:sz w:val="15"/>
                <w:szCs w:val="15"/>
              </w:rPr>
              <w:t>环保设施施工单位</w:t>
            </w:r>
          </w:p>
        </w:tc>
        <w:tc>
          <w:tcPr>
            <w:tcW w:w="1797"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r>
              <w:rPr>
                <w:rFonts w:hint="eastAsia" w:ascii="Times New Roman" w:hAnsi="Times New Roman" w:cs="Times New Roman"/>
                <w:color w:val="auto"/>
                <w:sz w:val="15"/>
                <w:szCs w:val="15"/>
              </w:rPr>
              <w:t>中国十七冶集团有限公司</w:t>
            </w:r>
          </w:p>
        </w:tc>
        <w:tc>
          <w:tcPr>
            <w:tcW w:w="1694"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r>
              <w:rPr>
                <w:rFonts w:ascii="Times New Roman" w:hAnsi="Times New Roman" w:cs="Times New Roman"/>
                <w:b/>
                <w:color w:val="auto"/>
                <w:sz w:val="15"/>
                <w:szCs w:val="15"/>
              </w:rPr>
              <w:t>本工程排污许可证编号</w:t>
            </w:r>
          </w:p>
        </w:tc>
        <w:tc>
          <w:tcPr>
            <w:tcW w:w="2450" w:type="dxa"/>
            <w:gridSpan w:val="4"/>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color w:val="auto"/>
                <w:sz w:val="15"/>
                <w:szCs w:val="15"/>
                <w:lang w:val="en-US" w:eastAsia="zh-CN"/>
              </w:rPr>
            </w:pPr>
            <w:r>
              <w:rPr>
                <w:rFonts w:hint="eastAsia" w:ascii="Times New Roman" w:hAnsi="Times New Roman" w:cs="Times New Roman"/>
                <w:color w:val="auto"/>
                <w:sz w:val="15"/>
                <w:szCs w:val="15"/>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0" w:type="dxa"/>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p>
        </w:tc>
        <w:tc>
          <w:tcPr>
            <w:tcW w:w="196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r>
              <w:rPr>
                <w:rFonts w:ascii="Times New Roman" w:hAnsi="Times New Roman" w:cs="Times New Roman"/>
                <w:b/>
                <w:color w:val="auto"/>
                <w:sz w:val="15"/>
                <w:szCs w:val="15"/>
              </w:rPr>
              <w:t>验收单位</w:t>
            </w:r>
          </w:p>
        </w:tc>
        <w:tc>
          <w:tcPr>
            <w:tcW w:w="5131" w:type="dxa"/>
            <w:gridSpan w:val="7"/>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b/>
                <w:color w:val="auto"/>
                <w:sz w:val="15"/>
                <w:szCs w:val="15"/>
                <w:lang w:eastAsia="zh-CN"/>
              </w:rPr>
            </w:pPr>
            <w:r>
              <w:rPr>
                <w:rFonts w:hint="eastAsia" w:ascii="Times New Roman" w:hAnsi="Times New Roman" w:cs="宋体"/>
                <w:bCs/>
                <w:color w:val="auto"/>
                <w:sz w:val="15"/>
                <w:szCs w:val="15"/>
                <w:lang w:eastAsia="zh-CN"/>
              </w:rPr>
              <w:t>灵璧县建设投资集团有限公司</w:t>
            </w:r>
          </w:p>
        </w:tc>
        <w:tc>
          <w:tcPr>
            <w:tcW w:w="2410"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r>
              <w:rPr>
                <w:rFonts w:ascii="Times New Roman" w:hAnsi="Times New Roman" w:cs="Times New Roman"/>
                <w:b/>
                <w:color w:val="auto"/>
                <w:sz w:val="15"/>
                <w:szCs w:val="15"/>
              </w:rPr>
              <w:t>环保设施监测单位</w:t>
            </w:r>
          </w:p>
        </w:tc>
        <w:tc>
          <w:tcPr>
            <w:tcW w:w="1797"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color w:val="auto"/>
                <w:sz w:val="15"/>
                <w:szCs w:val="15"/>
                <w:lang w:eastAsia="zh-CN"/>
              </w:rPr>
            </w:pPr>
            <w:r>
              <w:rPr>
                <w:rFonts w:hint="eastAsia" w:ascii="Times New Roman" w:hAnsi="Times New Roman" w:cs="Times New Roman" w:eastAsiaTheme="minorEastAsia"/>
                <w:color w:val="auto"/>
                <w:sz w:val="15"/>
                <w:szCs w:val="15"/>
                <w:lang w:eastAsia="zh-CN"/>
              </w:rPr>
              <w:t>安徽尚德谱检测技术有限责任公司</w:t>
            </w:r>
          </w:p>
        </w:tc>
        <w:tc>
          <w:tcPr>
            <w:tcW w:w="1694"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r>
              <w:rPr>
                <w:rFonts w:ascii="Times New Roman" w:hAnsi="Times New Roman" w:cs="Times New Roman"/>
                <w:b/>
                <w:color w:val="auto"/>
                <w:sz w:val="15"/>
                <w:szCs w:val="15"/>
              </w:rPr>
              <w:t>验收监测时工况</w:t>
            </w:r>
          </w:p>
        </w:tc>
        <w:tc>
          <w:tcPr>
            <w:tcW w:w="2450" w:type="dxa"/>
            <w:gridSpan w:val="4"/>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color w:val="auto"/>
                <w:sz w:val="15"/>
                <w:szCs w:val="15"/>
                <w:lang w:val="en-US" w:eastAsia="zh-CN"/>
              </w:rPr>
            </w:pPr>
            <w:r>
              <w:rPr>
                <w:rFonts w:hint="eastAsia" w:ascii="Times New Roman" w:hAnsi="Times New Roman" w:cs="Times New Roman"/>
                <w:color w:val="auto"/>
                <w:sz w:val="15"/>
                <w:szCs w:val="15"/>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0" w:type="dxa"/>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p>
        </w:tc>
        <w:tc>
          <w:tcPr>
            <w:tcW w:w="196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r>
              <w:rPr>
                <w:rFonts w:ascii="Times New Roman" w:hAnsi="Times New Roman" w:cs="Times New Roman"/>
                <w:b/>
                <w:color w:val="auto"/>
                <w:sz w:val="15"/>
                <w:szCs w:val="15"/>
              </w:rPr>
              <w:t>投资总概算（万元）</w:t>
            </w:r>
          </w:p>
        </w:tc>
        <w:tc>
          <w:tcPr>
            <w:tcW w:w="5131" w:type="dxa"/>
            <w:gridSpan w:val="7"/>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0"/>
                <w:sz w:val="15"/>
                <w:szCs w:val="15"/>
                <w:lang w:val="en-US" w:eastAsia="zh-CN"/>
              </w:rPr>
            </w:pPr>
            <w:r>
              <w:rPr>
                <w:rFonts w:hint="eastAsia" w:ascii="Times New Roman" w:hAnsi="Times New Roman" w:cs="Times New Roman"/>
                <w:color w:val="auto"/>
                <w:kern w:val="0"/>
                <w:sz w:val="15"/>
                <w:szCs w:val="15"/>
                <w:lang w:val="en-US" w:eastAsia="zh-CN"/>
              </w:rPr>
              <w:t>1414.15</w:t>
            </w:r>
          </w:p>
        </w:tc>
        <w:tc>
          <w:tcPr>
            <w:tcW w:w="2410" w:type="dxa"/>
            <w:gridSpan w:val="2"/>
            <w:tcMar>
              <w:left w:w="57" w:type="dxa"/>
              <w:right w:w="57" w:type="dxa"/>
            </w:tcMar>
            <w:vAlign w:val="center"/>
          </w:tcPr>
          <w:p>
            <w:pPr>
              <w:keepNext w:val="0"/>
              <w:keepLines w:val="0"/>
              <w:pageBreakBefore w:val="0"/>
              <w:widowControl w:val="0"/>
              <w:tabs>
                <w:tab w:val="left" w:pos="690"/>
              </w:tabs>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r>
              <w:rPr>
                <w:rFonts w:ascii="Times New Roman" w:hAnsi="Times New Roman" w:cs="Times New Roman"/>
                <w:b/>
                <w:color w:val="auto"/>
                <w:sz w:val="15"/>
                <w:szCs w:val="15"/>
              </w:rPr>
              <w:t>环保投资总概算（万元）</w:t>
            </w:r>
          </w:p>
        </w:tc>
        <w:tc>
          <w:tcPr>
            <w:tcW w:w="1797"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5"/>
                <w:szCs w:val="15"/>
                <w:lang w:val="en-US" w:eastAsia="zh-CN"/>
              </w:rPr>
            </w:pPr>
            <w:r>
              <w:rPr>
                <w:rFonts w:hint="eastAsia" w:ascii="Times New Roman" w:hAnsi="Times New Roman" w:cs="Times New Roman"/>
                <w:color w:val="auto"/>
                <w:sz w:val="15"/>
                <w:szCs w:val="15"/>
                <w:lang w:val="en-US" w:eastAsia="zh-CN"/>
              </w:rPr>
              <w:t>200</w:t>
            </w:r>
          </w:p>
        </w:tc>
        <w:tc>
          <w:tcPr>
            <w:tcW w:w="1694" w:type="dxa"/>
            <w:gridSpan w:val="2"/>
            <w:tcMar>
              <w:left w:w="57" w:type="dxa"/>
              <w:right w:w="57" w:type="dxa"/>
            </w:tcMar>
            <w:vAlign w:val="center"/>
          </w:tcPr>
          <w:p>
            <w:pPr>
              <w:keepNext w:val="0"/>
              <w:keepLines w:val="0"/>
              <w:pageBreakBefore w:val="0"/>
              <w:widowControl w:val="0"/>
              <w:tabs>
                <w:tab w:val="left" w:pos="690"/>
              </w:tabs>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r>
              <w:rPr>
                <w:rFonts w:ascii="Times New Roman" w:hAnsi="Times New Roman" w:cs="Times New Roman"/>
                <w:b/>
                <w:color w:val="auto"/>
                <w:sz w:val="15"/>
                <w:szCs w:val="15"/>
              </w:rPr>
              <w:t>所占比例（%）</w:t>
            </w:r>
          </w:p>
        </w:tc>
        <w:tc>
          <w:tcPr>
            <w:tcW w:w="2450" w:type="dxa"/>
            <w:gridSpan w:val="4"/>
            <w:tcMar>
              <w:left w:w="57" w:type="dxa"/>
              <w:right w:w="57" w:type="dxa"/>
            </w:tcMar>
            <w:vAlign w:val="center"/>
          </w:tcPr>
          <w:p>
            <w:pPr>
              <w:keepNext w:val="0"/>
              <w:keepLines w:val="0"/>
              <w:pageBreakBefore w:val="0"/>
              <w:widowControl w:val="0"/>
              <w:tabs>
                <w:tab w:val="left" w:pos="690"/>
              </w:tabs>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5"/>
                <w:szCs w:val="15"/>
                <w:lang w:val="en-US" w:eastAsia="zh-CN"/>
              </w:rPr>
            </w:pPr>
            <w:r>
              <w:rPr>
                <w:rFonts w:hint="eastAsia" w:ascii="Times New Roman" w:hAnsi="Times New Roman" w:cs="Times New Roman"/>
                <w:color w:val="auto"/>
                <w:sz w:val="15"/>
                <w:szCs w:val="15"/>
                <w:lang w:val="en-US" w:eastAsia="zh-CN"/>
              </w:rPr>
              <w:t>14.1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0" w:type="dxa"/>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p>
        </w:tc>
        <w:tc>
          <w:tcPr>
            <w:tcW w:w="196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r>
              <w:rPr>
                <w:rFonts w:ascii="Times New Roman" w:hAnsi="Times New Roman" w:cs="Times New Roman"/>
                <w:b/>
                <w:color w:val="auto"/>
                <w:sz w:val="15"/>
                <w:szCs w:val="15"/>
              </w:rPr>
              <w:t>实际总投资</w:t>
            </w:r>
          </w:p>
        </w:tc>
        <w:tc>
          <w:tcPr>
            <w:tcW w:w="5131" w:type="dxa"/>
            <w:gridSpan w:val="7"/>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5"/>
                <w:szCs w:val="15"/>
                <w:lang w:val="en-US"/>
              </w:rPr>
            </w:pPr>
            <w:r>
              <w:rPr>
                <w:rFonts w:hint="eastAsia" w:ascii="Times New Roman" w:hAnsi="Times New Roman" w:cs="Times New Roman"/>
                <w:color w:val="auto"/>
                <w:kern w:val="0"/>
                <w:sz w:val="15"/>
                <w:szCs w:val="15"/>
                <w:lang w:val="en-US" w:eastAsia="zh-CN"/>
              </w:rPr>
              <w:t>2400</w:t>
            </w:r>
          </w:p>
        </w:tc>
        <w:tc>
          <w:tcPr>
            <w:tcW w:w="2410"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right="300"/>
              <w:jc w:val="center"/>
              <w:textAlignment w:val="auto"/>
              <w:rPr>
                <w:rFonts w:ascii="Times New Roman" w:hAnsi="Times New Roman" w:cs="Times New Roman"/>
                <w:b/>
                <w:color w:val="auto"/>
                <w:sz w:val="15"/>
                <w:szCs w:val="15"/>
              </w:rPr>
            </w:pPr>
            <w:r>
              <w:rPr>
                <w:rFonts w:ascii="Times New Roman" w:hAnsi="Times New Roman" w:cs="Times New Roman"/>
                <w:b/>
                <w:color w:val="auto"/>
                <w:sz w:val="15"/>
                <w:szCs w:val="15"/>
              </w:rPr>
              <w:t>实际环保投资（万元）</w:t>
            </w:r>
          </w:p>
        </w:tc>
        <w:tc>
          <w:tcPr>
            <w:tcW w:w="1797"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5"/>
                <w:szCs w:val="15"/>
                <w:lang w:val="en-US" w:eastAsia="zh-CN"/>
              </w:rPr>
            </w:pPr>
            <w:r>
              <w:rPr>
                <w:rFonts w:hint="eastAsia" w:ascii="Times New Roman" w:hAnsi="Times New Roman" w:cs="Times New Roman"/>
                <w:color w:val="auto"/>
                <w:sz w:val="15"/>
                <w:szCs w:val="15"/>
                <w:lang w:val="en-US" w:eastAsia="zh-CN"/>
              </w:rPr>
              <w:t>172</w:t>
            </w:r>
          </w:p>
        </w:tc>
        <w:tc>
          <w:tcPr>
            <w:tcW w:w="1694"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r>
              <w:rPr>
                <w:rFonts w:ascii="Times New Roman" w:hAnsi="Times New Roman" w:cs="Times New Roman"/>
                <w:b/>
                <w:color w:val="auto"/>
                <w:sz w:val="15"/>
                <w:szCs w:val="15"/>
              </w:rPr>
              <w:t>所占比例（%）</w:t>
            </w:r>
          </w:p>
        </w:tc>
        <w:tc>
          <w:tcPr>
            <w:tcW w:w="2450" w:type="dxa"/>
            <w:gridSpan w:val="4"/>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5"/>
                <w:szCs w:val="15"/>
                <w:lang w:val="en-US" w:eastAsia="zh-CN"/>
              </w:rPr>
            </w:pPr>
            <w:r>
              <w:rPr>
                <w:rFonts w:hint="eastAsia" w:ascii="Times New Roman" w:hAnsi="Times New Roman" w:cs="Times New Roman"/>
                <w:color w:val="auto"/>
                <w:sz w:val="15"/>
                <w:szCs w:val="15"/>
                <w:lang w:val="en-US" w:eastAsia="zh-CN"/>
              </w:rPr>
              <w:t>7.17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0" w:type="dxa"/>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p>
        </w:tc>
        <w:tc>
          <w:tcPr>
            <w:tcW w:w="196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r>
              <w:rPr>
                <w:rFonts w:ascii="Times New Roman" w:hAnsi="Times New Roman" w:cs="Times New Roman"/>
                <w:b/>
                <w:color w:val="auto"/>
                <w:sz w:val="15"/>
                <w:szCs w:val="15"/>
              </w:rPr>
              <w:t>废水治理（万元）</w:t>
            </w:r>
          </w:p>
        </w:tc>
        <w:tc>
          <w:tcPr>
            <w:tcW w:w="828"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r>
              <w:rPr>
                <w:rFonts w:hint="eastAsia" w:ascii="Times New Roman" w:hAnsi="Times New Roman" w:cs="Times New Roman"/>
                <w:color w:val="auto"/>
                <w:sz w:val="15"/>
                <w:szCs w:val="15"/>
              </w:rPr>
              <w:t>/</w:t>
            </w:r>
          </w:p>
        </w:tc>
        <w:tc>
          <w:tcPr>
            <w:tcW w:w="1379"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r>
              <w:rPr>
                <w:rFonts w:ascii="Times New Roman" w:hAnsi="Times New Roman" w:cs="Times New Roman"/>
                <w:b/>
                <w:color w:val="auto"/>
                <w:sz w:val="15"/>
                <w:szCs w:val="15"/>
              </w:rPr>
              <w:t>废气治理（万元）</w:t>
            </w:r>
          </w:p>
        </w:tc>
        <w:tc>
          <w:tcPr>
            <w:tcW w:w="1097"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5"/>
                <w:szCs w:val="15"/>
                <w:lang w:val="en-US" w:eastAsia="zh-CN"/>
              </w:rPr>
            </w:pPr>
            <w:r>
              <w:rPr>
                <w:rFonts w:hint="eastAsia" w:ascii="Times New Roman" w:hAnsi="Times New Roman" w:cs="Times New Roman"/>
                <w:color w:val="auto"/>
                <w:sz w:val="15"/>
                <w:szCs w:val="15"/>
                <w:lang w:val="en-US" w:eastAsia="zh-CN"/>
              </w:rPr>
              <w:t>10</w:t>
            </w:r>
          </w:p>
        </w:tc>
        <w:tc>
          <w:tcPr>
            <w:tcW w:w="1372"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r>
              <w:rPr>
                <w:rFonts w:ascii="Times New Roman" w:hAnsi="Times New Roman" w:cs="Times New Roman"/>
                <w:b/>
                <w:color w:val="auto"/>
                <w:sz w:val="15"/>
                <w:szCs w:val="15"/>
              </w:rPr>
              <w:t>噪声治理（万元）</w:t>
            </w:r>
          </w:p>
        </w:tc>
        <w:tc>
          <w:tcPr>
            <w:tcW w:w="45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p>
        </w:tc>
        <w:tc>
          <w:tcPr>
            <w:tcW w:w="2410"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r>
              <w:rPr>
                <w:rFonts w:ascii="Times New Roman" w:hAnsi="Times New Roman" w:cs="Times New Roman"/>
                <w:b/>
                <w:color w:val="auto"/>
                <w:sz w:val="15"/>
                <w:szCs w:val="15"/>
              </w:rPr>
              <w:t>固体废物治理（万元）</w:t>
            </w:r>
          </w:p>
        </w:tc>
        <w:tc>
          <w:tcPr>
            <w:tcW w:w="1797"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r>
              <w:rPr>
                <w:rFonts w:hint="eastAsia" w:ascii="Times New Roman" w:hAnsi="Times New Roman" w:cs="Times New Roman"/>
                <w:color w:val="auto"/>
                <w:sz w:val="15"/>
                <w:szCs w:val="15"/>
              </w:rPr>
              <w:t>/</w:t>
            </w:r>
          </w:p>
        </w:tc>
        <w:tc>
          <w:tcPr>
            <w:tcW w:w="1694"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r>
              <w:rPr>
                <w:rFonts w:ascii="Times New Roman" w:hAnsi="Times New Roman" w:cs="Times New Roman"/>
                <w:b/>
                <w:color w:val="auto"/>
                <w:sz w:val="15"/>
                <w:szCs w:val="15"/>
              </w:rPr>
              <w:t>绿化及生态（万元）</w:t>
            </w:r>
          </w:p>
        </w:tc>
        <w:tc>
          <w:tcPr>
            <w:tcW w:w="554"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r>
              <w:rPr>
                <w:rFonts w:hint="eastAsia" w:ascii="Times New Roman" w:hAnsi="Times New Roman" w:cs="Times New Roman"/>
                <w:color w:val="auto"/>
                <w:sz w:val="15"/>
                <w:szCs w:val="15"/>
              </w:rPr>
              <w:t>/</w:t>
            </w:r>
          </w:p>
        </w:tc>
        <w:tc>
          <w:tcPr>
            <w:tcW w:w="1102"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r>
              <w:rPr>
                <w:rFonts w:ascii="Times New Roman" w:hAnsi="Times New Roman" w:cs="Times New Roman"/>
                <w:b/>
                <w:color w:val="auto"/>
                <w:sz w:val="15"/>
                <w:szCs w:val="15"/>
              </w:rPr>
              <w:t>其他（万元）</w:t>
            </w:r>
          </w:p>
        </w:tc>
        <w:tc>
          <w:tcPr>
            <w:tcW w:w="794"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0" w:type="dxa"/>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p>
        </w:tc>
        <w:tc>
          <w:tcPr>
            <w:tcW w:w="196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r>
              <w:rPr>
                <w:rFonts w:ascii="Times New Roman" w:hAnsi="Times New Roman" w:cs="Times New Roman"/>
                <w:b/>
                <w:color w:val="auto"/>
                <w:sz w:val="15"/>
                <w:szCs w:val="15"/>
              </w:rPr>
              <w:t>新增废水处理设施能力</w:t>
            </w:r>
          </w:p>
        </w:tc>
        <w:tc>
          <w:tcPr>
            <w:tcW w:w="5131" w:type="dxa"/>
            <w:gridSpan w:val="7"/>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r>
              <w:rPr>
                <w:rFonts w:hint="eastAsia" w:ascii="Times New Roman" w:hAnsi="Times New Roman" w:cs="Times New Roman"/>
                <w:color w:val="auto"/>
                <w:sz w:val="15"/>
                <w:szCs w:val="15"/>
              </w:rPr>
              <w:t>/</w:t>
            </w:r>
          </w:p>
        </w:tc>
        <w:tc>
          <w:tcPr>
            <w:tcW w:w="2410"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r>
              <w:rPr>
                <w:rFonts w:ascii="Times New Roman" w:hAnsi="Times New Roman" w:cs="Times New Roman"/>
                <w:b/>
                <w:color w:val="auto"/>
                <w:sz w:val="15"/>
                <w:szCs w:val="15"/>
              </w:rPr>
              <w:t>新增废气处理设施能力</w:t>
            </w:r>
          </w:p>
        </w:tc>
        <w:tc>
          <w:tcPr>
            <w:tcW w:w="1797"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r>
              <w:rPr>
                <w:rFonts w:ascii="Times New Roman" w:hAnsi="Times New Roman" w:cs="Times New Roman"/>
                <w:color w:val="auto"/>
                <w:sz w:val="15"/>
                <w:szCs w:val="15"/>
              </w:rPr>
              <w:t>/</w:t>
            </w:r>
          </w:p>
        </w:tc>
        <w:tc>
          <w:tcPr>
            <w:tcW w:w="1694"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r>
              <w:rPr>
                <w:rFonts w:ascii="Times New Roman" w:hAnsi="Times New Roman" w:cs="Times New Roman"/>
                <w:b/>
                <w:color w:val="auto"/>
                <w:sz w:val="15"/>
                <w:szCs w:val="15"/>
              </w:rPr>
              <w:t>年平均工作时</w:t>
            </w:r>
          </w:p>
        </w:tc>
        <w:tc>
          <w:tcPr>
            <w:tcW w:w="2450" w:type="dxa"/>
            <w:gridSpan w:val="4"/>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r>
              <w:rPr>
                <w:rFonts w:hint="eastAsia" w:ascii="Times New Roman" w:hAnsi="Times New Roman" w:cs="Times New Roman"/>
                <w:color w:val="auto"/>
                <w:sz w:val="15"/>
                <w:szCs w:val="15"/>
                <w:lang w:val="en-US" w:eastAsia="zh-CN"/>
              </w:rPr>
              <w:t>8760</w:t>
            </w:r>
            <w:r>
              <w:rPr>
                <w:rFonts w:hint="eastAsia" w:ascii="Times New Roman" w:hAnsi="Times New Roman" w:cs="Times New Roman"/>
                <w:color w:val="auto"/>
                <w:sz w:val="15"/>
                <w:szCs w:val="15"/>
              </w:rPr>
              <w:t>h</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394" w:type="dxa"/>
            <w:gridSpan w:val="4"/>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r>
              <w:rPr>
                <w:rFonts w:ascii="Times New Roman" w:hAnsi="Times New Roman" w:cs="Times New Roman"/>
                <w:b/>
                <w:color w:val="auto"/>
                <w:sz w:val="15"/>
                <w:szCs w:val="15"/>
              </w:rPr>
              <w:t>运营单位</w:t>
            </w:r>
          </w:p>
        </w:tc>
        <w:tc>
          <w:tcPr>
            <w:tcW w:w="4291" w:type="dxa"/>
            <w:gridSpan w:val="4"/>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color w:val="auto"/>
                <w:sz w:val="15"/>
                <w:szCs w:val="15"/>
                <w:lang w:eastAsia="zh-CN"/>
              </w:rPr>
            </w:pPr>
            <w:r>
              <w:rPr>
                <w:rFonts w:hint="eastAsia" w:ascii="Times New Roman" w:hAnsi="Times New Roman" w:cs="宋体"/>
                <w:bCs/>
                <w:color w:val="auto"/>
                <w:sz w:val="15"/>
                <w:szCs w:val="15"/>
                <w:lang w:eastAsia="zh-CN"/>
              </w:rPr>
              <w:t>灵璧县建设投资集</w:t>
            </w:r>
            <w:bookmarkStart w:id="189" w:name="_GoBack"/>
            <w:bookmarkEnd w:id="189"/>
            <w:r>
              <w:rPr>
                <w:rFonts w:hint="eastAsia" w:ascii="Times New Roman" w:hAnsi="Times New Roman" w:cs="宋体"/>
                <w:bCs/>
                <w:color w:val="auto"/>
                <w:sz w:val="15"/>
                <w:szCs w:val="15"/>
                <w:lang w:eastAsia="zh-CN"/>
              </w:rPr>
              <w:t>团有限公司</w:t>
            </w:r>
          </w:p>
        </w:tc>
        <w:tc>
          <w:tcPr>
            <w:tcW w:w="3250" w:type="dxa"/>
            <w:gridSpan w:val="5"/>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r>
              <w:rPr>
                <w:rFonts w:ascii="Times New Roman" w:hAnsi="Times New Roman" w:cs="Times New Roman"/>
                <w:b/>
                <w:color w:val="auto"/>
                <w:sz w:val="15"/>
                <w:szCs w:val="15"/>
              </w:rPr>
              <w:t>运营单位社会统一信用代码（或组织机构代码）</w:t>
            </w:r>
          </w:p>
        </w:tc>
        <w:tc>
          <w:tcPr>
            <w:tcW w:w="1797"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57" w:leftChars="-27" w:right="-57" w:rightChars="-27"/>
              <w:jc w:val="center"/>
              <w:textAlignment w:val="auto"/>
              <w:rPr>
                <w:rFonts w:ascii="Times New Roman" w:hAnsi="Times New Roman" w:cs="Times New Roman"/>
                <w:color w:val="auto"/>
                <w:sz w:val="15"/>
                <w:szCs w:val="15"/>
              </w:rPr>
            </w:pPr>
            <w:r>
              <w:rPr>
                <w:rFonts w:hint="eastAsia" w:ascii="Times New Roman" w:hAnsi="Times New Roman" w:eastAsia="微软雅黑" w:cs="Times New Roman"/>
                <w:color w:val="auto"/>
                <w:sz w:val="15"/>
                <w:szCs w:val="15"/>
                <w:shd w:val="clear" w:color="auto" w:fill="FFFFFF"/>
              </w:rPr>
              <w:t>9134132378858117XQ（1-2）</w:t>
            </w:r>
          </w:p>
        </w:tc>
        <w:tc>
          <w:tcPr>
            <w:tcW w:w="1694"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r>
              <w:rPr>
                <w:rFonts w:ascii="Times New Roman" w:hAnsi="Times New Roman" w:cs="Times New Roman"/>
                <w:b/>
                <w:color w:val="auto"/>
                <w:sz w:val="15"/>
                <w:szCs w:val="15"/>
              </w:rPr>
              <w:t>验收时间</w:t>
            </w:r>
          </w:p>
        </w:tc>
        <w:tc>
          <w:tcPr>
            <w:tcW w:w="2450" w:type="dxa"/>
            <w:gridSpan w:val="4"/>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5"/>
                <w:szCs w:val="15"/>
                <w:lang w:val="en-US" w:eastAsia="zh-CN"/>
              </w:rPr>
            </w:pPr>
            <w:r>
              <w:rPr>
                <w:rFonts w:hint="eastAsia" w:ascii="Times New Roman" w:hAnsi="Times New Roman" w:cs="Times New Roman"/>
                <w:color w:val="auto"/>
                <w:sz w:val="15"/>
                <w:szCs w:val="15"/>
              </w:rPr>
              <w:t>2020.</w:t>
            </w:r>
            <w:r>
              <w:rPr>
                <w:rFonts w:hint="eastAsia" w:ascii="Times New Roman" w:hAnsi="Times New Roman" w:cs="Times New Roman"/>
                <w:color w:val="auto"/>
                <w:sz w:val="15"/>
                <w:szCs w:val="15"/>
                <w:lang w:val="en-US" w:eastAsia="zh-CN"/>
              </w:rPr>
              <w:t>10</w:t>
            </w:r>
            <w:r>
              <w:rPr>
                <w:rFonts w:hint="eastAsia" w:ascii="Times New Roman" w:hAnsi="Times New Roman" w:cs="Times New Roman"/>
                <w:color w:val="auto"/>
                <w:sz w:val="15"/>
                <w:szCs w:val="15"/>
              </w:rPr>
              <w:t>.</w:t>
            </w:r>
            <w:r>
              <w:rPr>
                <w:rFonts w:hint="eastAsia" w:ascii="Times New Roman" w:hAnsi="Times New Roman" w:cs="Times New Roman"/>
                <w:color w:val="auto"/>
                <w:sz w:val="15"/>
                <w:szCs w:val="15"/>
                <w:lang w:val="en-US" w:eastAsia="zh-CN"/>
              </w:rPr>
              <w:t>23</w:t>
            </w:r>
            <w:r>
              <w:rPr>
                <w:rFonts w:hint="eastAsia" w:ascii="Times New Roman" w:hAnsi="Times New Roman" w:cs="Times New Roman"/>
                <w:color w:val="auto"/>
                <w:sz w:val="15"/>
                <w:szCs w:val="15"/>
              </w:rPr>
              <w:t>~</w:t>
            </w:r>
            <w:r>
              <w:rPr>
                <w:rFonts w:hint="eastAsia" w:ascii="Times New Roman" w:hAnsi="Times New Roman" w:cs="Times New Roman"/>
                <w:color w:val="auto"/>
                <w:sz w:val="15"/>
                <w:szCs w:val="15"/>
                <w:lang w:val="en-US" w:eastAsia="zh-CN"/>
              </w:rPr>
              <w:t>10</w:t>
            </w:r>
            <w:r>
              <w:rPr>
                <w:rFonts w:hint="eastAsia" w:ascii="Times New Roman" w:hAnsi="Times New Roman" w:cs="Times New Roman"/>
                <w:color w:val="auto"/>
                <w:sz w:val="15"/>
                <w:szCs w:val="15"/>
              </w:rPr>
              <w:t>.</w:t>
            </w:r>
            <w:r>
              <w:rPr>
                <w:rFonts w:hint="eastAsia" w:ascii="Times New Roman" w:hAnsi="Times New Roman" w:cs="Times New Roman"/>
                <w:color w:val="auto"/>
                <w:sz w:val="15"/>
                <w:szCs w:val="15"/>
                <w:lang w:val="en-US" w:eastAsia="zh-CN"/>
              </w:rPr>
              <w:t>24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98" w:type="dxa"/>
            <w:gridSpan w:val="2"/>
            <w:vMerge w:val="restart"/>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黑体" w:cs="Times New Roman"/>
                <w:b/>
                <w:color w:val="auto"/>
                <w:spacing w:val="20"/>
                <w:sz w:val="15"/>
                <w:szCs w:val="15"/>
              </w:rPr>
            </w:pPr>
            <w:r>
              <w:rPr>
                <w:rFonts w:ascii="Times New Roman" w:hAnsi="Times New Roman" w:eastAsia="黑体" w:cs="Times New Roman"/>
                <w:b/>
                <w:color w:val="auto"/>
                <w:spacing w:val="20"/>
                <w:sz w:val="15"/>
                <w:szCs w:val="15"/>
              </w:rPr>
              <w:t>污染</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黑体" w:cs="Times New Roman"/>
                <w:b/>
                <w:color w:val="auto"/>
                <w:spacing w:val="20"/>
                <w:sz w:val="15"/>
                <w:szCs w:val="15"/>
              </w:rPr>
            </w:pPr>
            <w:r>
              <w:rPr>
                <w:rFonts w:ascii="Times New Roman" w:hAnsi="Times New Roman" w:eastAsia="黑体" w:cs="Times New Roman"/>
                <w:b/>
                <w:color w:val="auto"/>
                <w:spacing w:val="20"/>
                <w:sz w:val="15"/>
                <w:szCs w:val="15"/>
              </w:rPr>
              <w:t>物排</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黑体" w:cs="Times New Roman"/>
                <w:b/>
                <w:color w:val="auto"/>
                <w:spacing w:val="20"/>
                <w:sz w:val="15"/>
                <w:szCs w:val="15"/>
              </w:rPr>
            </w:pPr>
            <w:r>
              <w:rPr>
                <w:rFonts w:ascii="Times New Roman" w:hAnsi="Times New Roman" w:eastAsia="黑体" w:cs="Times New Roman"/>
                <w:b/>
                <w:color w:val="auto"/>
                <w:spacing w:val="20"/>
                <w:sz w:val="15"/>
                <w:szCs w:val="15"/>
              </w:rPr>
              <w:t>放达</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黑体" w:cs="Times New Roman"/>
                <w:b/>
                <w:color w:val="auto"/>
                <w:spacing w:val="20"/>
                <w:sz w:val="15"/>
                <w:szCs w:val="15"/>
              </w:rPr>
            </w:pPr>
            <w:r>
              <w:rPr>
                <w:rFonts w:ascii="Times New Roman" w:hAnsi="Times New Roman" w:eastAsia="黑体" w:cs="Times New Roman"/>
                <w:b/>
                <w:color w:val="auto"/>
                <w:spacing w:val="20"/>
                <w:sz w:val="15"/>
                <w:szCs w:val="15"/>
              </w:rPr>
              <w:t>标与</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黑体" w:cs="Times New Roman"/>
                <w:b/>
                <w:color w:val="auto"/>
                <w:spacing w:val="20"/>
                <w:sz w:val="15"/>
                <w:szCs w:val="15"/>
              </w:rPr>
            </w:pPr>
            <w:r>
              <w:rPr>
                <w:rFonts w:ascii="Times New Roman" w:hAnsi="Times New Roman" w:eastAsia="黑体" w:cs="Times New Roman"/>
                <w:b/>
                <w:color w:val="auto"/>
                <w:spacing w:val="20"/>
                <w:sz w:val="15"/>
                <w:szCs w:val="15"/>
              </w:rPr>
              <w:t>总量</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黑体" w:cs="Times New Roman"/>
                <w:b/>
                <w:color w:val="auto"/>
                <w:spacing w:val="20"/>
                <w:sz w:val="15"/>
                <w:szCs w:val="15"/>
              </w:rPr>
            </w:pPr>
            <w:r>
              <w:rPr>
                <w:rFonts w:ascii="Times New Roman" w:hAnsi="Times New Roman" w:eastAsia="黑体" w:cs="Times New Roman"/>
                <w:b/>
                <w:color w:val="auto"/>
                <w:spacing w:val="20"/>
                <w:sz w:val="15"/>
                <w:szCs w:val="15"/>
              </w:rPr>
              <w:t>控制</w:t>
            </w:r>
          </w:p>
        </w:tc>
        <w:tc>
          <w:tcPr>
            <w:tcW w:w="1796"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r>
              <w:rPr>
                <w:rFonts w:ascii="Times New Roman" w:hAnsi="Times New Roman" w:cs="Times New Roman"/>
                <w:b/>
                <w:color w:val="auto"/>
                <w:sz w:val="15"/>
                <w:szCs w:val="15"/>
              </w:rPr>
              <w:t>污染物</w:t>
            </w:r>
          </w:p>
        </w:tc>
        <w:tc>
          <w:tcPr>
            <w:tcW w:w="828"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r>
              <w:rPr>
                <w:rFonts w:ascii="Times New Roman" w:hAnsi="Times New Roman" w:cs="Times New Roman"/>
                <w:b/>
                <w:color w:val="auto"/>
                <w:sz w:val="15"/>
                <w:szCs w:val="15"/>
              </w:rPr>
              <w:t>原有排</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r>
              <w:rPr>
                <w:rFonts w:ascii="Times New Roman" w:hAnsi="Times New Roman" w:cs="Times New Roman"/>
                <w:b/>
                <w:color w:val="auto"/>
                <w:sz w:val="15"/>
                <w:szCs w:val="15"/>
              </w:rPr>
              <w:t>放量(1)</w:t>
            </w:r>
          </w:p>
        </w:tc>
        <w:tc>
          <w:tcPr>
            <w:tcW w:w="1379"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r>
              <w:rPr>
                <w:rFonts w:ascii="Times New Roman" w:hAnsi="Times New Roman" w:cs="Times New Roman"/>
                <w:b/>
                <w:color w:val="auto"/>
                <w:sz w:val="15"/>
                <w:szCs w:val="15"/>
              </w:rPr>
              <w:t>本期工程实际排放浓度(2)</w:t>
            </w:r>
          </w:p>
        </w:tc>
        <w:tc>
          <w:tcPr>
            <w:tcW w:w="1097"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r>
              <w:rPr>
                <w:rFonts w:ascii="Times New Roman" w:hAnsi="Times New Roman" w:cs="Times New Roman"/>
                <w:b/>
                <w:color w:val="auto"/>
                <w:sz w:val="15"/>
                <w:szCs w:val="15"/>
              </w:rPr>
              <w:t>本期工程允许排放浓度(3)</w:t>
            </w:r>
          </w:p>
        </w:tc>
        <w:tc>
          <w:tcPr>
            <w:tcW w:w="993"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r>
              <w:rPr>
                <w:rFonts w:ascii="Times New Roman" w:hAnsi="Times New Roman" w:cs="Times New Roman"/>
                <w:b/>
                <w:color w:val="auto"/>
                <w:sz w:val="15"/>
                <w:szCs w:val="15"/>
              </w:rPr>
              <w:t>本期工程产生量(4)</w:t>
            </w:r>
          </w:p>
        </w:tc>
        <w:tc>
          <w:tcPr>
            <w:tcW w:w="834"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r>
              <w:rPr>
                <w:rFonts w:ascii="Times New Roman" w:hAnsi="Times New Roman" w:cs="Times New Roman"/>
                <w:b/>
                <w:color w:val="auto"/>
                <w:sz w:val="15"/>
                <w:szCs w:val="15"/>
              </w:rPr>
              <w:t>本期工程自身削减量(5)</w:t>
            </w:r>
          </w:p>
        </w:tc>
        <w:tc>
          <w:tcPr>
            <w:tcW w:w="1402"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r>
              <w:rPr>
                <w:rFonts w:ascii="Times New Roman" w:hAnsi="Times New Roman" w:cs="Times New Roman"/>
                <w:b/>
                <w:color w:val="auto"/>
                <w:sz w:val="15"/>
                <w:szCs w:val="15"/>
              </w:rPr>
              <w:t>本期工程实际排放量(6)</w:t>
            </w:r>
          </w:p>
        </w:tc>
        <w:tc>
          <w:tcPr>
            <w:tcW w:w="1008"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r>
              <w:rPr>
                <w:rFonts w:ascii="Times New Roman" w:hAnsi="Times New Roman" w:cs="Times New Roman"/>
                <w:b/>
                <w:color w:val="auto"/>
                <w:sz w:val="15"/>
                <w:szCs w:val="15"/>
              </w:rPr>
              <w:t>本期工程核定排放总量(7)</w:t>
            </w:r>
          </w:p>
        </w:tc>
        <w:tc>
          <w:tcPr>
            <w:tcW w:w="1797"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r>
              <w:rPr>
                <w:rFonts w:ascii="Times New Roman" w:hAnsi="Times New Roman" w:cs="Times New Roman"/>
                <w:b/>
                <w:color w:val="auto"/>
                <w:sz w:val="15"/>
                <w:szCs w:val="15"/>
              </w:rPr>
              <w:t>本期工程“以新带老”削减量(8)</w:t>
            </w:r>
          </w:p>
        </w:tc>
        <w:tc>
          <w:tcPr>
            <w:tcW w:w="1004"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r>
              <w:rPr>
                <w:rFonts w:ascii="Times New Roman" w:hAnsi="Times New Roman" w:cs="Times New Roman"/>
                <w:b/>
                <w:color w:val="auto"/>
                <w:sz w:val="15"/>
                <w:szCs w:val="15"/>
              </w:rPr>
              <w:t>全厂实际排放总量(9)</w:t>
            </w:r>
          </w:p>
        </w:tc>
        <w:tc>
          <w:tcPr>
            <w:tcW w:w="1244"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r>
              <w:rPr>
                <w:rFonts w:ascii="Times New Roman" w:hAnsi="Times New Roman" w:cs="Times New Roman"/>
                <w:b/>
                <w:color w:val="auto"/>
                <w:sz w:val="15"/>
                <w:szCs w:val="15"/>
              </w:rPr>
              <w:t>全厂核定排放总量(10)</w:t>
            </w:r>
          </w:p>
        </w:tc>
        <w:tc>
          <w:tcPr>
            <w:tcW w:w="1102"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r>
              <w:rPr>
                <w:rFonts w:ascii="Times New Roman" w:hAnsi="Times New Roman" w:cs="Times New Roman"/>
                <w:b/>
                <w:color w:val="auto"/>
                <w:sz w:val="15"/>
                <w:szCs w:val="15"/>
              </w:rPr>
              <w:t>区域平衡替代削减量(11)</w:t>
            </w:r>
          </w:p>
        </w:tc>
        <w:tc>
          <w:tcPr>
            <w:tcW w:w="794"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r>
              <w:rPr>
                <w:rFonts w:ascii="Times New Roman" w:hAnsi="Times New Roman" w:cs="Times New Roman"/>
                <w:b/>
                <w:color w:val="auto"/>
                <w:sz w:val="15"/>
                <w:szCs w:val="15"/>
              </w:rPr>
              <w:t>排放增减量(12)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98" w:type="dxa"/>
            <w:gridSpan w:val="2"/>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p>
        </w:tc>
        <w:tc>
          <w:tcPr>
            <w:tcW w:w="1099" w:type="dxa"/>
            <w:vMerge w:val="restart"/>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r>
              <w:rPr>
                <w:rFonts w:ascii="Times New Roman" w:hAnsi="Times New Roman" w:cs="Times New Roman"/>
                <w:b/>
                <w:color w:val="auto"/>
                <w:sz w:val="15"/>
                <w:szCs w:val="15"/>
              </w:rPr>
              <w:t>与项目有关的其他特征污染物</w:t>
            </w:r>
          </w:p>
        </w:tc>
        <w:tc>
          <w:tcPr>
            <w:tcW w:w="697"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r>
              <w:rPr>
                <w:rFonts w:hint="eastAsia" w:ascii="Times New Roman" w:hAnsi="Times New Roman" w:cs="Times New Roman"/>
                <w:b/>
                <w:color w:val="auto"/>
                <w:sz w:val="15"/>
                <w:szCs w:val="15"/>
              </w:rPr>
              <w:t>VOCs</w:t>
            </w:r>
          </w:p>
        </w:tc>
        <w:tc>
          <w:tcPr>
            <w:tcW w:w="828"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p>
        </w:tc>
        <w:tc>
          <w:tcPr>
            <w:tcW w:w="1379"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p>
        </w:tc>
        <w:tc>
          <w:tcPr>
            <w:tcW w:w="1097"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p>
        </w:tc>
        <w:tc>
          <w:tcPr>
            <w:tcW w:w="993"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p>
        </w:tc>
        <w:tc>
          <w:tcPr>
            <w:tcW w:w="834"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p>
        </w:tc>
        <w:tc>
          <w:tcPr>
            <w:tcW w:w="1402"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p>
        </w:tc>
        <w:tc>
          <w:tcPr>
            <w:tcW w:w="1008"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p>
        </w:tc>
        <w:tc>
          <w:tcPr>
            <w:tcW w:w="1797"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p>
        </w:tc>
        <w:tc>
          <w:tcPr>
            <w:tcW w:w="1004"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p>
        </w:tc>
        <w:tc>
          <w:tcPr>
            <w:tcW w:w="1244"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p>
        </w:tc>
        <w:tc>
          <w:tcPr>
            <w:tcW w:w="1102"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p>
        </w:tc>
        <w:tc>
          <w:tcPr>
            <w:tcW w:w="794"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98" w:type="dxa"/>
            <w:gridSpan w:val="2"/>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p>
        </w:tc>
        <w:tc>
          <w:tcPr>
            <w:tcW w:w="1099" w:type="dxa"/>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p>
        </w:tc>
        <w:tc>
          <w:tcPr>
            <w:tcW w:w="697"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p>
        </w:tc>
        <w:tc>
          <w:tcPr>
            <w:tcW w:w="828"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p>
        </w:tc>
        <w:tc>
          <w:tcPr>
            <w:tcW w:w="1379"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p>
        </w:tc>
        <w:tc>
          <w:tcPr>
            <w:tcW w:w="1097"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p>
        </w:tc>
        <w:tc>
          <w:tcPr>
            <w:tcW w:w="993"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p>
        </w:tc>
        <w:tc>
          <w:tcPr>
            <w:tcW w:w="834"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p>
        </w:tc>
        <w:tc>
          <w:tcPr>
            <w:tcW w:w="1402"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p>
        </w:tc>
        <w:tc>
          <w:tcPr>
            <w:tcW w:w="1008"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color w:val="auto"/>
                <w:sz w:val="15"/>
                <w:szCs w:val="15"/>
              </w:rPr>
            </w:pPr>
          </w:p>
        </w:tc>
        <w:tc>
          <w:tcPr>
            <w:tcW w:w="1797"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p>
        </w:tc>
        <w:tc>
          <w:tcPr>
            <w:tcW w:w="1004"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p>
        </w:tc>
        <w:tc>
          <w:tcPr>
            <w:tcW w:w="1244"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p>
        </w:tc>
        <w:tc>
          <w:tcPr>
            <w:tcW w:w="1102"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p>
        </w:tc>
        <w:tc>
          <w:tcPr>
            <w:tcW w:w="794"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15"/>
                <w:szCs w:val="15"/>
              </w:rPr>
            </w:pPr>
          </w:p>
        </w:tc>
      </w:tr>
    </w:tbl>
    <w:p>
      <w:pPr>
        <w:ind w:left="-2" w:leftChars="-337" w:right="-783" w:rightChars="-373" w:hanging="706" w:hangingChars="469"/>
        <w:jc w:val="left"/>
        <w:rPr>
          <w:rFonts w:ascii="Times New Roman" w:hAnsi="Times New Roman"/>
          <w:color w:val="auto"/>
        </w:rPr>
      </w:pPr>
      <w:r>
        <w:rPr>
          <w:rFonts w:ascii="Times New Roman" w:hAnsi="Times New Roman"/>
          <w:b/>
          <w:color w:val="auto"/>
          <w:sz w:val="15"/>
          <w:szCs w:val="15"/>
        </w:rPr>
        <w:t>注</w:t>
      </w:r>
      <w:r>
        <w:rPr>
          <w:rFonts w:ascii="Times New Roman" w:hAnsi="Times New Roman"/>
          <w:color w:val="auto"/>
          <w:sz w:val="15"/>
          <w:szCs w:val="15"/>
        </w:rPr>
        <w:t>：1、</w:t>
      </w:r>
      <w:r>
        <w:rPr>
          <w:rFonts w:ascii="Times New Roman" w:hAnsi="Times New Roman"/>
          <w:color w:val="auto"/>
          <w:spacing w:val="-4"/>
          <w:sz w:val="15"/>
          <w:szCs w:val="15"/>
        </w:rPr>
        <w:t>排放增减量：（+）表示增加，（-）表示减少。2、(12)=(6)-(8)-(11)，（9）= (4)-(5)-(8)- (11) +（1）。3、计量单位：废水排放量——万吨/年；废气排放量——万标立方米/年；工业固体废物排放</w:t>
      </w:r>
      <w:r>
        <w:rPr>
          <w:rFonts w:ascii="Times New Roman" w:hAnsi="Times New Roman"/>
          <w:color w:val="auto"/>
          <w:sz w:val="15"/>
          <w:szCs w:val="15"/>
        </w:rPr>
        <w:t>量——万吨/年；水污染物排放浓度——毫克/升</w:t>
      </w:r>
      <w:r>
        <w:rPr>
          <w:rFonts w:hint="eastAsia" w:ascii="Times New Roman" w:hAnsi="Times New Roman"/>
          <w:color w:val="auto"/>
          <w:sz w:val="15"/>
          <w:szCs w:val="15"/>
        </w:rPr>
        <w:t>.</w:t>
      </w:r>
    </w:p>
    <w:p>
      <w:pPr>
        <w:pStyle w:val="26"/>
        <w:spacing w:before="0" w:after="0"/>
        <w:jc w:val="left"/>
        <w:rPr>
          <w:rFonts w:ascii="Times New Roman" w:hAnsi="Times New Roman"/>
          <w:color w:val="auto"/>
          <w:sz w:val="21"/>
          <w:szCs w:val="21"/>
        </w:rPr>
        <w:sectPr>
          <w:headerReference r:id="rId8" w:type="default"/>
          <w:pgSz w:w="16838" w:h="11906" w:orient="landscape"/>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p>
    <w:p>
      <w:pPr>
        <w:pStyle w:val="5"/>
        <w:spacing w:before="156" w:after="156"/>
        <w:rPr>
          <w:rFonts w:hint="eastAsia" w:ascii="Times New Roman" w:hAnsi="Times New Roman"/>
          <w:color w:val="auto"/>
        </w:rPr>
      </w:pPr>
      <w:bookmarkStart w:id="183" w:name="_Toc6892"/>
      <w:r>
        <w:rPr>
          <w:rFonts w:hint="eastAsia" w:ascii="Times New Roman" w:hAnsi="Times New Roman"/>
          <w:color w:val="auto"/>
        </w:rPr>
        <w:t>附件</w:t>
      </w:r>
      <w:r>
        <w:rPr>
          <w:rFonts w:hint="eastAsia"/>
          <w:color w:val="auto"/>
          <w:lang w:val="en-US" w:eastAsia="zh-CN"/>
        </w:rPr>
        <w:t>1</w:t>
      </w:r>
      <w:r>
        <w:rPr>
          <w:rFonts w:hint="eastAsia" w:ascii="Times New Roman" w:hAnsi="Times New Roman"/>
          <w:color w:val="auto"/>
        </w:rPr>
        <w:t>项目环评备案文件</w:t>
      </w:r>
      <w:bookmarkEnd w:id="183"/>
    </w:p>
    <w:p>
      <w:pPr>
        <w:rPr>
          <w:rFonts w:ascii="Times New Roman" w:hAnsi="Times New Roman"/>
          <w:color w:val="auto"/>
        </w:rPr>
      </w:pPr>
      <w:r>
        <w:rPr>
          <w:rFonts w:ascii="Times New Roman" w:hAnsi="Times New Roman"/>
          <w:color w:val="auto"/>
        </w:rPr>
        <w:drawing>
          <wp:inline distT="0" distB="0" distL="114300" distR="114300">
            <wp:extent cx="5822315" cy="8025765"/>
            <wp:effectExtent l="0" t="0" r="6985" b="13335"/>
            <wp:docPr id="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pic:cNvPicPr>
                      <a:picLocks noChangeAspect="1"/>
                    </pic:cNvPicPr>
                  </pic:nvPicPr>
                  <pic:blipFill>
                    <a:blip r:embed="rId18"/>
                    <a:srcRect t="3975" b="2981"/>
                    <a:stretch>
                      <a:fillRect/>
                    </a:stretch>
                  </pic:blipFill>
                  <pic:spPr>
                    <a:xfrm>
                      <a:off x="0" y="0"/>
                      <a:ext cx="5822315" cy="8025765"/>
                    </a:xfrm>
                    <a:prstGeom prst="rect">
                      <a:avLst/>
                    </a:prstGeom>
                    <a:noFill/>
                    <a:ln>
                      <a:noFill/>
                    </a:ln>
                  </pic:spPr>
                </pic:pic>
              </a:graphicData>
            </a:graphic>
          </wp:inline>
        </w:drawing>
      </w:r>
    </w:p>
    <w:p>
      <w:pPr>
        <w:jc w:val="center"/>
        <w:rPr>
          <w:rFonts w:ascii="Times New Roman" w:hAnsi="Times New Roman"/>
          <w:color w:val="auto"/>
        </w:rPr>
      </w:pPr>
    </w:p>
    <w:p>
      <w:pPr>
        <w:keepNext/>
        <w:keepLines/>
        <w:pageBreakBefore w:val="0"/>
        <w:widowControl w:val="0"/>
        <w:kinsoku/>
        <w:wordWrap/>
        <w:overflowPunct/>
        <w:topLinePunct w:val="0"/>
        <w:autoSpaceDE/>
        <w:autoSpaceDN/>
        <w:bidi w:val="0"/>
        <w:adjustRightInd/>
        <w:snapToGrid/>
        <w:spacing w:line="377" w:lineRule="auto"/>
        <w:textAlignment w:val="auto"/>
        <w:outlineLvl w:val="9"/>
        <w:rPr>
          <w:rFonts w:hint="eastAsia" w:ascii="Times New Roman" w:hAnsi="Times New Roman" w:eastAsiaTheme="majorEastAsia"/>
          <w:color w:val="auto"/>
          <w:lang w:eastAsia="zh-CN"/>
        </w:rPr>
      </w:pPr>
      <w:r>
        <w:rPr>
          <w:rFonts w:hint="eastAsia" w:ascii="Times New Roman" w:hAnsi="Times New Roman" w:eastAsiaTheme="majorEastAsia"/>
          <w:color w:val="auto"/>
          <w:lang w:eastAsia="zh-CN"/>
        </w:rPr>
        <w:drawing>
          <wp:inline distT="0" distB="0" distL="114300" distR="114300">
            <wp:extent cx="5822315" cy="8755380"/>
            <wp:effectExtent l="0" t="0" r="6985" b="7620"/>
            <wp:docPr id="16" name="图片 16" descr="附件2-2备案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附件2-2备案文件"/>
                    <pic:cNvPicPr>
                      <a:picLocks noChangeAspect="1"/>
                    </pic:cNvPicPr>
                  </pic:nvPicPr>
                  <pic:blipFill>
                    <a:blip r:embed="rId19"/>
                    <a:stretch>
                      <a:fillRect/>
                    </a:stretch>
                  </pic:blipFill>
                  <pic:spPr>
                    <a:xfrm>
                      <a:off x="0" y="0"/>
                      <a:ext cx="5822315" cy="8755380"/>
                    </a:xfrm>
                    <a:prstGeom prst="rect">
                      <a:avLst/>
                    </a:prstGeom>
                  </pic:spPr>
                </pic:pic>
              </a:graphicData>
            </a:graphic>
          </wp:inline>
        </w:drawing>
      </w:r>
    </w:p>
    <w:p>
      <w:pPr>
        <w:pStyle w:val="5"/>
        <w:spacing w:before="156" w:after="156"/>
        <w:rPr>
          <w:rFonts w:ascii="Times New Roman" w:hAnsi="Times New Roman"/>
          <w:color w:val="auto"/>
        </w:rPr>
        <w:sectPr>
          <w:headerReference r:id="rId9" w:type="default"/>
          <w:pgSz w:w="11906" w:h="16838"/>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p>
    <w:p>
      <w:pPr>
        <w:pStyle w:val="5"/>
        <w:spacing w:before="156" w:after="156"/>
        <w:rPr>
          <w:rFonts w:hint="eastAsia" w:ascii="Times New Roman" w:hAnsi="Times New Roman"/>
          <w:color w:val="auto"/>
        </w:rPr>
      </w:pPr>
      <w:bookmarkStart w:id="184" w:name="_Toc20520"/>
      <w:r>
        <w:rPr>
          <w:rFonts w:hint="eastAsia" w:ascii="Times New Roman" w:hAnsi="Times New Roman"/>
          <w:color w:val="auto"/>
        </w:rPr>
        <w:t>附件</w:t>
      </w:r>
      <w:r>
        <w:rPr>
          <w:rFonts w:hint="eastAsia"/>
          <w:color w:val="auto"/>
          <w:lang w:val="en-US" w:eastAsia="zh-CN"/>
        </w:rPr>
        <w:t>2</w:t>
      </w:r>
      <w:r>
        <w:rPr>
          <w:rFonts w:hint="eastAsia" w:ascii="Times New Roman" w:hAnsi="Times New Roman"/>
          <w:color w:val="auto"/>
        </w:rPr>
        <w:t>本项目环评审批意见</w:t>
      </w:r>
      <w:bookmarkEnd w:id="184"/>
    </w:p>
    <w:p>
      <w:pPr>
        <w:rPr>
          <w:rFonts w:ascii="Times New Roman" w:hAnsi="Times New Roman"/>
          <w:color w:val="auto"/>
        </w:rPr>
      </w:pPr>
    </w:p>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Theme="minorEastAsia"/>
          <w:color w:val="auto"/>
          <w:lang w:eastAsia="zh-CN"/>
        </w:rPr>
      </w:pPr>
      <w:r>
        <w:rPr>
          <w:rFonts w:hint="eastAsia" w:ascii="Times New Roman" w:hAnsi="Times New Roman" w:eastAsiaTheme="minorEastAsia"/>
          <w:color w:val="auto"/>
          <w:lang w:eastAsia="zh-CN"/>
        </w:rPr>
        <w:drawing>
          <wp:inline distT="0" distB="0" distL="114300" distR="114300">
            <wp:extent cx="5822315" cy="7606665"/>
            <wp:effectExtent l="0" t="0" r="6985" b="13335"/>
            <wp:docPr id="19" name="图片 19" descr="微信图片_20201031072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微信图片_20201031072926"/>
                    <pic:cNvPicPr>
                      <a:picLocks noChangeAspect="1"/>
                    </pic:cNvPicPr>
                  </pic:nvPicPr>
                  <pic:blipFill>
                    <a:blip r:embed="rId20"/>
                    <a:srcRect t="13440"/>
                    <a:stretch>
                      <a:fillRect/>
                    </a:stretch>
                  </pic:blipFill>
                  <pic:spPr>
                    <a:xfrm>
                      <a:off x="0" y="0"/>
                      <a:ext cx="5822315" cy="7606665"/>
                    </a:xfrm>
                    <a:prstGeom prst="rect">
                      <a:avLst/>
                    </a:prstGeom>
                  </pic:spPr>
                </pic:pic>
              </a:graphicData>
            </a:graphic>
          </wp:inline>
        </w:drawing>
      </w:r>
    </w:p>
    <w:p>
      <w:pPr>
        <w:jc w:val="center"/>
        <w:rPr>
          <w:rFonts w:ascii="Times New Roman" w:hAnsi="Times New Roman"/>
          <w:color w:val="auto"/>
        </w:rPr>
      </w:pPr>
    </w:p>
    <w:p>
      <w:pPr>
        <w:rPr>
          <w:rFonts w:ascii="Times New Roman" w:hAnsi="Times New Roman"/>
          <w:color w:val="auto"/>
        </w:rPr>
      </w:pPr>
    </w:p>
    <w:p>
      <w:pPr>
        <w:keepNext/>
        <w:keepLines/>
        <w:pageBreakBefore w:val="0"/>
        <w:widowControl w:val="0"/>
        <w:kinsoku/>
        <w:wordWrap/>
        <w:overflowPunct/>
        <w:topLinePunct w:val="0"/>
        <w:autoSpaceDE/>
        <w:autoSpaceDN/>
        <w:bidi w:val="0"/>
        <w:adjustRightInd/>
        <w:snapToGrid/>
        <w:spacing w:line="377" w:lineRule="auto"/>
        <w:textAlignment w:val="auto"/>
        <w:outlineLvl w:val="9"/>
        <w:rPr>
          <w:rFonts w:hint="eastAsia" w:ascii="Times New Roman" w:hAnsi="Times New Roman" w:eastAsiaTheme="majorEastAsia"/>
          <w:color w:val="auto"/>
          <w:lang w:eastAsia="zh-CN"/>
        </w:rPr>
      </w:pPr>
      <w:r>
        <w:rPr>
          <w:rFonts w:hint="eastAsia" w:ascii="Times New Roman" w:hAnsi="Times New Roman" w:eastAsiaTheme="majorEastAsia"/>
          <w:color w:val="auto"/>
          <w:lang w:eastAsia="zh-CN"/>
        </w:rPr>
        <w:drawing>
          <wp:inline distT="0" distB="0" distL="114300" distR="114300">
            <wp:extent cx="5822315" cy="8741410"/>
            <wp:effectExtent l="0" t="0" r="6985" b="2540"/>
            <wp:docPr id="21" name="图片 21" descr="微信图片_20201031072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微信图片_20201031072932"/>
                    <pic:cNvPicPr>
                      <a:picLocks noChangeAspect="1"/>
                    </pic:cNvPicPr>
                  </pic:nvPicPr>
                  <pic:blipFill>
                    <a:blip r:embed="rId21"/>
                    <a:srcRect b="2028"/>
                    <a:stretch>
                      <a:fillRect/>
                    </a:stretch>
                  </pic:blipFill>
                  <pic:spPr>
                    <a:xfrm>
                      <a:off x="0" y="0"/>
                      <a:ext cx="5822315" cy="8741410"/>
                    </a:xfrm>
                    <a:prstGeom prst="rect">
                      <a:avLst/>
                    </a:prstGeom>
                  </pic:spPr>
                </pic:pic>
              </a:graphicData>
            </a:graphic>
          </wp:inline>
        </w:drawing>
      </w:r>
    </w:p>
    <w:p>
      <w:pPr>
        <w:rPr>
          <w:rFonts w:hint="eastAsia" w:ascii="Times New Roman" w:hAnsi="Times New Roman"/>
          <w:color w:val="auto"/>
          <w:lang w:eastAsia="zh-CN"/>
        </w:rPr>
      </w:pPr>
      <w:r>
        <w:rPr>
          <w:rFonts w:hint="eastAsia" w:ascii="Times New Roman" w:hAnsi="Times New Roman"/>
          <w:color w:val="auto"/>
          <w:lang w:eastAsia="zh-CN"/>
        </w:rPr>
        <w:drawing>
          <wp:inline distT="0" distB="0" distL="114300" distR="114300">
            <wp:extent cx="5709285" cy="8397240"/>
            <wp:effectExtent l="0" t="0" r="5715" b="3810"/>
            <wp:docPr id="22" name="图片 22" descr="微信图片_20201031072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微信图片_20201031072935"/>
                    <pic:cNvPicPr>
                      <a:picLocks noChangeAspect="1"/>
                    </pic:cNvPicPr>
                  </pic:nvPicPr>
                  <pic:blipFill>
                    <a:blip r:embed="rId22"/>
                    <a:srcRect b="6173"/>
                    <a:stretch>
                      <a:fillRect/>
                    </a:stretch>
                  </pic:blipFill>
                  <pic:spPr>
                    <a:xfrm>
                      <a:off x="0" y="0"/>
                      <a:ext cx="5709285" cy="8397240"/>
                    </a:xfrm>
                    <a:prstGeom prst="rect">
                      <a:avLst/>
                    </a:prstGeom>
                  </pic:spPr>
                </pic:pic>
              </a:graphicData>
            </a:graphic>
          </wp:inline>
        </w:drawing>
      </w:r>
    </w:p>
    <w:p>
      <w:pPr>
        <w:keepNext/>
        <w:keepLines/>
        <w:pageBreakBefore w:val="0"/>
        <w:widowControl w:val="0"/>
        <w:kinsoku/>
        <w:wordWrap/>
        <w:overflowPunct/>
        <w:topLinePunct w:val="0"/>
        <w:autoSpaceDE/>
        <w:autoSpaceDN/>
        <w:bidi w:val="0"/>
        <w:adjustRightInd/>
        <w:snapToGrid/>
        <w:spacing w:line="377" w:lineRule="auto"/>
        <w:textAlignment w:val="auto"/>
        <w:outlineLvl w:val="9"/>
        <w:rPr>
          <w:rFonts w:hint="eastAsia" w:ascii="Times New Roman" w:hAnsi="Times New Roman"/>
          <w:color w:val="auto"/>
          <w:lang w:eastAsia="zh-CN"/>
        </w:rPr>
      </w:pPr>
      <w:r>
        <w:rPr>
          <w:rFonts w:hint="eastAsia" w:ascii="Times New Roman" w:hAnsi="Times New Roman"/>
          <w:color w:val="auto"/>
          <w:lang w:eastAsia="zh-CN"/>
        </w:rPr>
        <w:drawing>
          <wp:inline distT="0" distB="0" distL="114300" distR="114300">
            <wp:extent cx="5822315" cy="8582660"/>
            <wp:effectExtent l="0" t="0" r="6985" b="8890"/>
            <wp:docPr id="23" name="图片 23" descr="微信图片_20201031072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微信图片_20201031072938"/>
                    <pic:cNvPicPr>
                      <a:picLocks noChangeAspect="1"/>
                    </pic:cNvPicPr>
                  </pic:nvPicPr>
                  <pic:blipFill>
                    <a:blip r:embed="rId23"/>
                    <a:stretch>
                      <a:fillRect/>
                    </a:stretch>
                  </pic:blipFill>
                  <pic:spPr>
                    <a:xfrm>
                      <a:off x="0" y="0"/>
                      <a:ext cx="5822315" cy="8582660"/>
                    </a:xfrm>
                    <a:prstGeom prst="rect">
                      <a:avLst/>
                    </a:prstGeom>
                  </pic:spPr>
                </pic:pic>
              </a:graphicData>
            </a:graphic>
          </wp:inline>
        </w:drawing>
      </w:r>
    </w:p>
    <w:p>
      <w:pPr>
        <w:pStyle w:val="5"/>
        <w:spacing w:before="156" w:after="156"/>
        <w:rPr>
          <w:rFonts w:ascii="Times New Roman" w:hAnsi="Times New Roman"/>
          <w:color w:val="auto"/>
        </w:rPr>
        <w:sectPr>
          <w:pgSz w:w="11906" w:h="16838"/>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p>
    <w:p>
      <w:pPr>
        <w:pStyle w:val="5"/>
        <w:spacing w:before="156" w:after="156" w:line="240" w:lineRule="auto"/>
        <w:rPr>
          <w:rFonts w:hint="eastAsia" w:ascii="Times New Roman" w:hAnsi="Times New Roman"/>
          <w:color w:val="auto"/>
        </w:rPr>
      </w:pPr>
      <w:bookmarkStart w:id="185" w:name="_Toc5502"/>
      <w:r>
        <w:rPr>
          <w:rFonts w:hint="eastAsia" w:ascii="Times New Roman" w:hAnsi="Times New Roman"/>
          <w:color w:val="auto"/>
        </w:rPr>
        <w:t>附件</w:t>
      </w:r>
      <w:r>
        <w:rPr>
          <w:rFonts w:hint="eastAsia"/>
          <w:color w:val="auto"/>
          <w:lang w:val="en-US" w:eastAsia="zh-CN"/>
        </w:rPr>
        <w:t>3</w:t>
      </w:r>
      <w:r>
        <w:rPr>
          <w:rFonts w:hint="eastAsia" w:ascii="Times New Roman" w:hAnsi="Times New Roman"/>
          <w:color w:val="auto"/>
        </w:rPr>
        <w:t>检测报告扫描件</w:t>
      </w:r>
      <w:bookmarkEnd w:id="185"/>
    </w:p>
    <w:p>
      <w:r>
        <w:drawing>
          <wp:inline distT="0" distB="0" distL="114300" distR="114300">
            <wp:extent cx="5638800" cy="8029575"/>
            <wp:effectExtent l="0" t="0" r="0" b="9525"/>
            <wp:docPr id="10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3"/>
                    <pic:cNvPicPr>
                      <a:picLocks noChangeAspect="1"/>
                    </pic:cNvPicPr>
                  </pic:nvPicPr>
                  <pic:blipFill>
                    <a:blip r:embed="rId24"/>
                    <a:stretch>
                      <a:fillRect/>
                    </a:stretch>
                  </pic:blipFill>
                  <pic:spPr>
                    <a:xfrm>
                      <a:off x="0" y="0"/>
                      <a:ext cx="5638800" cy="8029575"/>
                    </a:xfrm>
                    <a:prstGeom prst="rect">
                      <a:avLst/>
                    </a:prstGeom>
                    <a:noFill/>
                    <a:ln>
                      <a:noFill/>
                    </a:ln>
                  </pic:spPr>
                </pic:pic>
              </a:graphicData>
            </a:graphic>
          </wp:inline>
        </w:drawing>
      </w:r>
      <w:r>
        <w:drawing>
          <wp:inline distT="0" distB="0" distL="114300" distR="114300">
            <wp:extent cx="5648325" cy="8001000"/>
            <wp:effectExtent l="0" t="0" r="9525" b="0"/>
            <wp:docPr id="10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4"/>
                    <pic:cNvPicPr>
                      <a:picLocks noChangeAspect="1"/>
                    </pic:cNvPicPr>
                  </pic:nvPicPr>
                  <pic:blipFill>
                    <a:blip r:embed="rId25"/>
                    <a:stretch>
                      <a:fillRect/>
                    </a:stretch>
                  </pic:blipFill>
                  <pic:spPr>
                    <a:xfrm>
                      <a:off x="0" y="0"/>
                      <a:ext cx="5648325" cy="8001000"/>
                    </a:xfrm>
                    <a:prstGeom prst="rect">
                      <a:avLst/>
                    </a:prstGeom>
                    <a:noFill/>
                    <a:ln>
                      <a:noFill/>
                    </a:ln>
                  </pic:spPr>
                </pic:pic>
              </a:graphicData>
            </a:graphic>
          </wp:inline>
        </w:drawing>
      </w:r>
      <w:r>
        <w:drawing>
          <wp:inline distT="0" distB="0" distL="114300" distR="114300">
            <wp:extent cx="5667375" cy="7991475"/>
            <wp:effectExtent l="0" t="0" r="9525" b="9525"/>
            <wp:docPr id="10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5"/>
                    <pic:cNvPicPr>
                      <a:picLocks noChangeAspect="1"/>
                    </pic:cNvPicPr>
                  </pic:nvPicPr>
                  <pic:blipFill>
                    <a:blip r:embed="rId26"/>
                    <a:stretch>
                      <a:fillRect/>
                    </a:stretch>
                  </pic:blipFill>
                  <pic:spPr>
                    <a:xfrm>
                      <a:off x="0" y="0"/>
                      <a:ext cx="5667375" cy="7991475"/>
                    </a:xfrm>
                    <a:prstGeom prst="rect">
                      <a:avLst/>
                    </a:prstGeom>
                    <a:noFill/>
                    <a:ln>
                      <a:noFill/>
                    </a:ln>
                  </pic:spPr>
                </pic:pic>
              </a:graphicData>
            </a:graphic>
          </wp:inline>
        </w:drawing>
      </w:r>
      <w:r>
        <w:drawing>
          <wp:inline distT="0" distB="0" distL="114300" distR="114300">
            <wp:extent cx="5667375" cy="7905750"/>
            <wp:effectExtent l="0" t="0" r="9525" b="0"/>
            <wp:docPr id="10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6"/>
                    <pic:cNvPicPr>
                      <a:picLocks noChangeAspect="1"/>
                    </pic:cNvPicPr>
                  </pic:nvPicPr>
                  <pic:blipFill>
                    <a:blip r:embed="rId27"/>
                    <a:stretch>
                      <a:fillRect/>
                    </a:stretch>
                  </pic:blipFill>
                  <pic:spPr>
                    <a:xfrm>
                      <a:off x="0" y="0"/>
                      <a:ext cx="5667375" cy="7905750"/>
                    </a:xfrm>
                    <a:prstGeom prst="rect">
                      <a:avLst/>
                    </a:prstGeom>
                    <a:noFill/>
                    <a:ln>
                      <a:noFill/>
                    </a:ln>
                  </pic:spPr>
                </pic:pic>
              </a:graphicData>
            </a:graphic>
          </wp:inline>
        </w:drawing>
      </w:r>
      <w:r>
        <w:drawing>
          <wp:inline distT="0" distB="0" distL="114300" distR="114300">
            <wp:extent cx="5695950" cy="7839075"/>
            <wp:effectExtent l="0" t="0" r="0" b="9525"/>
            <wp:docPr id="10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7"/>
                    <pic:cNvPicPr>
                      <a:picLocks noChangeAspect="1"/>
                    </pic:cNvPicPr>
                  </pic:nvPicPr>
                  <pic:blipFill>
                    <a:blip r:embed="rId28"/>
                    <a:stretch>
                      <a:fillRect/>
                    </a:stretch>
                  </pic:blipFill>
                  <pic:spPr>
                    <a:xfrm>
                      <a:off x="0" y="0"/>
                      <a:ext cx="5695950" cy="7839075"/>
                    </a:xfrm>
                    <a:prstGeom prst="rect">
                      <a:avLst/>
                    </a:prstGeom>
                    <a:noFill/>
                    <a:ln>
                      <a:noFill/>
                    </a:ln>
                  </pic:spPr>
                </pic:pic>
              </a:graphicData>
            </a:graphic>
          </wp:inline>
        </w:drawing>
      </w:r>
      <w:r>
        <w:drawing>
          <wp:inline distT="0" distB="0" distL="114300" distR="114300">
            <wp:extent cx="5657850" cy="7981950"/>
            <wp:effectExtent l="0" t="0" r="0" b="0"/>
            <wp:docPr id="10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8"/>
                    <pic:cNvPicPr>
                      <a:picLocks noChangeAspect="1"/>
                    </pic:cNvPicPr>
                  </pic:nvPicPr>
                  <pic:blipFill>
                    <a:blip r:embed="rId29"/>
                    <a:stretch>
                      <a:fillRect/>
                    </a:stretch>
                  </pic:blipFill>
                  <pic:spPr>
                    <a:xfrm>
                      <a:off x="0" y="0"/>
                      <a:ext cx="5657850" cy="7981950"/>
                    </a:xfrm>
                    <a:prstGeom prst="rect">
                      <a:avLst/>
                    </a:prstGeom>
                    <a:noFill/>
                    <a:ln>
                      <a:noFill/>
                    </a:ln>
                  </pic:spPr>
                </pic:pic>
              </a:graphicData>
            </a:graphic>
          </wp:inline>
        </w:drawing>
      </w:r>
      <w:r>
        <w:drawing>
          <wp:inline distT="0" distB="0" distL="114300" distR="114300">
            <wp:extent cx="5676900" cy="8010525"/>
            <wp:effectExtent l="0" t="0" r="0" b="9525"/>
            <wp:docPr id="10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9"/>
                    <pic:cNvPicPr>
                      <a:picLocks noChangeAspect="1"/>
                    </pic:cNvPicPr>
                  </pic:nvPicPr>
                  <pic:blipFill>
                    <a:blip r:embed="rId30"/>
                    <a:stretch>
                      <a:fillRect/>
                    </a:stretch>
                  </pic:blipFill>
                  <pic:spPr>
                    <a:xfrm>
                      <a:off x="0" y="0"/>
                      <a:ext cx="5676900" cy="8010525"/>
                    </a:xfrm>
                    <a:prstGeom prst="rect">
                      <a:avLst/>
                    </a:prstGeom>
                    <a:noFill/>
                    <a:ln>
                      <a:noFill/>
                    </a:ln>
                  </pic:spPr>
                </pic:pic>
              </a:graphicData>
            </a:graphic>
          </wp:inline>
        </w:drawing>
      </w:r>
      <w:r>
        <w:drawing>
          <wp:inline distT="0" distB="0" distL="114300" distR="114300">
            <wp:extent cx="5695950" cy="7991475"/>
            <wp:effectExtent l="0" t="0" r="0" b="9525"/>
            <wp:docPr id="10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
                    <pic:cNvPicPr>
                      <a:picLocks noChangeAspect="1"/>
                    </pic:cNvPicPr>
                  </pic:nvPicPr>
                  <pic:blipFill>
                    <a:blip r:embed="rId31"/>
                    <a:stretch>
                      <a:fillRect/>
                    </a:stretch>
                  </pic:blipFill>
                  <pic:spPr>
                    <a:xfrm>
                      <a:off x="0" y="0"/>
                      <a:ext cx="5695950" cy="7991475"/>
                    </a:xfrm>
                    <a:prstGeom prst="rect">
                      <a:avLst/>
                    </a:prstGeom>
                    <a:noFill/>
                    <a:ln>
                      <a:noFill/>
                    </a:ln>
                  </pic:spPr>
                </pic:pic>
              </a:graphicData>
            </a:graphic>
          </wp:inline>
        </w:drawing>
      </w:r>
      <w:r>
        <w:drawing>
          <wp:inline distT="0" distB="0" distL="114300" distR="114300">
            <wp:extent cx="5676900" cy="8010525"/>
            <wp:effectExtent l="0" t="0" r="0" b="9525"/>
            <wp:docPr id="10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1"/>
                    <pic:cNvPicPr>
                      <a:picLocks noChangeAspect="1"/>
                    </pic:cNvPicPr>
                  </pic:nvPicPr>
                  <pic:blipFill>
                    <a:blip r:embed="rId32"/>
                    <a:stretch>
                      <a:fillRect/>
                    </a:stretch>
                  </pic:blipFill>
                  <pic:spPr>
                    <a:xfrm>
                      <a:off x="0" y="0"/>
                      <a:ext cx="5676900" cy="8010525"/>
                    </a:xfrm>
                    <a:prstGeom prst="rect">
                      <a:avLst/>
                    </a:prstGeom>
                    <a:noFill/>
                    <a:ln>
                      <a:noFill/>
                    </a:ln>
                  </pic:spPr>
                </pic:pic>
              </a:graphicData>
            </a:graphic>
          </wp:inline>
        </w:drawing>
      </w:r>
    </w:p>
    <w:p>
      <w:pPr>
        <w:rPr>
          <w:rFonts w:ascii="Times New Roman" w:hAnsi="Times New Roman"/>
          <w:color w:val="auto"/>
        </w:rPr>
      </w:pPr>
    </w:p>
    <w:p>
      <w:pPr>
        <w:keepNext/>
        <w:keepLines/>
        <w:pageBreakBefore w:val="0"/>
        <w:widowControl w:val="0"/>
        <w:kinsoku/>
        <w:wordWrap/>
        <w:overflowPunct/>
        <w:topLinePunct w:val="0"/>
        <w:autoSpaceDE/>
        <w:autoSpaceDN/>
        <w:bidi w:val="0"/>
        <w:adjustRightInd/>
        <w:snapToGrid/>
        <w:spacing w:line="377" w:lineRule="auto"/>
        <w:textAlignment w:val="auto"/>
        <w:outlineLvl w:val="9"/>
        <w:rPr>
          <w:rFonts w:ascii="Times New Roman" w:hAnsi="Times New Roman"/>
          <w:color w:val="auto"/>
        </w:rPr>
        <w:sectPr>
          <w:pgSz w:w="11906" w:h="16838"/>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p>
    <w:p>
      <w:pPr>
        <w:pStyle w:val="5"/>
        <w:spacing w:before="156" w:after="156"/>
        <w:rPr>
          <w:rFonts w:hint="eastAsia" w:ascii="Times New Roman" w:hAnsi="Times New Roman"/>
          <w:color w:val="auto"/>
          <w:lang w:eastAsia="zh-CN"/>
        </w:rPr>
      </w:pPr>
      <w:bookmarkStart w:id="186" w:name="_Toc6606"/>
      <w:r>
        <w:rPr>
          <w:rFonts w:hint="eastAsia" w:ascii="Times New Roman" w:hAnsi="Times New Roman"/>
          <w:color w:val="auto"/>
        </w:rPr>
        <w:t>附件</w:t>
      </w:r>
      <w:r>
        <w:rPr>
          <w:rFonts w:hint="eastAsia"/>
          <w:color w:val="auto"/>
          <w:lang w:val="en-US" w:eastAsia="zh-CN"/>
        </w:rPr>
        <w:t>4</w:t>
      </w:r>
      <w:r>
        <w:rPr>
          <w:rFonts w:hint="eastAsia" w:ascii="Times New Roman" w:hAnsi="Times New Roman"/>
          <w:color w:val="auto"/>
          <w:lang w:eastAsia="zh-CN"/>
        </w:rPr>
        <w:t>废水接收协议</w:t>
      </w:r>
      <w:bookmarkEnd w:id="186"/>
    </w:p>
    <w:p>
      <w:pPr>
        <w:bidi w:val="0"/>
      </w:pPr>
      <w:r>
        <w:drawing>
          <wp:inline distT="0" distB="0" distL="114300" distR="114300">
            <wp:extent cx="5334000" cy="7153275"/>
            <wp:effectExtent l="0" t="0" r="0" b="952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33"/>
                    <a:stretch>
                      <a:fillRect/>
                    </a:stretch>
                  </pic:blipFill>
                  <pic:spPr>
                    <a:xfrm>
                      <a:off x="0" y="0"/>
                      <a:ext cx="5334000" cy="7153275"/>
                    </a:xfrm>
                    <a:prstGeom prst="rect">
                      <a:avLst/>
                    </a:prstGeom>
                    <a:noFill/>
                    <a:ln>
                      <a:noFill/>
                    </a:ln>
                  </pic:spPr>
                </pic:pic>
              </a:graphicData>
            </a:graphic>
          </wp:inline>
        </w:drawing>
      </w:r>
    </w:p>
    <w:p>
      <w:pPr>
        <w:pStyle w:val="5"/>
        <w:spacing w:before="156" w:after="156" w:line="240" w:lineRule="auto"/>
        <w:rPr>
          <w:rFonts w:hint="eastAsia" w:ascii="Times New Roman" w:hAnsi="Times New Roman"/>
          <w:color w:val="auto"/>
          <w:vertAlign w:val="baseline"/>
          <w:lang w:eastAsia="zh-CN"/>
        </w:rPr>
      </w:pPr>
      <w:bookmarkStart w:id="187" w:name="_Toc17815"/>
      <w:r>
        <w:rPr>
          <w:rFonts w:hint="eastAsia" w:ascii="Times New Roman" w:hAnsi="Times New Roman"/>
          <w:color w:val="auto"/>
        </w:rPr>
        <w:t>附件</w:t>
      </w:r>
      <w:r>
        <w:rPr>
          <w:rFonts w:hint="eastAsia"/>
          <w:color w:val="auto"/>
          <w:lang w:val="en-US" w:eastAsia="zh-CN"/>
        </w:rPr>
        <w:t>5现场照片</w:t>
      </w:r>
      <w:bookmarkEnd w:id="187"/>
    </w:p>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78"/>
        <w:gridCol w:w="44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8" w:type="dxa"/>
          </w:tcPr>
          <w:p>
            <w:pPr>
              <w:bidi w:val="0"/>
              <w:rPr>
                <w:rFonts w:hint="eastAsia"/>
                <w:lang w:eastAsia="zh-CN"/>
              </w:rPr>
            </w:pPr>
            <w:r>
              <w:rPr>
                <w:rFonts w:hint="eastAsia"/>
                <w:lang w:eastAsia="zh-CN"/>
              </w:rPr>
              <w:drawing>
                <wp:inline distT="0" distB="0" distL="114300" distR="114300">
                  <wp:extent cx="2846070" cy="3794760"/>
                  <wp:effectExtent l="0" t="0" r="11430" b="15240"/>
                  <wp:docPr id="39" name="图片 39" descr="1#监测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1#监测井"/>
                          <pic:cNvPicPr>
                            <a:picLocks noChangeAspect="1"/>
                          </pic:cNvPicPr>
                        </pic:nvPicPr>
                        <pic:blipFill>
                          <a:blip r:embed="rId34"/>
                          <a:stretch>
                            <a:fillRect/>
                          </a:stretch>
                        </pic:blipFill>
                        <pic:spPr>
                          <a:xfrm>
                            <a:off x="0" y="0"/>
                            <a:ext cx="2846070" cy="3794760"/>
                          </a:xfrm>
                          <a:prstGeom prst="rect">
                            <a:avLst/>
                          </a:prstGeom>
                        </pic:spPr>
                      </pic:pic>
                    </a:graphicData>
                  </a:graphic>
                </wp:inline>
              </w:drawing>
            </w:r>
          </w:p>
        </w:tc>
        <w:tc>
          <w:tcPr>
            <w:tcW w:w="4422" w:type="dxa"/>
          </w:tcPr>
          <w:p>
            <w:pPr>
              <w:bidi w:val="0"/>
              <w:rPr>
                <w:rFonts w:hint="eastAsia"/>
                <w:lang w:eastAsia="zh-CN"/>
              </w:rPr>
            </w:pPr>
            <w:r>
              <w:rPr>
                <w:rFonts w:hint="eastAsia"/>
                <w:lang w:eastAsia="zh-CN"/>
              </w:rPr>
              <w:drawing>
                <wp:inline distT="0" distB="0" distL="114300" distR="114300">
                  <wp:extent cx="2834640" cy="3779520"/>
                  <wp:effectExtent l="0" t="0" r="3810" b="11430"/>
                  <wp:docPr id="85" name="图片 85" descr="2#监测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2#监测井"/>
                          <pic:cNvPicPr>
                            <a:picLocks noChangeAspect="1"/>
                          </pic:cNvPicPr>
                        </pic:nvPicPr>
                        <pic:blipFill>
                          <a:blip r:embed="rId35"/>
                          <a:stretch>
                            <a:fillRect/>
                          </a:stretch>
                        </pic:blipFill>
                        <pic:spPr>
                          <a:xfrm>
                            <a:off x="0" y="0"/>
                            <a:ext cx="2834640" cy="37795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8" w:type="dxa"/>
          </w:tcPr>
          <w:p>
            <w:pPr>
              <w:bidi w:val="0"/>
              <w:rPr>
                <w:rFonts w:hint="eastAsia"/>
                <w:lang w:eastAsia="zh-CN"/>
              </w:rPr>
            </w:pPr>
            <w:r>
              <w:rPr>
                <w:rFonts w:hint="eastAsia"/>
                <w:lang w:eastAsia="zh-CN"/>
              </w:rPr>
              <w:drawing>
                <wp:inline distT="0" distB="0" distL="114300" distR="114300">
                  <wp:extent cx="2851785" cy="3802380"/>
                  <wp:effectExtent l="0" t="0" r="5715" b="7620"/>
                  <wp:docPr id="88" name="图片 88" descr="3#监测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3#监测井"/>
                          <pic:cNvPicPr>
                            <a:picLocks noChangeAspect="1"/>
                          </pic:cNvPicPr>
                        </pic:nvPicPr>
                        <pic:blipFill>
                          <a:blip r:embed="rId36"/>
                          <a:stretch>
                            <a:fillRect/>
                          </a:stretch>
                        </pic:blipFill>
                        <pic:spPr>
                          <a:xfrm>
                            <a:off x="0" y="0"/>
                            <a:ext cx="2851785" cy="3802380"/>
                          </a:xfrm>
                          <a:prstGeom prst="rect">
                            <a:avLst/>
                          </a:prstGeom>
                        </pic:spPr>
                      </pic:pic>
                    </a:graphicData>
                  </a:graphic>
                </wp:inline>
              </w:drawing>
            </w:r>
          </w:p>
        </w:tc>
        <w:tc>
          <w:tcPr>
            <w:tcW w:w="4422" w:type="dxa"/>
          </w:tcPr>
          <w:p>
            <w:pPr>
              <w:bidi w:val="0"/>
              <w:rPr>
                <w:rFonts w:hint="eastAsia"/>
                <w:lang w:eastAsia="zh-CN"/>
              </w:rPr>
            </w:pPr>
            <w:r>
              <w:rPr>
                <w:rFonts w:hint="eastAsia"/>
                <w:lang w:eastAsia="zh-CN"/>
              </w:rPr>
              <w:drawing>
                <wp:inline distT="0" distB="0" distL="114300" distR="114300">
                  <wp:extent cx="2828925" cy="3771900"/>
                  <wp:effectExtent l="0" t="0" r="9525" b="0"/>
                  <wp:docPr id="89" name="图片 89" descr="4#监测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4#监测井"/>
                          <pic:cNvPicPr>
                            <a:picLocks noChangeAspect="1"/>
                          </pic:cNvPicPr>
                        </pic:nvPicPr>
                        <pic:blipFill>
                          <a:blip r:embed="rId37"/>
                          <a:stretch>
                            <a:fillRect/>
                          </a:stretch>
                        </pic:blipFill>
                        <pic:spPr>
                          <a:xfrm>
                            <a:off x="0" y="0"/>
                            <a:ext cx="2828925" cy="37719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8" w:type="dxa"/>
          </w:tcPr>
          <w:p>
            <w:pPr>
              <w:bidi w:val="0"/>
              <w:rPr>
                <w:rFonts w:hint="eastAsia"/>
                <w:lang w:eastAsia="zh-CN"/>
              </w:rPr>
            </w:pPr>
            <w:r>
              <w:rPr>
                <w:rFonts w:hint="eastAsia"/>
                <w:lang w:eastAsia="zh-CN"/>
              </w:rPr>
              <w:drawing>
                <wp:inline distT="0" distB="0" distL="114300" distR="114300">
                  <wp:extent cx="2849245" cy="3992245"/>
                  <wp:effectExtent l="0" t="0" r="8255" b="8255"/>
                  <wp:docPr id="90" name="图片 90" descr="5#监测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5#监测井"/>
                          <pic:cNvPicPr>
                            <a:picLocks noChangeAspect="1"/>
                          </pic:cNvPicPr>
                        </pic:nvPicPr>
                        <pic:blipFill>
                          <a:blip r:embed="rId38"/>
                          <a:stretch>
                            <a:fillRect/>
                          </a:stretch>
                        </pic:blipFill>
                        <pic:spPr>
                          <a:xfrm>
                            <a:off x="0" y="0"/>
                            <a:ext cx="2849245" cy="3992245"/>
                          </a:xfrm>
                          <a:prstGeom prst="rect">
                            <a:avLst/>
                          </a:prstGeom>
                        </pic:spPr>
                      </pic:pic>
                    </a:graphicData>
                  </a:graphic>
                </wp:inline>
              </w:drawing>
            </w:r>
          </w:p>
        </w:tc>
        <w:tc>
          <w:tcPr>
            <w:tcW w:w="4422" w:type="dxa"/>
          </w:tcPr>
          <w:p>
            <w:pPr>
              <w:bidi w:val="0"/>
              <w:spacing w:line="240" w:lineRule="auto"/>
              <w:rPr>
                <w:rFonts w:hint="eastAsia"/>
                <w:lang w:eastAsia="zh-CN"/>
              </w:rPr>
            </w:pPr>
            <w:r>
              <w:rPr>
                <w:rFonts w:hint="eastAsia"/>
                <w:lang w:eastAsia="zh-CN"/>
              </w:rPr>
              <w:drawing>
                <wp:inline distT="0" distB="0" distL="114300" distR="114300">
                  <wp:extent cx="2828925" cy="4016375"/>
                  <wp:effectExtent l="0" t="0" r="9525" b="3175"/>
                  <wp:docPr id="91" name="图片 91" descr="洒水抑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洒水抑尘"/>
                          <pic:cNvPicPr>
                            <a:picLocks noChangeAspect="1"/>
                          </pic:cNvPicPr>
                        </pic:nvPicPr>
                        <pic:blipFill>
                          <a:blip r:embed="rId39"/>
                          <a:stretch>
                            <a:fillRect/>
                          </a:stretch>
                        </pic:blipFill>
                        <pic:spPr>
                          <a:xfrm>
                            <a:off x="0" y="0"/>
                            <a:ext cx="2828925" cy="40163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978" w:type="dxa"/>
          </w:tcPr>
          <w:p>
            <w:pPr>
              <w:bidi w:val="0"/>
              <w:rPr>
                <w:rFonts w:hint="eastAsia"/>
                <w:lang w:eastAsia="zh-CN"/>
              </w:rPr>
            </w:pPr>
            <w:r>
              <w:rPr>
                <w:rFonts w:hint="eastAsia"/>
                <w:lang w:eastAsia="zh-CN"/>
              </w:rPr>
              <w:drawing>
                <wp:inline distT="0" distB="0" distL="114300" distR="114300">
                  <wp:extent cx="2853055" cy="3584575"/>
                  <wp:effectExtent l="0" t="0" r="4445" b="15875"/>
                  <wp:docPr id="92" name="图片 92" descr="洒水抑尘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洒水抑尘2"/>
                          <pic:cNvPicPr>
                            <a:picLocks noChangeAspect="1"/>
                          </pic:cNvPicPr>
                        </pic:nvPicPr>
                        <pic:blipFill>
                          <a:blip r:embed="rId40"/>
                          <a:stretch>
                            <a:fillRect/>
                          </a:stretch>
                        </pic:blipFill>
                        <pic:spPr>
                          <a:xfrm>
                            <a:off x="0" y="0"/>
                            <a:ext cx="2853055" cy="3584575"/>
                          </a:xfrm>
                          <a:prstGeom prst="rect">
                            <a:avLst/>
                          </a:prstGeom>
                        </pic:spPr>
                      </pic:pic>
                    </a:graphicData>
                  </a:graphic>
                </wp:inline>
              </w:drawing>
            </w:r>
          </w:p>
        </w:tc>
        <w:tc>
          <w:tcPr>
            <w:tcW w:w="4422" w:type="dxa"/>
          </w:tcPr>
          <w:p>
            <w:pPr>
              <w:bidi w:val="0"/>
              <w:rPr>
                <w:rFonts w:hint="eastAsia"/>
                <w:lang w:eastAsia="zh-CN"/>
              </w:rPr>
            </w:pPr>
            <w:r>
              <w:rPr>
                <w:rFonts w:hint="eastAsia"/>
                <w:lang w:eastAsia="zh-CN"/>
              </w:rPr>
              <w:drawing>
                <wp:inline distT="0" distB="0" distL="114300" distR="114300">
                  <wp:extent cx="2809240" cy="3658870"/>
                  <wp:effectExtent l="0" t="0" r="10160" b="17780"/>
                  <wp:docPr id="24" name="图片 24" descr="地下水收集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地下水收集井"/>
                          <pic:cNvPicPr>
                            <a:picLocks noChangeAspect="1"/>
                          </pic:cNvPicPr>
                        </pic:nvPicPr>
                        <pic:blipFill>
                          <a:blip r:embed="rId41"/>
                          <a:stretch>
                            <a:fillRect/>
                          </a:stretch>
                        </pic:blipFill>
                        <pic:spPr>
                          <a:xfrm>
                            <a:off x="0" y="0"/>
                            <a:ext cx="2809240" cy="36588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8" w:type="dxa"/>
          </w:tcPr>
          <w:p>
            <w:pPr>
              <w:bidi w:val="0"/>
              <w:rPr>
                <w:rFonts w:hint="eastAsia"/>
                <w:lang w:eastAsia="zh-CN"/>
              </w:rPr>
            </w:pPr>
            <w:bookmarkStart w:id="188" w:name="_Toc14075"/>
            <w:r>
              <w:rPr>
                <w:rFonts w:hint="eastAsia"/>
                <w:lang w:eastAsia="zh-CN"/>
              </w:rPr>
              <w:drawing>
                <wp:inline distT="0" distB="0" distL="114300" distR="114300">
                  <wp:extent cx="2853055" cy="3803650"/>
                  <wp:effectExtent l="0" t="0" r="4445" b="6350"/>
                  <wp:docPr id="25" name="图片 25" descr="雨水集水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雨水集水井"/>
                          <pic:cNvPicPr>
                            <a:picLocks noChangeAspect="1"/>
                          </pic:cNvPicPr>
                        </pic:nvPicPr>
                        <pic:blipFill>
                          <a:blip r:embed="rId42"/>
                          <a:stretch>
                            <a:fillRect/>
                          </a:stretch>
                        </pic:blipFill>
                        <pic:spPr>
                          <a:xfrm>
                            <a:off x="0" y="0"/>
                            <a:ext cx="2853055" cy="3803650"/>
                          </a:xfrm>
                          <a:prstGeom prst="rect">
                            <a:avLst/>
                          </a:prstGeom>
                        </pic:spPr>
                      </pic:pic>
                    </a:graphicData>
                  </a:graphic>
                </wp:inline>
              </w:drawing>
            </w:r>
          </w:p>
        </w:tc>
        <w:tc>
          <w:tcPr>
            <w:tcW w:w="4422" w:type="dxa"/>
          </w:tcPr>
          <w:p>
            <w:pPr>
              <w:bidi w:val="0"/>
              <w:spacing w:line="240" w:lineRule="auto"/>
              <w:rPr>
                <w:rFonts w:hint="eastAsia"/>
                <w:lang w:eastAsia="zh-CN"/>
              </w:rPr>
            </w:pPr>
            <w:r>
              <w:rPr>
                <w:rFonts w:hint="eastAsia"/>
                <w:lang w:eastAsia="zh-CN"/>
              </w:rPr>
              <w:drawing>
                <wp:inline distT="0" distB="0" distL="114300" distR="114300">
                  <wp:extent cx="2809240" cy="3802380"/>
                  <wp:effectExtent l="0" t="0" r="10160" b="7620"/>
                  <wp:docPr id="28" name="图片 28" descr="渗滤液收集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渗滤液收集井"/>
                          <pic:cNvPicPr>
                            <a:picLocks noChangeAspect="1"/>
                          </pic:cNvPicPr>
                        </pic:nvPicPr>
                        <pic:blipFill>
                          <a:blip r:embed="rId43"/>
                          <a:stretch>
                            <a:fillRect/>
                          </a:stretch>
                        </pic:blipFill>
                        <pic:spPr>
                          <a:xfrm>
                            <a:off x="0" y="0"/>
                            <a:ext cx="2809240" cy="38023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8" w:type="dxa"/>
          </w:tcPr>
          <w:p>
            <w:pPr>
              <w:bidi w:val="0"/>
              <w:rPr>
                <w:rFonts w:hint="eastAsia"/>
                <w:lang w:eastAsia="zh-CN"/>
              </w:rPr>
            </w:pPr>
            <w:r>
              <w:rPr>
                <w:rFonts w:hint="eastAsia"/>
                <w:lang w:eastAsia="zh-CN"/>
              </w:rPr>
              <w:drawing>
                <wp:inline distT="0" distB="0" distL="114300" distR="114300">
                  <wp:extent cx="2853055" cy="3803650"/>
                  <wp:effectExtent l="0" t="0" r="4445" b="6350"/>
                  <wp:docPr id="29" name="图片 29" descr="地下水监测井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地下水监测井1"/>
                          <pic:cNvPicPr>
                            <a:picLocks noChangeAspect="1"/>
                          </pic:cNvPicPr>
                        </pic:nvPicPr>
                        <pic:blipFill>
                          <a:blip r:embed="rId44"/>
                          <a:stretch>
                            <a:fillRect/>
                          </a:stretch>
                        </pic:blipFill>
                        <pic:spPr>
                          <a:xfrm>
                            <a:off x="0" y="0"/>
                            <a:ext cx="2853055" cy="3803650"/>
                          </a:xfrm>
                          <a:prstGeom prst="rect">
                            <a:avLst/>
                          </a:prstGeom>
                        </pic:spPr>
                      </pic:pic>
                    </a:graphicData>
                  </a:graphic>
                </wp:inline>
              </w:drawing>
            </w:r>
          </w:p>
        </w:tc>
        <w:tc>
          <w:tcPr>
            <w:tcW w:w="4422" w:type="dxa"/>
          </w:tcPr>
          <w:p>
            <w:pPr>
              <w:bidi w:val="0"/>
              <w:rPr>
                <w:rFonts w:hint="eastAsia"/>
                <w:lang w:eastAsia="zh-CN"/>
              </w:rPr>
            </w:pPr>
            <w:r>
              <w:rPr>
                <w:rFonts w:hint="eastAsia"/>
                <w:lang w:eastAsia="zh-CN"/>
              </w:rPr>
              <w:drawing>
                <wp:inline distT="0" distB="0" distL="114300" distR="114300">
                  <wp:extent cx="2809240" cy="3859530"/>
                  <wp:effectExtent l="0" t="0" r="10160" b="7620"/>
                  <wp:docPr id="30" name="图片 30" descr="地下水环境监测井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地下水环境监测井2"/>
                          <pic:cNvPicPr>
                            <a:picLocks noChangeAspect="1"/>
                          </pic:cNvPicPr>
                        </pic:nvPicPr>
                        <pic:blipFill>
                          <a:blip r:embed="rId45"/>
                          <a:stretch>
                            <a:fillRect/>
                          </a:stretch>
                        </pic:blipFill>
                        <pic:spPr>
                          <a:xfrm>
                            <a:off x="0" y="0"/>
                            <a:ext cx="2809240" cy="38595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8" w:type="dxa"/>
          </w:tcPr>
          <w:p>
            <w:pPr>
              <w:bidi w:val="0"/>
              <w:rPr>
                <w:rFonts w:hint="eastAsia"/>
                <w:lang w:eastAsia="zh-CN"/>
              </w:rPr>
            </w:pPr>
            <w:r>
              <w:rPr>
                <w:rFonts w:hint="eastAsia"/>
                <w:lang w:eastAsia="zh-CN"/>
              </w:rPr>
              <w:drawing>
                <wp:inline distT="0" distB="0" distL="114300" distR="114300">
                  <wp:extent cx="2853055" cy="3803650"/>
                  <wp:effectExtent l="0" t="0" r="4445" b="6350"/>
                  <wp:docPr id="33" name="图片 33" descr="地下水监测井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地下水监测井3"/>
                          <pic:cNvPicPr>
                            <a:picLocks noChangeAspect="1"/>
                          </pic:cNvPicPr>
                        </pic:nvPicPr>
                        <pic:blipFill>
                          <a:blip r:embed="rId46"/>
                          <a:stretch>
                            <a:fillRect/>
                          </a:stretch>
                        </pic:blipFill>
                        <pic:spPr>
                          <a:xfrm>
                            <a:off x="0" y="0"/>
                            <a:ext cx="2853055" cy="3803650"/>
                          </a:xfrm>
                          <a:prstGeom prst="rect">
                            <a:avLst/>
                          </a:prstGeom>
                        </pic:spPr>
                      </pic:pic>
                    </a:graphicData>
                  </a:graphic>
                </wp:inline>
              </w:drawing>
            </w:r>
          </w:p>
        </w:tc>
        <w:tc>
          <w:tcPr>
            <w:tcW w:w="4422" w:type="dxa"/>
          </w:tcPr>
          <w:p>
            <w:pPr>
              <w:bidi w:val="0"/>
              <w:rPr>
                <w:rFonts w:hint="eastAsia"/>
                <w:lang w:eastAsia="zh-CN"/>
              </w:rPr>
            </w:pPr>
            <w:r>
              <w:rPr>
                <w:rFonts w:hint="eastAsia"/>
                <w:lang w:eastAsia="zh-CN"/>
              </w:rPr>
              <w:drawing>
                <wp:inline distT="0" distB="0" distL="114300" distR="114300">
                  <wp:extent cx="2809240" cy="3792855"/>
                  <wp:effectExtent l="0" t="0" r="10160" b="17145"/>
                  <wp:docPr id="34" name="图片 34" descr="地下水监测井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地下水监测井4"/>
                          <pic:cNvPicPr>
                            <a:picLocks noChangeAspect="1"/>
                          </pic:cNvPicPr>
                        </pic:nvPicPr>
                        <pic:blipFill>
                          <a:blip r:embed="rId47"/>
                          <a:stretch>
                            <a:fillRect/>
                          </a:stretch>
                        </pic:blipFill>
                        <pic:spPr>
                          <a:xfrm>
                            <a:off x="0" y="0"/>
                            <a:ext cx="2809240" cy="37928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978" w:type="dxa"/>
          </w:tcPr>
          <w:p>
            <w:pPr>
              <w:bidi w:val="0"/>
              <w:rPr>
                <w:rFonts w:hint="eastAsia"/>
                <w:lang w:eastAsia="zh-CN"/>
              </w:rPr>
            </w:pPr>
            <w:r>
              <w:rPr>
                <w:rFonts w:hint="eastAsia"/>
                <w:lang w:eastAsia="zh-CN"/>
              </w:rPr>
              <w:drawing>
                <wp:inline distT="0" distB="0" distL="114300" distR="114300">
                  <wp:extent cx="2853055" cy="3793490"/>
                  <wp:effectExtent l="0" t="0" r="4445" b="16510"/>
                  <wp:docPr id="38" name="图片 38" descr="地下水监测井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地下水监测井5"/>
                          <pic:cNvPicPr>
                            <a:picLocks noChangeAspect="1"/>
                          </pic:cNvPicPr>
                        </pic:nvPicPr>
                        <pic:blipFill>
                          <a:blip r:embed="rId48"/>
                          <a:stretch>
                            <a:fillRect/>
                          </a:stretch>
                        </pic:blipFill>
                        <pic:spPr>
                          <a:xfrm>
                            <a:off x="0" y="0"/>
                            <a:ext cx="2853055" cy="3793490"/>
                          </a:xfrm>
                          <a:prstGeom prst="rect">
                            <a:avLst/>
                          </a:prstGeom>
                        </pic:spPr>
                      </pic:pic>
                    </a:graphicData>
                  </a:graphic>
                </wp:inline>
              </w:drawing>
            </w:r>
          </w:p>
        </w:tc>
        <w:tc>
          <w:tcPr>
            <w:tcW w:w="4422" w:type="dxa"/>
          </w:tcPr>
          <w:p>
            <w:pPr>
              <w:bidi w:val="0"/>
              <w:spacing w:line="240" w:lineRule="auto"/>
              <w:rPr>
                <w:rFonts w:hint="eastAsia"/>
                <w:lang w:eastAsia="zh-CN"/>
              </w:rPr>
            </w:pPr>
            <w:r>
              <w:rPr>
                <w:rFonts w:hint="eastAsia"/>
                <w:lang w:eastAsia="zh-CN"/>
              </w:rPr>
              <w:drawing>
                <wp:inline distT="0" distB="0" distL="114300" distR="114300">
                  <wp:extent cx="2826385" cy="3804920"/>
                  <wp:effectExtent l="0" t="0" r="12065" b="5080"/>
                  <wp:docPr id="100" name="图片 100" descr="清表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清表1"/>
                          <pic:cNvPicPr>
                            <a:picLocks noChangeAspect="1"/>
                          </pic:cNvPicPr>
                        </pic:nvPicPr>
                        <pic:blipFill>
                          <a:blip r:embed="rId49"/>
                          <a:stretch>
                            <a:fillRect/>
                          </a:stretch>
                        </pic:blipFill>
                        <pic:spPr>
                          <a:xfrm>
                            <a:off x="0" y="0"/>
                            <a:ext cx="2826385" cy="38049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8" w:type="dxa"/>
          </w:tcPr>
          <w:p>
            <w:pPr>
              <w:bidi w:val="0"/>
              <w:jc w:val="center"/>
              <w:rPr>
                <w:rFonts w:hint="eastAsia"/>
                <w:lang w:eastAsia="zh-CN"/>
              </w:rPr>
            </w:pPr>
            <w:r>
              <w:rPr>
                <w:rFonts w:hint="eastAsia"/>
                <w:lang w:eastAsia="zh-CN"/>
              </w:rPr>
              <w:drawing>
                <wp:inline distT="0" distB="0" distL="114300" distR="114300">
                  <wp:extent cx="2826385" cy="3366135"/>
                  <wp:effectExtent l="0" t="0" r="12065" b="5715"/>
                  <wp:docPr id="110" name="图片 110" descr="清表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清表3"/>
                          <pic:cNvPicPr>
                            <a:picLocks noChangeAspect="1"/>
                          </pic:cNvPicPr>
                        </pic:nvPicPr>
                        <pic:blipFill>
                          <a:blip r:embed="rId50"/>
                          <a:stretch>
                            <a:fillRect/>
                          </a:stretch>
                        </pic:blipFill>
                        <pic:spPr>
                          <a:xfrm>
                            <a:off x="0" y="0"/>
                            <a:ext cx="2826385" cy="3366135"/>
                          </a:xfrm>
                          <a:prstGeom prst="rect">
                            <a:avLst/>
                          </a:prstGeom>
                        </pic:spPr>
                      </pic:pic>
                    </a:graphicData>
                  </a:graphic>
                </wp:inline>
              </w:drawing>
            </w:r>
          </w:p>
        </w:tc>
        <w:tc>
          <w:tcPr>
            <w:tcW w:w="4422" w:type="dxa"/>
          </w:tcPr>
          <w:p>
            <w:pPr>
              <w:bidi w:val="0"/>
              <w:jc w:val="center"/>
              <w:rPr>
                <w:rFonts w:hint="eastAsia"/>
                <w:lang w:eastAsia="zh-CN"/>
              </w:rPr>
            </w:pPr>
            <w:r>
              <w:rPr>
                <w:rFonts w:hint="eastAsia"/>
                <w:lang w:eastAsia="zh-CN"/>
              </w:rPr>
              <w:drawing>
                <wp:inline distT="0" distB="0" distL="114300" distR="114300">
                  <wp:extent cx="2826385" cy="3462020"/>
                  <wp:effectExtent l="0" t="0" r="12065" b="5080"/>
                  <wp:docPr id="111" name="图片 111" descr="清表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清表4"/>
                          <pic:cNvPicPr>
                            <a:picLocks noChangeAspect="1"/>
                          </pic:cNvPicPr>
                        </pic:nvPicPr>
                        <pic:blipFill>
                          <a:blip r:embed="rId51"/>
                          <a:stretch>
                            <a:fillRect/>
                          </a:stretch>
                        </pic:blipFill>
                        <pic:spPr>
                          <a:xfrm>
                            <a:off x="0" y="0"/>
                            <a:ext cx="2826385" cy="34620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00" w:type="dxa"/>
            <w:gridSpan w:val="2"/>
          </w:tcPr>
          <w:p>
            <w:pPr>
              <w:bidi w:val="0"/>
              <w:jc w:val="center"/>
              <w:rPr>
                <w:rFonts w:hint="eastAsia"/>
                <w:lang w:eastAsia="zh-CN"/>
              </w:rPr>
            </w:pPr>
            <w:r>
              <w:rPr>
                <w:rFonts w:hint="eastAsia"/>
                <w:lang w:eastAsia="zh-CN"/>
              </w:rPr>
              <w:t>清表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8" w:type="dxa"/>
          </w:tcPr>
          <w:p>
            <w:pPr>
              <w:bidi w:val="0"/>
              <w:rPr>
                <w:rFonts w:hint="eastAsia"/>
                <w:lang w:eastAsia="zh-CN"/>
              </w:rPr>
            </w:pPr>
            <w:r>
              <w:rPr>
                <w:rFonts w:hint="eastAsia"/>
                <w:lang w:eastAsia="zh-CN"/>
              </w:rPr>
              <w:drawing>
                <wp:inline distT="0" distB="0" distL="114300" distR="114300">
                  <wp:extent cx="2826385" cy="3787140"/>
                  <wp:effectExtent l="0" t="0" r="12065" b="3810"/>
                  <wp:docPr id="112" name="图片 112" descr="排水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排水1"/>
                          <pic:cNvPicPr>
                            <a:picLocks noChangeAspect="1"/>
                          </pic:cNvPicPr>
                        </pic:nvPicPr>
                        <pic:blipFill>
                          <a:blip r:embed="rId52"/>
                          <a:stretch>
                            <a:fillRect/>
                          </a:stretch>
                        </pic:blipFill>
                        <pic:spPr>
                          <a:xfrm>
                            <a:off x="0" y="0"/>
                            <a:ext cx="2826385" cy="3787140"/>
                          </a:xfrm>
                          <a:prstGeom prst="rect">
                            <a:avLst/>
                          </a:prstGeom>
                        </pic:spPr>
                      </pic:pic>
                    </a:graphicData>
                  </a:graphic>
                </wp:inline>
              </w:drawing>
            </w:r>
          </w:p>
        </w:tc>
        <w:tc>
          <w:tcPr>
            <w:tcW w:w="4422" w:type="dxa"/>
          </w:tcPr>
          <w:p>
            <w:pPr>
              <w:bidi w:val="0"/>
              <w:rPr>
                <w:rFonts w:hint="eastAsia"/>
                <w:lang w:eastAsia="zh-CN"/>
              </w:rPr>
            </w:pPr>
            <w:r>
              <w:rPr>
                <w:rFonts w:hint="eastAsia"/>
                <w:lang w:eastAsia="zh-CN"/>
              </w:rPr>
              <w:drawing>
                <wp:inline distT="0" distB="0" distL="114300" distR="114300">
                  <wp:extent cx="2826385" cy="3757930"/>
                  <wp:effectExtent l="0" t="0" r="12065" b="13970"/>
                  <wp:docPr id="113" name="图片 113" descr="排水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排水2"/>
                          <pic:cNvPicPr>
                            <a:picLocks noChangeAspect="1"/>
                          </pic:cNvPicPr>
                        </pic:nvPicPr>
                        <pic:blipFill>
                          <a:blip r:embed="rId53"/>
                          <a:stretch>
                            <a:fillRect/>
                          </a:stretch>
                        </pic:blipFill>
                        <pic:spPr>
                          <a:xfrm>
                            <a:off x="0" y="0"/>
                            <a:ext cx="2826385" cy="37579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400" w:type="dxa"/>
            <w:gridSpan w:val="2"/>
          </w:tcPr>
          <w:p>
            <w:pPr>
              <w:bidi w:val="0"/>
              <w:jc w:val="center"/>
              <w:rPr>
                <w:rFonts w:hint="eastAsia"/>
                <w:lang w:eastAsia="zh-CN"/>
              </w:rPr>
            </w:pPr>
            <w:r>
              <w:rPr>
                <w:rFonts w:hint="eastAsia"/>
                <w:lang w:eastAsia="zh-CN"/>
              </w:rPr>
              <w:t>基地排水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8" w:type="dxa"/>
          </w:tcPr>
          <w:p>
            <w:pPr>
              <w:bidi w:val="0"/>
              <w:rPr>
                <w:rFonts w:hint="eastAsia"/>
                <w:lang w:eastAsia="zh-CN"/>
              </w:rPr>
            </w:pPr>
            <w:r>
              <w:rPr>
                <w:rFonts w:hint="eastAsia"/>
                <w:lang w:eastAsia="zh-CN"/>
              </w:rPr>
              <w:drawing>
                <wp:inline distT="0" distB="0" distL="114300" distR="114300">
                  <wp:extent cx="2826385" cy="3072130"/>
                  <wp:effectExtent l="0" t="0" r="12065" b="13970"/>
                  <wp:docPr id="114" name="图片 114" descr="排水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排水5"/>
                          <pic:cNvPicPr>
                            <a:picLocks noChangeAspect="1"/>
                          </pic:cNvPicPr>
                        </pic:nvPicPr>
                        <pic:blipFill>
                          <a:blip r:embed="rId54"/>
                          <a:stretch>
                            <a:fillRect/>
                          </a:stretch>
                        </pic:blipFill>
                        <pic:spPr>
                          <a:xfrm>
                            <a:off x="0" y="0"/>
                            <a:ext cx="2826385" cy="3072130"/>
                          </a:xfrm>
                          <a:prstGeom prst="rect">
                            <a:avLst/>
                          </a:prstGeom>
                        </pic:spPr>
                      </pic:pic>
                    </a:graphicData>
                  </a:graphic>
                </wp:inline>
              </w:drawing>
            </w:r>
          </w:p>
        </w:tc>
        <w:tc>
          <w:tcPr>
            <w:tcW w:w="4422" w:type="dxa"/>
          </w:tcPr>
          <w:p>
            <w:pPr>
              <w:bidi w:val="0"/>
              <w:rPr>
                <w:rFonts w:hint="eastAsia"/>
                <w:lang w:eastAsia="zh-CN"/>
              </w:rPr>
            </w:pPr>
            <w:r>
              <w:rPr>
                <w:rFonts w:hint="eastAsia"/>
                <w:lang w:eastAsia="zh-CN"/>
              </w:rPr>
              <w:drawing>
                <wp:inline distT="0" distB="0" distL="114300" distR="114300">
                  <wp:extent cx="2826385" cy="3129280"/>
                  <wp:effectExtent l="0" t="0" r="12065" b="13970"/>
                  <wp:docPr id="116" name="图片 116" descr="排水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排水3"/>
                          <pic:cNvPicPr>
                            <a:picLocks noChangeAspect="1"/>
                          </pic:cNvPicPr>
                        </pic:nvPicPr>
                        <pic:blipFill>
                          <a:blip r:embed="rId55"/>
                          <a:stretch>
                            <a:fillRect/>
                          </a:stretch>
                        </pic:blipFill>
                        <pic:spPr>
                          <a:xfrm>
                            <a:off x="0" y="0"/>
                            <a:ext cx="2826385" cy="31292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00" w:type="dxa"/>
            <w:gridSpan w:val="2"/>
          </w:tcPr>
          <w:p>
            <w:pPr>
              <w:bidi w:val="0"/>
              <w:jc w:val="center"/>
              <w:rPr>
                <w:rFonts w:hint="eastAsia"/>
                <w:lang w:eastAsia="zh-CN"/>
              </w:rPr>
            </w:pPr>
            <w:r>
              <w:rPr>
                <w:rFonts w:hint="eastAsia"/>
                <w:lang w:eastAsia="zh-CN"/>
              </w:rPr>
              <w:t>基地排水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8" w:type="dxa"/>
          </w:tcPr>
          <w:p>
            <w:pPr>
              <w:bidi w:val="0"/>
              <w:rPr>
                <w:rFonts w:hint="eastAsia"/>
                <w:lang w:eastAsia="zh-CN"/>
              </w:rPr>
            </w:pPr>
            <w:r>
              <w:rPr>
                <w:rFonts w:hint="eastAsia"/>
                <w:lang w:eastAsia="zh-CN"/>
              </w:rPr>
              <w:drawing>
                <wp:inline distT="0" distB="0" distL="114300" distR="114300">
                  <wp:extent cx="2826385" cy="3470910"/>
                  <wp:effectExtent l="0" t="0" r="12065" b="15240"/>
                  <wp:docPr id="117" name="图片 117" descr="南侧坝体垫层浇筑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南侧坝体垫层浇筑1"/>
                          <pic:cNvPicPr>
                            <a:picLocks noChangeAspect="1"/>
                          </pic:cNvPicPr>
                        </pic:nvPicPr>
                        <pic:blipFill>
                          <a:blip r:embed="rId56"/>
                          <a:stretch>
                            <a:fillRect/>
                          </a:stretch>
                        </pic:blipFill>
                        <pic:spPr>
                          <a:xfrm>
                            <a:off x="0" y="0"/>
                            <a:ext cx="2826385" cy="3470910"/>
                          </a:xfrm>
                          <a:prstGeom prst="rect">
                            <a:avLst/>
                          </a:prstGeom>
                        </pic:spPr>
                      </pic:pic>
                    </a:graphicData>
                  </a:graphic>
                </wp:inline>
              </w:drawing>
            </w:r>
          </w:p>
        </w:tc>
        <w:tc>
          <w:tcPr>
            <w:tcW w:w="4422" w:type="dxa"/>
          </w:tcPr>
          <w:p>
            <w:pPr>
              <w:bidi w:val="0"/>
              <w:rPr>
                <w:rFonts w:hint="eastAsia"/>
                <w:lang w:eastAsia="zh-CN"/>
              </w:rPr>
            </w:pPr>
            <w:r>
              <w:rPr>
                <w:rFonts w:hint="eastAsia"/>
                <w:lang w:eastAsia="zh-CN"/>
              </w:rPr>
              <w:drawing>
                <wp:inline distT="0" distB="0" distL="114300" distR="114300">
                  <wp:extent cx="2825750" cy="3460750"/>
                  <wp:effectExtent l="0" t="0" r="12700" b="6350"/>
                  <wp:docPr id="118" name="图片 118" descr="南侧坝体垫层养护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南侧坝体垫层养护1"/>
                          <pic:cNvPicPr>
                            <a:picLocks noChangeAspect="1"/>
                          </pic:cNvPicPr>
                        </pic:nvPicPr>
                        <pic:blipFill>
                          <a:blip r:embed="rId57"/>
                          <a:stretch>
                            <a:fillRect/>
                          </a:stretch>
                        </pic:blipFill>
                        <pic:spPr>
                          <a:xfrm>
                            <a:off x="0" y="0"/>
                            <a:ext cx="2825750" cy="34607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978" w:type="dxa"/>
          </w:tcPr>
          <w:p>
            <w:pPr>
              <w:bidi w:val="0"/>
              <w:jc w:val="center"/>
              <w:rPr>
                <w:rFonts w:hint="eastAsia"/>
                <w:lang w:eastAsia="zh-CN"/>
              </w:rPr>
            </w:pPr>
            <w:r>
              <w:rPr>
                <w:rFonts w:hint="eastAsia"/>
                <w:lang w:eastAsia="zh-CN"/>
              </w:rPr>
              <w:t>南侧坝体垫层浇筑</w:t>
            </w:r>
          </w:p>
        </w:tc>
        <w:tc>
          <w:tcPr>
            <w:tcW w:w="4422" w:type="dxa"/>
          </w:tcPr>
          <w:p>
            <w:pPr>
              <w:bidi w:val="0"/>
              <w:jc w:val="center"/>
              <w:rPr>
                <w:rFonts w:hint="eastAsia"/>
                <w:lang w:eastAsia="zh-CN"/>
              </w:rPr>
            </w:pPr>
            <w:r>
              <w:rPr>
                <w:rFonts w:hint="eastAsia"/>
                <w:lang w:eastAsia="zh-CN"/>
              </w:rPr>
              <w:t>南侧坝体垫层养护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8" w:type="dxa"/>
          </w:tcPr>
          <w:p>
            <w:pPr>
              <w:bidi w:val="0"/>
              <w:rPr>
                <w:rFonts w:hint="eastAsia"/>
                <w:lang w:eastAsia="zh-CN"/>
              </w:rPr>
            </w:pPr>
            <w:r>
              <w:rPr>
                <w:rFonts w:hint="eastAsia"/>
                <w:lang w:eastAsia="zh-CN"/>
              </w:rPr>
              <w:drawing>
                <wp:inline distT="0" distB="0" distL="114300" distR="114300">
                  <wp:extent cx="2826385" cy="3481705"/>
                  <wp:effectExtent l="0" t="0" r="12065" b="4445"/>
                  <wp:docPr id="119" name="图片 119" descr="南侧坝体换填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南侧坝体换填3"/>
                          <pic:cNvPicPr>
                            <a:picLocks noChangeAspect="1"/>
                          </pic:cNvPicPr>
                        </pic:nvPicPr>
                        <pic:blipFill>
                          <a:blip r:embed="rId58"/>
                          <a:stretch>
                            <a:fillRect/>
                          </a:stretch>
                        </pic:blipFill>
                        <pic:spPr>
                          <a:xfrm>
                            <a:off x="0" y="0"/>
                            <a:ext cx="2826385" cy="3481705"/>
                          </a:xfrm>
                          <a:prstGeom prst="rect">
                            <a:avLst/>
                          </a:prstGeom>
                        </pic:spPr>
                      </pic:pic>
                    </a:graphicData>
                  </a:graphic>
                </wp:inline>
              </w:drawing>
            </w:r>
          </w:p>
        </w:tc>
        <w:tc>
          <w:tcPr>
            <w:tcW w:w="4422" w:type="dxa"/>
          </w:tcPr>
          <w:p>
            <w:pPr>
              <w:bidi w:val="0"/>
              <w:rPr>
                <w:rFonts w:hint="eastAsia"/>
                <w:lang w:eastAsia="zh-CN"/>
              </w:rPr>
            </w:pPr>
            <w:r>
              <w:rPr>
                <w:rFonts w:hint="eastAsia"/>
                <w:lang w:eastAsia="zh-CN"/>
              </w:rPr>
              <w:drawing>
                <wp:inline distT="0" distB="0" distL="114300" distR="114300">
                  <wp:extent cx="2826385" cy="3491230"/>
                  <wp:effectExtent l="0" t="0" r="12065" b="13970"/>
                  <wp:docPr id="120" name="图片 120" descr="南侧坝体清淤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南侧坝体清淤2"/>
                          <pic:cNvPicPr>
                            <a:picLocks noChangeAspect="1"/>
                          </pic:cNvPicPr>
                        </pic:nvPicPr>
                        <pic:blipFill>
                          <a:blip r:embed="rId59"/>
                          <a:stretch>
                            <a:fillRect/>
                          </a:stretch>
                        </pic:blipFill>
                        <pic:spPr>
                          <a:xfrm>
                            <a:off x="0" y="0"/>
                            <a:ext cx="2826385" cy="34912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8" w:type="dxa"/>
          </w:tcPr>
          <w:p>
            <w:pPr>
              <w:bidi w:val="0"/>
              <w:jc w:val="center"/>
              <w:rPr>
                <w:rFonts w:hint="eastAsia"/>
                <w:lang w:eastAsia="zh-CN"/>
              </w:rPr>
            </w:pPr>
            <w:r>
              <w:rPr>
                <w:rFonts w:hint="eastAsia"/>
                <w:lang w:eastAsia="zh-CN"/>
              </w:rPr>
              <w:t>南侧坝体换填</w:t>
            </w:r>
          </w:p>
        </w:tc>
        <w:tc>
          <w:tcPr>
            <w:tcW w:w="4422" w:type="dxa"/>
          </w:tcPr>
          <w:p>
            <w:pPr>
              <w:bidi w:val="0"/>
              <w:jc w:val="center"/>
              <w:rPr>
                <w:rFonts w:hint="eastAsia"/>
                <w:lang w:eastAsia="zh-CN"/>
              </w:rPr>
            </w:pPr>
            <w:r>
              <w:rPr>
                <w:rFonts w:hint="eastAsia"/>
                <w:lang w:eastAsia="zh-CN"/>
              </w:rPr>
              <w:t>南侧坝体清淤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8" w:type="dxa"/>
          </w:tcPr>
          <w:p>
            <w:pPr>
              <w:bidi w:val="0"/>
              <w:rPr>
                <w:rFonts w:hint="eastAsia"/>
                <w:lang w:eastAsia="zh-CN"/>
              </w:rPr>
            </w:pPr>
            <w:r>
              <w:rPr>
                <w:rFonts w:hint="eastAsia"/>
                <w:lang w:eastAsia="zh-CN"/>
              </w:rPr>
              <w:drawing>
                <wp:inline distT="0" distB="0" distL="114300" distR="114300">
                  <wp:extent cx="2826385" cy="3719195"/>
                  <wp:effectExtent l="0" t="0" r="12065" b="14605"/>
                  <wp:docPr id="121" name="图片 121" descr="土石方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土石方6"/>
                          <pic:cNvPicPr>
                            <a:picLocks noChangeAspect="1"/>
                          </pic:cNvPicPr>
                        </pic:nvPicPr>
                        <pic:blipFill>
                          <a:blip r:embed="rId60"/>
                          <a:stretch>
                            <a:fillRect/>
                          </a:stretch>
                        </pic:blipFill>
                        <pic:spPr>
                          <a:xfrm>
                            <a:off x="0" y="0"/>
                            <a:ext cx="2826385" cy="3719195"/>
                          </a:xfrm>
                          <a:prstGeom prst="rect">
                            <a:avLst/>
                          </a:prstGeom>
                        </pic:spPr>
                      </pic:pic>
                    </a:graphicData>
                  </a:graphic>
                </wp:inline>
              </w:drawing>
            </w:r>
          </w:p>
        </w:tc>
        <w:tc>
          <w:tcPr>
            <w:tcW w:w="4422" w:type="dxa"/>
          </w:tcPr>
          <w:p>
            <w:pPr>
              <w:bidi w:val="0"/>
              <w:rPr>
                <w:rFonts w:hint="eastAsia"/>
                <w:lang w:eastAsia="zh-CN"/>
              </w:rPr>
            </w:pPr>
            <w:r>
              <w:rPr>
                <w:rFonts w:hint="eastAsia"/>
                <w:lang w:eastAsia="zh-CN"/>
              </w:rPr>
              <w:drawing>
                <wp:inline distT="0" distB="0" distL="114300" distR="114300">
                  <wp:extent cx="2826385" cy="3624580"/>
                  <wp:effectExtent l="0" t="0" r="12065" b="13970"/>
                  <wp:docPr id="122" name="图片 122" descr="砌体施工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砌体施工3"/>
                          <pic:cNvPicPr>
                            <a:picLocks noChangeAspect="1"/>
                          </pic:cNvPicPr>
                        </pic:nvPicPr>
                        <pic:blipFill>
                          <a:blip r:embed="rId61"/>
                          <a:stretch>
                            <a:fillRect/>
                          </a:stretch>
                        </pic:blipFill>
                        <pic:spPr>
                          <a:xfrm>
                            <a:off x="0" y="0"/>
                            <a:ext cx="2826385" cy="36245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978" w:type="dxa"/>
          </w:tcPr>
          <w:p>
            <w:pPr>
              <w:bidi w:val="0"/>
              <w:jc w:val="center"/>
              <w:rPr>
                <w:rFonts w:hint="eastAsia"/>
                <w:lang w:eastAsia="zh-CN"/>
              </w:rPr>
            </w:pPr>
            <w:r>
              <w:rPr>
                <w:rFonts w:hint="eastAsia"/>
                <w:lang w:eastAsia="zh-CN"/>
              </w:rPr>
              <w:t>土石方整理</w:t>
            </w:r>
          </w:p>
        </w:tc>
        <w:tc>
          <w:tcPr>
            <w:tcW w:w="4422" w:type="dxa"/>
          </w:tcPr>
          <w:p>
            <w:pPr>
              <w:bidi w:val="0"/>
              <w:jc w:val="center"/>
              <w:rPr>
                <w:rFonts w:hint="eastAsia"/>
                <w:lang w:eastAsia="zh-CN"/>
              </w:rPr>
            </w:pPr>
            <w:r>
              <w:rPr>
                <w:rFonts w:hint="eastAsia"/>
                <w:lang w:eastAsia="zh-CN"/>
              </w:rPr>
              <w:t>砌土施工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8" w:type="dxa"/>
          </w:tcPr>
          <w:p>
            <w:pPr>
              <w:bidi w:val="0"/>
              <w:rPr>
                <w:rFonts w:hint="eastAsia"/>
                <w:lang w:eastAsia="zh-CN"/>
              </w:rPr>
            </w:pPr>
            <w:r>
              <w:rPr>
                <w:rFonts w:hint="eastAsia"/>
                <w:lang w:eastAsia="zh-CN"/>
              </w:rPr>
              <w:drawing>
                <wp:inline distT="0" distB="0" distL="114300" distR="114300">
                  <wp:extent cx="2826385" cy="3557905"/>
                  <wp:effectExtent l="0" t="0" r="12065" b="4445"/>
                  <wp:docPr id="123" name="图片 123" descr="砌体施工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砌体施工11"/>
                          <pic:cNvPicPr>
                            <a:picLocks noChangeAspect="1"/>
                          </pic:cNvPicPr>
                        </pic:nvPicPr>
                        <pic:blipFill>
                          <a:blip r:embed="rId62"/>
                          <a:stretch>
                            <a:fillRect/>
                          </a:stretch>
                        </pic:blipFill>
                        <pic:spPr>
                          <a:xfrm>
                            <a:off x="0" y="0"/>
                            <a:ext cx="2826385" cy="3557905"/>
                          </a:xfrm>
                          <a:prstGeom prst="rect">
                            <a:avLst/>
                          </a:prstGeom>
                        </pic:spPr>
                      </pic:pic>
                    </a:graphicData>
                  </a:graphic>
                </wp:inline>
              </w:drawing>
            </w:r>
          </w:p>
        </w:tc>
        <w:tc>
          <w:tcPr>
            <w:tcW w:w="4422" w:type="dxa"/>
          </w:tcPr>
          <w:p>
            <w:pPr>
              <w:bidi w:val="0"/>
              <w:rPr>
                <w:rFonts w:hint="eastAsia"/>
                <w:lang w:eastAsia="zh-CN"/>
              </w:rPr>
            </w:pPr>
            <w:r>
              <w:rPr>
                <w:rFonts w:hint="eastAsia"/>
                <w:lang w:eastAsia="zh-CN"/>
              </w:rPr>
              <w:drawing>
                <wp:inline distT="0" distB="0" distL="114300" distR="114300">
                  <wp:extent cx="2814320" cy="3467735"/>
                  <wp:effectExtent l="0" t="0" r="5080" b="18415"/>
                  <wp:docPr id="124" name="图片 124" descr="砌体施工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砌体施工20"/>
                          <pic:cNvPicPr>
                            <a:picLocks noChangeAspect="1"/>
                          </pic:cNvPicPr>
                        </pic:nvPicPr>
                        <pic:blipFill>
                          <a:blip r:embed="rId63"/>
                          <a:stretch>
                            <a:fillRect/>
                          </a:stretch>
                        </pic:blipFill>
                        <pic:spPr>
                          <a:xfrm>
                            <a:off x="0" y="0"/>
                            <a:ext cx="2814320" cy="34677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00" w:type="dxa"/>
            <w:gridSpan w:val="2"/>
          </w:tcPr>
          <w:p>
            <w:pPr>
              <w:bidi w:val="0"/>
              <w:jc w:val="center"/>
              <w:rPr>
                <w:rFonts w:hint="eastAsia"/>
                <w:lang w:eastAsia="zh-CN"/>
              </w:rPr>
            </w:pPr>
            <w:r>
              <w:rPr>
                <w:rFonts w:hint="eastAsia"/>
                <w:lang w:eastAsia="zh-CN"/>
              </w:rPr>
              <w:t>砌土施工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8" w:type="dxa"/>
          </w:tcPr>
          <w:p>
            <w:pPr>
              <w:bidi w:val="0"/>
              <w:rPr>
                <w:rFonts w:hint="eastAsia"/>
                <w:lang w:eastAsia="zh-CN"/>
              </w:rPr>
            </w:pPr>
            <w:r>
              <w:rPr>
                <w:rFonts w:hint="eastAsia"/>
                <w:lang w:eastAsia="zh-CN"/>
              </w:rPr>
              <w:drawing>
                <wp:inline distT="0" distB="0" distL="114300" distR="114300">
                  <wp:extent cx="2849245" cy="4084320"/>
                  <wp:effectExtent l="0" t="0" r="8255" b="11430"/>
                  <wp:docPr id="125" name="图片 125" descr="地下水盲沟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地下水盲沟 (4)"/>
                          <pic:cNvPicPr>
                            <a:picLocks noChangeAspect="1"/>
                          </pic:cNvPicPr>
                        </pic:nvPicPr>
                        <pic:blipFill>
                          <a:blip r:embed="rId64"/>
                          <a:stretch>
                            <a:fillRect/>
                          </a:stretch>
                        </pic:blipFill>
                        <pic:spPr>
                          <a:xfrm>
                            <a:off x="0" y="0"/>
                            <a:ext cx="2849245" cy="4084320"/>
                          </a:xfrm>
                          <a:prstGeom prst="rect">
                            <a:avLst/>
                          </a:prstGeom>
                        </pic:spPr>
                      </pic:pic>
                    </a:graphicData>
                  </a:graphic>
                </wp:inline>
              </w:drawing>
            </w:r>
          </w:p>
        </w:tc>
        <w:tc>
          <w:tcPr>
            <w:tcW w:w="4422" w:type="dxa"/>
          </w:tcPr>
          <w:p>
            <w:pPr>
              <w:bidi w:val="0"/>
              <w:rPr>
                <w:rFonts w:hint="eastAsia"/>
                <w:lang w:eastAsia="zh-CN"/>
              </w:rPr>
            </w:pPr>
            <w:r>
              <w:rPr>
                <w:rFonts w:hint="eastAsia"/>
                <w:lang w:eastAsia="zh-CN"/>
              </w:rPr>
              <w:drawing>
                <wp:inline distT="0" distB="0" distL="114300" distR="114300">
                  <wp:extent cx="2826385" cy="4061460"/>
                  <wp:effectExtent l="0" t="0" r="12065" b="15240"/>
                  <wp:docPr id="126" name="图片 126" descr="地下水盲沟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地下水盲沟 (13)"/>
                          <pic:cNvPicPr>
                            <a:picLocks noChangeAspect="1"/>
                          </pic:cNvPicPr>
                        </pic:nvPicPr>
                        <pic:blipFill>
                          <a:blip r:embed="rId65"/>
                          <a:stretch>
                            <a:fillRect/>
                          </a:stretch>
                        </pic:blipFill>
                        <pic:spPr>
                          <a:xfrm>
                            <a:off x="0" y="0"/>
                            <a:ext cx="2826385" cy="40614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400" w:type="dxa"/>
            <w:gridSpan w:val="2"/>
          </w:tcPr>
          <w:p>
            <w:pPr>
              <w:bidi w:val="0"/>
              <w:jc w:val="center"/>
              <w:rPr>
                <w:rFonts w:hint="eastAsia"/>
                <w:lang w:eastAsia="zh-CN"/>
              </w:rPr>
            </w:pPr>
            <w:r>
              <w:rPr>
                <w:rFonts w:hint="eastAsia"/>
                <w:lang w:eastAsia="zh-CN"/>
              </w:rPr>
              <w:t>地下水盲沟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8" w:type="dxa"/>
          </w:tcPr>
          <w:p>
            <w:pPr>
              <w:bidi w:val="0"/>
              <w:rPr>
                <w:rFonts w:hint="eastAsia"/>
                <w:lang w:eastAsia="zh-CN"/>
              </w:rPr>
            </w:pPr>
            <w:r>
              <w:rPr>
                <w:rFonts w:hint="eastAsia"/>
                <w:lang w:eastAsia="zh-CN"/>
              </w:rPr>
              <w:drawing>
                <wp:inline distT="0" distB="0" distL="114300" distR="114300">
                  <wp:extent cx="2826385" cy="3843020"/>
                  <wp:effectExtent l="0" t="0" r="12065" b="5080"/>
                  <wp:docPr id="127" name="图片 127" descr="1、200g有纺土工布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1、200g有纺土工布1"/>
                          <pic:cNvPicPr>
                            <a:picLocks noChangeAspect="1"/>
                          </pic:cNvPicPr>
                        </pic:nvPicPr>
                        <pic:blipFill>
                          <a:blip r:embed="rId66"/>
                          <a:stretch>
                            <a:fillRect/>
                          </a:stretch>
                        </pic:blipFill>
                        <pic:spPr>
                          <a:xfrm>
                            <a:off x="0" y="0"/>
                            <a:ext cx="2826385" cy="3843020"/>
                          </a:xfrm>
                          <a:prstGeom prst="rect">
                            <a:avLst/>
                          </a:prstGeom>
                        </pic:spPr>
                      </pic:pic>
                    </a:graphicData>
                  </a:graphic>
                </wp:inline>
              </w:drawing>
            </w:r>
          </w:p>
        </w:tc>
        <w:tc>
          <w:tcPr>
            <w:tcW w:w="4422" w:type="dxa"/>
          </w:tcPr>
          <w:p>
            <w:pPr>
              <w:bidi w:val="0"/>
              <w:rPr>
                <w:rFonts w:hint="eastAsia"/>
                <w:lang w:eastAsia="zh-CN"/>
              </w:rPr>
            </w:pPr>
            <w:r>
              <w:rPr>
                <w:rFonts w:hint="eastAsia"/>
                <w:lang w:eastAsia="zh-CN"/>
              </w:rPr>
              <w:drawing>
                <wp:inline distT="0" distB="0" distL="114300" distR="114300">
                  <wp:extent cx="2826385" cy="3852545"/>
                  <wp:effectExtent l="0" t="0" r="12065" b="14605"/>
                  <wp:docPr id="128" name="图片 128" descr="2、35cm碎石导流层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2、35cm碎石导流层2"/>
                          <pic:cNvPicPr>
                            <a:picLocks noChangeAspect="1"/>
                          </pic:cNvPicPr>
                        </pic:nvPicPr>
                        <pic:blipFill>
                          <a:blip r:embed="rId67"/>
                          <a:stretch>
                            <a:fillRect/>
                          </a:stretch>
                        </pic:blipFill>
                        <pic:spPr>
                          <a:xfrm>
                            <a:off x="0" y="0"/>
                            <a:ext cx="2826385" cy="385254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8" w:type="dxa"/>
          </w:tcPr>
          <w:p>
            <w:pPr>
              <w:bidi w:val="0"/>
              <w:jc w:val="center"/>
              <w:rPr>
                <w:rFonts w:hint="eastAsia"/>
                <w:lang w:eastAsia="zh-CN"/>
              </w:rPr>
            </w:pPr>
            <w:r>
              <w:rPr>
                <w:rFonts w:hint="eastAsia"/>
                <w:lang w:eastAsia="zh-CN"/>
              </w:rPr>
              <w:t>200g有纺土工布</w:t>
            </w:r>
          </w:p>
        </w:tc>
        <w:tc>
          <w:tcPr>
            <w:tcW w:w="4422" w:type="dxa"/>
          </w:tcPr>
          <w:p>
            <w:pPr>
              <w:bidi w:val="0"/>
              <w:jc w:val="center"/>
              <w:rPr>
                <w:rFonts w:hint="eastAsia"/>
                <w:lang w:eastAsia="zh-CN"/>
              </w:rPr>
            </w:pPr>
            <w:r>
              <w:rPr>
                <w:rFonts w:hint="eastAsia"/>
                <w:lang w:eastAsia="zh-CN"/>
              </w:rPr>
              <w:t>35cm碎石导流层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8" w:type="dxa"/>
          </w:tcPr>
          <w:p>
            <w:pPr>
              <w:bidi w:val="0"/>
              <w:rPr>
                <w:rFonts w:hint="eastAsia"/>
                <w:lang w:eastAsia="zh-CN"/>
              </w:rPr>
            </w:pPr>
            <w:r>
              <w:rPr>
                <w:rFonts w:hint="eastAsia"/>
                <w:lang w:eastAsia="zh-CN"/>
              </w:rPr>
              <w:drawing>
                <wp:inline distT="0" distB="0" distL="114300" distR="114300">
                  <wp:extent cx="2826385" cy="3195320"/>
                  <wp:effectExtent l="0" t="0" r="12065" b="5080"/>
                  <wp:docPr id="147" name="图片 147" descr="3、400g土工布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3、400g土工布1"/>
                          <pic:cNvPicPr>
                            <a:picLocks noChangeAspect="1"/>
                          </pic:cNvPicPr>
                        </pic:nvPicPr>
                        <pic:blipFill>
                          <a:blip r:embed="rId68"/>
                          <a:stretch>
                            <a:fillRect/>
                          </a:stretch>
                        </pic:blipFill>
                        <pic:spPr>
                          <a:xfrm>
                            <a:off x="0" y="0"/>
                            <a:ext cx="2826385" cy="3195320"/>
                          </a:xfrm>
                          <a:prstGeom prst="rect">
                            <a:avLst/>
                          </a:prstGeom>
                        </pic:spPr>
                      </pic:pic>
                    </a:graphicData>
                  </a:graphic>
                </wp:inline>
              </w:drawing>
            </w:r>
          </w:p>
        </w:tc>
        <w:tc>
          <w:tcPr>
            <w:tcW w:w="4422" w:type="dxa"/>
          </w:tcPr>
          <w:p>
            <w:pPr>
              <w:bidi w:val="0"/>
              <w:rPr>
                <w:rFonts w:hint="eastAsia"/>
                <w:lang w:eastAsia="zh-CN"/>
              </w:rPr>
            </w:pPr>
            <w:r>
              <w:rPr>
                <w:rFonts w:hint="eastAsia"/>
                <w:lang w:eastAsia="zh-CN"/>
              </w:rPr>
              <w:drawing>
                <wp:inline distT="0" distB="0" distL="114300" distR="114300">
                  <wp:extent cx="2795270" cy="3276600"/>
                  <wp:effectExtent l="0" t="0" r="5080" b="0"/>
                  <wp:docPr id="148" name="图片 148" descr="4、50cm粘土层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4、50cm粘土层6"/>
                          <pic:cNvPicPr>
                            <a:picLocks noChangeAspect="1"/>
                          </pic:cNvPicPr>
                        </pic:nvPicPr>
                        <pic:blipFill>
                          <a:blip r:embed="rId69"/>
                          <a:stretch>
                            <a:fillRect/>
                          </a:stretch>
                        </pic:blipFill>
                        <pic:spPr>
                          <a:xfrm>
                            <a:off x="0" y="0"/>
                            <a:ext cx="2795270" cy="32766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978" w:type="dxa"/>
          </w:tcPr>
          <w:p>
            <w:pPr>
              <w:bidi w:val="0"/>
              <w:jc w:val="center"/>
              <w:rPr>
                <w:rFonts w:hint="eastAsia"/>
                <w:lang w:eastAsia="zh-CN"/>
              </w:rPr>
            </w:pPr>
            <w:r>
              <w:rPr>
                <w:rFonts w:hint="eastAsia"/>
                <w:lang w:val="en-US" w:eastAsia="zh-CN"/>
              </w:rPr>
              <w:t>4</w:t>
            </w:r>
            <w:r>
              <w:rPr>
                <w:rFonts w:hint="eastAsia"/>
                <w:lang w:eastAsia="zh-CN"/>
              </w:rPr>
              <w:t>00g有纺土工布</w:t>
            </w:r>
          </w:p>
        </w:tc>
        <w:tc>
          <w:tcPr>
            <w:tcW w:w="4422" w:type="dxa"/>
          </w:tcPr>
          <w:p>
            <w:pPr>
              <w:bidi w:val="0"/>
              <w:jc w:val="center"/>
              <w:rPr>
                <w:rFonts w:hint="eastAsia"/>
                <w:lang w:eastAsia="zh-CN"/>
              </w:rPr>
            </w:pPr>
            <w:r>
              <w:rPr>
                <w:rFonts w:hint="eastAsia"/>
                <w:lang w:val="en-US" w:eastAsia="zh-CN"/>
              </w:rPr>
              <w:t>50cm粘土层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8" w:type="dxa"/>
          </w:tcPr>
          <w:p>
            <w:pPr>
              <w:bidi w:val="0"/>
              <w:rPr>
                <w:rFonts w:hint="eastAsia"/>
                <w:lang w:eastAsia="zh-CN"/>
              </w:rPr>
            </w:pPr>
            <w:r>
              <w:rPr>
                <w:rFonts w:hint="eastAsia"/>
                <w:lang w:eastAsia="zh-CN"/>
              </w:rPr>
              <w:drawing>
                <wp:inline distT="0" distB="0" distL="114300" distR="114300">
                  <wp:extent cx="2826385" cy="3223895"/>
                  <wp:effectExtent l="0" t="0" r="12065" b="14605"/>
                  <wp:docPr id="149" name="图片 149" descr="5、GCL垫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5、GCL垫3"/>
                          <pic:cNvPicPr>
                            <a:picLocks noChangeAspect="1"/>
                          </pic:cNvPicPr>
                        </pic:nvPicPr>
                        <pic:blipFill>
                          <a:blip r:embed="rId70"/>
                          <a:stretch>
                            <a:fillRect/>
                          </a:stretch>
                        </pic:blipFill>
                        <pic:spPr>
                          <a:xfrm>
                            <a:off x="0" y="0"/>
                            <a:ext cx="2826385" cy="3223895"/>
                          </a:xfrm>
                          <a:prstGeom prst="rect">
                            <a:avLst/>
                          </a:prstGeom>
                        </pic:spPr>
                      </pic:pic>
                    </a:graphicData>
                  </a:graphic>
                </wp:inline>
              </w:drawing>
            </w:r>
          </w:p>
        </w:tc>
        <w:tc>
          <w:tcPr>
            <w:tcW w:w="4422" w:type="dxa"/>
          </w:tcPr>
          <w:p>
            <w:pPr>
              <w:bidi w:val="0"/>
              <w:rPr>
                <w:rFonts w:hint="eastAsia"/>
                <w:lang w:eastAsia="zh-CN"/>
              </w:rPr>
            </w:pPr>
            <w:r>
              <w:rPr>
                <w:rFonts w:hint="eastAsia"/>
                <w:lang w:eastAsia="zh-CN"/>
              </w:rPr>
              <w:drawing>
                <wp:inline distT="0" distB="0" distL="114300" distR="114300">
                  <wp:extent cx="2795270" cy="3201035"/>
                  <wp:effectExtent l="0" t="0" r="5080" b="18415"/>
                  <wp:docPr id="150" name="图片 150" descr="5、GCL垫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5、GCL垫8"/>
                          <pic:cNvPicPr>
                            <a:picLocks noChangeAspect="1"/>
                          </pic:cNvPicPr>
                        </pic:nvPicPr>
                        <pic:blipFill>
                          <a:blip r:embed="rId71"/>
                          <a:stretch>
                            <a:fillRect/>
                          </a:stretch>
                        </pic:blipFill>
                        <pic:spPr>
                          <a:xfrm>
                            <a:off x="0" y="0"/>
                            <a:ext cx="2795270" cy="32010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00" w:type="dxa"/>
            <w:gridSpan w:val="2"/>
          </w:tcPr>
          <w:p>
            <w:pPr>
              <w:bidi w:val="0"/>
              <w:jc w:val="center"/>
              <w:rPr>
                <w:rFonts w:hint="eastAsia"/>
                <w:lang w:eastAsia="zh-CN"/>
              </w:rPr>
            </w:pPr>
            <w:r>
              <w:rPr>
                <w:rFonts w:hint="eastAsia"/>
                <w:lang w:eastAsia="zh-CN"/>
              </w:rPr>
              <w:t>GCL垫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2" w:hRule="atLeast"/>
        </w:trPr>
        <w:tc>
          <w:tcPr>
            <w:tcW w:w="4978" w:type="dxa"/>
          </w:tcPr>
          <w:p>
            <w:pPr>
              <w:bidi w:val="0"/>
              <w:rPr>
                <w:rFonts w:hint="eastAsia"/>
                <w:lang w:eastAsia="zh-CN"/>
              </w:rPr>
            </w:pPr>
            <w:r>
              <w:rPr>
                <w:rFonts w:hint="eastAsia"/>
                <w:lang w:eastAsia="zh-CN"/>
              </w:rPr>
              <w:drawing>
                <wp:inline distT="0" distB="0" distL="114300" distR="114300">
                  <wp:extent cx="2826385" cy="3424555"/>
                  <wp:effectExtent l="0" t="0" r="12065" b="4445"/>
                  <wp:docPr id="151" name="图片 151" descr="6、HDPE膜施工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6、HDPE膜施工1"/>
                          <pic:cNvPicPr>
                            <a:picLocks noChangeAspect="1"/>
                          </pic:cNvPicPr>
                        </pic:nvPicPr>
                        <pic:blipFill>
                          <a:blip r:embed="rId72"/>
                          <a:stretch>
                            <a:fillRect/>
                          </a:stretch>
                        </pic:blipFill>
                        <pic:spPr>
                          <a:xfrm>
                            <a:off x="0" y="0"/>
                            <a:ext cx="2826385" cy="3424555"/>
                          </a:xfrm>
                          <a:prstGeom prst="rect">
                            <a:avLst/>
                          </a:prstGeom>
                        </pic:spPr>
                      </pic:pic>
                    </a:graphicData>
                  </a:graphic>
                </wp:inline>
              </w:drawing>
            </w:r>
          </w:p>
        </w:tc>
        <w:tc>
          <w:tcPr>
            <w:tcW w:w="4422" w:type="dxa"/>
          </w:tcPr>
          <w:p>
            <w:pPr>
              <w:bidi w:val="0"/>
              <w:rPr>
                <w:rFonts w:hint="eastAsia"/>
                <w:lang w:val="en-US" w:eastAsia="zh-CN"/>
              </w:rPr>
            </w:pPr>
            <w:r>
              <w:rPr>
                <w:rFonts w:hint="eastAsia"/>
                <w:lang w:eastAsia="zh-CN"/>
              </w:rPr>
              <w:drawing>
                <wp:inline distT="0" distB="0" distL="114300" distR="114300">
                  <wp:extent cx="2795270" cy="3467100"/>
                  <wp:effectExtent l="0" t="0" r="5080" b="0"/>
                  <wp:docPr id="154" name="图片 154" descr="6、HDPE膜施工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6、HDPE膜施工9"/>
                          <pic:cNvPicPr>
                            <a:picLocks noChangeAspect="1"/>
                          </pic:cNvPicPr>
                        </pic:nvPicPr>
                        <pic:blipFill>
                          <a:blip r:embed="rId73"/>
                          <a:stretch>
                            <a:fillRect/>
                          </a:stretch>
                        </pic:blipFill>
                        <pic:spPr>
                          <a:xfrm>
                            <a:off x="0" y="0"/>
                            <a:ext cx="2795270" cy="34671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00" w:type="dxa"/>
            <w:gridSpan w:val="2"/>
          </w:tcPr>
          <w:p>
            <w:pPr>
              <w:bidi w:val="0"/>
              <w:jc w:val="center"/>
              <w:rPr>
                <w:rFonts w:hint="eastAsia"/>
                <w:lang w:eastAsia="zh-CN"/>
              </w:rPr>
            </w:pPr>
            <w:r>
              <w:rPr>
                <w:rFonts w:hint="eastAsia"/>
                <w:lang w:eastAsia="zh-CN"/>
              </w:rPr>
              <w:t>HDPE膜施工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8" w:type="dxa"/>
          </w:tcPr>
          <w:p>
            <w:pPr>
              <w:bidi w:val="0"/>
              <w:rPr>
                <w:rFonts w:hint="eastAsia"/>
                <w:lang w:eastAsia="zh-CN"/>
              </w:rPr>
            </w:pPr>
            <w:r>
              <w:rPr>
                <w:rFonts w:hint="eastAsia"/>
                <w:lang w:eastAsia="zh-CN"/>
              </w:rPr>
              <w:drawing>
                <wp:inline distT="0" distB="0" distL="114300" distR="114300">
                  <wp:extent cx="2826385" cy="3528060"/>
                  <wp:effectExtent l="0" t="0" r="12065" b="15240"/>
                  <wp:docPr id="155" name="图片 155" descr="7、复合土工排水网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7、复合土工排水网3"/>
                          <pic:cNvPicPr>
                            <a:picLocks noChangeAspect="1"/>
                          </pic:cNvPicPr>
                        </pic:nvPicPr>
                        <pic:blipFill>
                          <a:blip r:embed="rId74"/>
                          <a:stretch>
                            <a:fillRect/>
                          </a:stretch>
                        </pic:blipFill>
                        <pic:spPr>
                          <a:xfrm>
                            <a:off x="0" y="0"/>
                            <a:ext cx="2826385" cy="3528060"/>
                          </a:xfrm>
                          <a:prstGeom prst="rect">
                            <a:avLst/>
                          </a:prstGeom>
                        </pic:spPr>
                      </pic:pic>
                    </a:graphicData>
                  </a:graphic>
                </wp:inline>
              </w:drawing>
            </w:r>
          </w:p>
        </w:tc>
        <w:tc>
          <w:tcPr>
            <w:tcW w:w="4422" w:type="dxa"/>
          </w:tcPr>
          <w:p>
            <w:pPr>
              <w:bidi w:val="0"/>
              <w:rPr>
                <w:rFonts w:hint="eastAsia"/>
                <w:lang w:eastAsia="zh-CN"/>
              </w:rPr>
            </w:pPr>
            <w:r>
              <w:rPr>
                <w:rFonts w:hint="eastAsia"/>
                <w:lang w:eastAsia="zh-CN"/>
              </w:rPr>
              <w:drawing>
                <wp:inline distT="0" distB="0" distL="114300" distR="114300">
                  <wp:extent cx="2826385" cy="3529330"/>
                  <wp:effectExtent l="0" t="0" r="12065" b="13970"/>
                  <wp:docPr id="156" name="图片 156" descr="7、复合土工排水网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7、复合土工排水网5"/>
                          <pic:cNvPicPr>
                            <a:picLocks noChangeAspect="1"/>
                          </pic:cNvPicPr>
                        </pic:nvPicPr>
                        <pic:blipFill>
                          <a:blip r:embed="rId75"/>
                          <a:stretch>
                            <a:fillRect/>
                          </a:stretch>
                        </pic:blipFill>
                        <pic:spPr>
                          <a:xfrm>
                            <a:off x="0" y="0"/>
                            <a:ext cx="2826385" cy="35293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00" w:type="dxa"/>
            <w:gridSpan w:val="2"/>
          </w:tcPr>
          <w:p>
            <w:pPr>
              <w:bidi w:val="0"/>
              <w:jc w:val="center"/>
              <w:rPr>
                <w:rFonts w:hint="eastAsia"/>
                <w:lang w:eastAsia="zh-CN"/>
              </w:rPr>
            </w:pPr>
            <w:r>
              <w:rPr>
                <w:rFonts w:hint="eastAsia"/>
                <w:lang w:eastAsia="zh-CN"/>
              </w:rPr>
              <w:t>复合土工排水网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8" w:type="dxa"/>
          </w:tcPr>
          <w:p>
            <w:pPr>
              <w:bidi w:val="0"/>
              <w:rPr>
                <w:rFonts w:hint="eastAsia"/>
                <w:lang w:eastAsia="zh-CN"/>
              </w:rPr>
            </w:pPr>
            <w:r>
              <w:rPr>
                <w:rFonts w:hint="eastAsia"/>
                <w:lang w:eastAsia="zh-CN"/>
              </w:rPr>
              <w:drawing>
                <wp:inline distT="0" distB="0" distL="114300" distR="114300">
                  <wp:extent cx="2795270" cy="3343275"/>
                  <wp:effectExtent l="0" t="0" r="5080" b="9525"/>
                  <wp:docPr id="157" name="图片 157" descr="8、600g土工布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8、600g土工布1"/>
                          <pic:cNvPicPr>
                            <a:picLocks noChangeAspect="1"/>
                          </pic:cNvPicPr>
                        </pic:nvPicPr>
                        <pic:blipFill>
                          <a:blip r:embed="rId76"/>
                          <a:stretch>
                            <a:fillRect/>
                          </a:stretch>
                        </pic:blipFill>
                        <pic:spPr>
                          <a:xfrm>
                            <a:off x="0" y="0"/>
                            <a:ext cx="2795270" cy="3343275"/>
                          </a:xfrm>
                          <a:prstGeom prst="rect">
                            <a:avLst/>
                          </a:prstGeom>
                        </pic:spPr>
                      </pic:pic>
                    </a:graphicData>
                  </a:graphic>
                </wp:inline>
              </w:drawing>
            </w:r>
          </w:p>
        </w:tc>
        <w:tc>
          <w:tcPr>
            <w:tcW w:w="4422" w:type="dxa"/>
          </w:tcPr>
          <w:p>
            <w:pPr>
              <w:bidi w:val="0"/>
              <w:rPr>
                <w:rFonts w:hint="eastAsia"/>
                <w:lang w:eastAsia="zh-CN"/>
              </w:rPr>
            </w:pPr>
            <w:r>
              <w:rPr>
                <w:rFonts w:hint="eastAsia"/>
                <w:lang w:eastAsia="zh-CN"/>
              </w:rPr>
              <w:drawing>
                <wp:inline distT="0" distB="0" distL="114300" distR="114300">
                  <wp:extent cx="2795270" cy="3276600"/>
                  <wp:effectExtent l="0" t="0" r="5080" b="0"/>
                  <wp:docPr id="158" name="图片 158" descr="8、600g土工布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8、600g土工布4"/>
                          <pic:cNvPicPr>
                            <a:picLocks noChangeAspect="1"/>
                          </pic:cNvPicPr>
                        </pic:nvPicPr>
                        <pic:blipFill>
                          <a:blip r:embed="rId77"/>
                          <a:stretch>
                            <a:fillRect/>
                          </a:stretch>
                        </pic:blipFill>
                        <pic:spPr>
                          <a:xfrm>
                            <a:off x="0" y="0"/>
                            <a:ext cx="2795270" cy="32766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00" w:type="dxa"/>
            <w:gridSpan w:val="2"/>
          </w:tcPr>
          <w:p>
            <w:pPr>
              <w:bidi w:val="0"/>
              <w:jc w:val="center"/>
              <w:rPr>
                <w:rFonts w:hint="eastAsia"/>
                <w:lang w:eastAsia="zh-CN"/>
              </w:rPr>
            </w:pPr>
            <w:r>
              <w:rPr>
                <w:rFonts w:hint="eastAsia"/>
                <w:lang w:eastAsia="zh-CN"/>
              </w:rPr>
              <w:t>600g土工布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8" w:type="dxa"/>
          </w:tcPr>
          <w:p>
            <w:pPr>
              <w:bidi w:val="0"/>
              <w:jc w:val="center"/>
              <w:rPr>
                <w:rFonts w:hint="eastAsia"/>
                <w:lang w:eastAsia="zh-CN"/>
              </w:rPr>
            </w:pPr>
            <w:r>
              <w:rPr>
                <w:rFonts w:hint="eastAsia"/>
                <w:lang w:eastAsia="zh-CN"/>
              </w:rPr>
              <w:drawing>
                <wp:inline distT="0" distB="0" distL="114300" distR="114300">
                  <wp:extent cx="2795270" cy="3105785"/>
                  <wp:effectExtent l="0" t="0" r="5080" b="18415"/>
                  <wp:docPr id="159" name="图片 159" descr="渗滤液倒排管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渗滤液倒排管1"/>
                          <pic:cNvPicPr>
                            <a:picLocks noChangeAspect="1"/>
                          </pic:cNvPicPr>
                        </pic:nvPicPr>
                        <pic:blipFill>
                          <a:blip r:embed="rId78"/>
                          <a:stretch>
                            <a:fillRect/>
                          </a:stretch>
                        </pic:blipFill>
                        <pic:spPr>
                          <a:xfrm>
                            <a:off x="0" y="0"/>
                            <a:ext cx="2795270" cy="3105785"/>
                          </a:xfrm>
                          <a:prstGeom prst="rect">
                            <a:avLst/>
                          </a:prstGeom>
                        </pic:spPr>
                      </pic:pic>
                    </a:graphicData>
                  </a:graphic>
                </wp:inline>
              </w:drawing>
            </w:r>
          </w:p>
        </w:tc>
        <w:tc>
          <w:tcPr>
            <w:tcW w:w="4422" w:type="dxa"/>
          </w:tcPr>
          <w:p>
            <w:pPr>
              <w:bidi w:val="0"/>
              <w:jc w:val="center"/>
              <w:rPr>
                <w:rFonts w:hint="eastAsia"/>
                <w:lang w:eastAsia="zh-CN"/>
              </w:rPr>
            </w:pPr>
            <w:r>
              <w:rPr>
                <w:rFonts w:hint="eastAsia"/>
                <w:lang w:eastAsia="zh-CN"/>
              </w:rPr>
              <w:drawing>
                <wp:inline distT="0" distB="0" distL="114300" distR="114300">
                  <wp:extent cx="2795270" cy="3038475"/>
                  <wp:effectExtent l="0" t="0" r="5080" b="9525"/>
                  <wp:docPr id="160" name="图片 160" descr="渗滤液倒排管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渗滤液倒排管5"/>
                          <pic:cNvPicPr>
                            <a:picLocks noChangeAspect="1"/>
                          </pic:cNvPicPr>
                        </pic:nvPicPr>
                        <pic:blipFill>
                          <a:blip r:embed="rId79"/>
                          <a:stretch>
                            <a:fillRect/>
                          </a:stretch>
                        </pic:blipFill>
                        <pic:spPr>
                          <a:xfrm>
                            <a:off x="0" y="0"/>
                            <a:ext cx="2795270" cy="30384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00" w:type="dxa"/>
            <w:gridSpan w:val="2"/>
          </w:tcPr>
          <w:p>
            <w:pPr>
              <w:bidi w:val="0"/>
              <w:jc w:val="center"/>
              <w:rPr>
                <w:rFonts w:hint="eastAsia"/>
                <w:lang w:eastAsia="zh-CN"/>
              </w:rPr>
            </w:pPr>
            <w:r>
              <w:rPr>
                <w:rFonts w:hint="eastAsia"/>
                <w:lang w:eastAsia="zh-CN"/>
              </w:rPr>
              <w:t>渗滤液倒排管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8" w:type="dxa"/>
          </w:tcPr>
          <w:p>
            <w:pPr>
              <w:bidi w:val="0"/>
              <w:jc w:val="center"/>
              <w:rPr>
                <w:rFonts w:hint="eastAsia"/>
                <w:lang w:eastAsia="zh-CN"/>
              </w:rPr>
            </w:pPr>
            <w:r>
              <w:rPr>
                <w:rFonts w:hint="eastAsia"/>
                <w:lang w:eastAsia="zh-CN"/>
              </w:rPr>
              <w:drawing>
                <wp:inline distT="0" distB="0" distL="114300" distR="114300">
                  <wp:extent cx="2795270" cy="3600450"/>
                  <wp:effectExtent l="0" t="0" r="5080" b="0"/>
                  <wp:docPr id="161" name="图片 161" descr="土工滤网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土工滤网3"/>
                          <pic:cNvPicPr>
                            <a:picLocks noChangeAspect="1"/>
                          </pic:cNvPicPr>
                        </pic:nvPicPr>
                        <pic:blipFill>
                          <a:blip r:embed="rId80"/>
                          <a:stretch>
                            <a:fillRect/>
                          </a:stretch>
                        </pic:blipFill>
                        <pic:spPr>
                          <a:xfrm>
                            <a:off x="0" y="0"/>
                            <a:ext cx="2795270" cy="3600450"/>
                          </a:xfrm>
                          <a:prstGeom prst="rect">
                            <a:avLst/>
                          </a:prstGeom>
                        </pic:spPr>
                      </pic:pic>
                    </a:graphicData>
                  </a:graphic>
                </wp:inline>
              </w:drawing>
            </w:r>
          </w:p>
        </w:tc>
        <w:tc>
          <w:tcPr>
            <w:tcW w:w="4422" w:type="dxa"/>
          </w:tcPr>
          <w:p>
            <w:pPr>
              <w:bidi w:val="0"/>
              <w:jc w:val="center"/>
              <w:rPr>
                <w:rFonts w:hint="eastAsia"/>
                <w:lang w:eastAsia="zh-CN"/>
              </w:rPr>
            </w:pPr>
            <w:r>
              <w:rPr>
                <w:rFonts w:hint="eastAsia"/>
                <w:lang w:eastAsia="zh-CN"/>
              </w:rPr>
              <w:drawing>
                <wp:inline distT="0" distB="0" distL="114300" distR="114300">
                  <wp:extent cx="2795270" cy="3581400"/>
                  <wp:effectExtent l="0" t="0" r="5080" b="0"/>
                  <wp:docPr id="162" name="图片 162" descr="土工滤网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土工滤网7"/>
                          <pic:cNvPicPr>
                            <a:picLocks noChangeAspect="1"/>
                          </pic:cNvPicPr>
                        </pic:nvPicPr>
                        <pic:blipFill>
                          <a:blip r:embed="rId81"/>
                          <a:stretch>
                            <a:fillRect/>
                          </a:stretch>
                        </pic:blipFill>
                        <pic:spPr>
                          <a:xfrm>
                            <a:off x="0" y="0"/>
                            <a:ext cx="2795270" cy="35814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00" w:type="dxa"/>
            <w:gridSpan w:val="2"/>
          </w:tcPr>
          <w:p>
            <w:pPr>
              <w:bidi w:val="0"/>
              <w:jc w:val="center"/>
              <w:rPr>
                <w:rFonts w:hint="eastAsia"/>
                <w:lang w:eastAsia="zh-CN"/>
              </w:rPr>
            </w:pPr>
            <w:r>
              <w:rPr>
                <w:rFonts w:hint="eastAsia"/>
                <w:lang w:eastAsia="zh-CN"/>
              </w:rPr>
              <w:t>土工滤网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00" w:type="dxa"/>
            <w:gridSpan w:val="2"/>
          </w:tcPr>
          <w:p>
            <w:pPr>
              <w:bidi w:val="0"/>
              <w:jc w:val="center"/>
              <w:rPr>
                <w:rFonts w:hint="eastAsia"/>
                <w:lang w:eastAsia="zh-CN"/>
              </w:rPr>
            </w:pPr>
            <w:r>
              <w:drawing>
                <wp:inline distT="0" distB="0" distL="114300" distR="114300">
                  <wp:extent cx="4356100" cy="3459480"/>
                  <wp:effectExtent l="0" t="0" r="6350" b="7620"/>
                  <wp:docPr id="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
                          <pic:cNvPicPr>
                            <a:picLocks noChangeAspect="1"/>
                          </pic:cNvPicPr>
                        </pic:nvPicPr>
                        <pic:blipFill>
                          <a:blip r:embed="rId82"/>
                          <a:stretch>
                            <a:fillRect/>
                          </a:stretch>
                        </pic:blipFill>
                        <pic:spPr>
                          <a:xfrm>
                            <a:off x="0" y="0"/>
                            <a:ext cx="4356100" cy="345948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00" w:type="dxa"/>
            <w:gridSpan w:val="2"/>
          </w:tcPr>
          <w:p>
            <w:pPr>
              <w:bidi w:val="0"/>
              <w:jc w:val="center"/>
              <w:rPr>
                <w:rFonts w:hint="eastAsia"/>
                <w:lang w:eastAsia="zh-CN"/>
              </w:rPr>
            </w:pPr>
            <w:r>
              <w:drawing>
                <wp:inline distT="0" distB="0" distL="114300" distR="114300">
                  <wp:extent cx="5829935" cy="5137785"/>
                  <wp:effectExtent l="0" t="0" r="18415" b="5715"/>
                  <wp:docPr id="1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
                          <pic:cNvPicPr>
                            <a:picLocks noChangeAspect="1"/>
                          </pic:cNvPicPr>
                        </pic:nvPicPr>
                        <pic:blipFill>
                          <a:blip r:embed="rId83"/>
                          <a:stretch>
                            <a:fillRect/>
                          </a:stretch>
                        </pic:blipFill>
                        <pic:spPr>
                          <a:xfrm>
                            <a:off x="0" y="0"/>
                            <a:ext cx="5829935" cy="51377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00" w:type="dxa"/>
            <w:gridSpan w:val="2"/>
          </w:tcPr>
          <w:p>
            <w:pPr>
              <w:bidi w:val="0"/>
              <w:jc w:val="center"/>
              <w:rPr>
                <w:rFonts w:hint="eastAsia" w:eastAsiaTheme="minorEastAsia"/>
                <w:lang w:val="en-US" w:eastAsia="zh-CN"/>
              </w:rPr>
            </w:pPr>
            <w:r>
              <w:rPr>
                <w:rFonts w:hint="eastAsia"/>
                <w:lang w:val="en-US" w:eastAsia="zh-CN"/>
              </w:rPr>
              <w:t>固废台账</w:t>
            </w:r>
          </w:p>
        </w:tc>
      </w:tr>
    </w:tbl>
    <w:p>
      <w:pPr>
        <w:pStyle w:val="5"/>
        <w:spacing w:before="156" w:after="156" w:line="240" w:lineRule="auto"/>
        <w:rPr>
          <w:rFonts w:hint="eastAsia"/>
          <w:color w:val="auto"/>
          <w:lang w:val="en-US" w:eastAsia="zh-CN"/>
        </w:rPr>
      </w:pPr>
      <w:r>
        <w:rPr>
          <w:rFonts w:hint="eastAsia" w:ascii="Times New Roman" w:hAnsi="Times New Roman"/>
          <w:color w:val="auto"/>
        </w:rPr>
        <w:t>附件</w:t>
      </w:r>
      <w:r>
        <w:rPr>
          <w:rFonts w:hint="eastAsia"/>
          <w:color w:val="auto"/>
          <w:lang w:val="en-US" w:eastAsia="zh-CN"/>
        </w:rPr>
        <w:t>6防渗材料检测报告</w:t>
      </w:r>
      <w:bookmarkEnd w:id="188"/>
    </w:p>
    <w:p>
      <w:pPr>
        <w:bidi w:val="0"/>
        <w:rPr>
          <w:rFonts w:hint="eastAsia"/>
          <w:lang w:eastAsia="zh-CN"/>
        </w:rPr>
      </w:pPr>
      <w:r>
        <w:drawing>
          <wp:inline distT="0" distB="0" distL="114300" distR="114300">
            <wp:extent cx="5458460" cy="7040245"/>
            <wp:effectExtent l="0" t="0" r="8890" b="8255"/>
            <wp:docPr id="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
                    <pic:cNvPicPr>
                      <a:picLocks noChangeAspect="1"/>
                    </pic:cNvPicPr>
                  </pic:nvPicPr>
                  <pic:blipFill>
                    <a:blip r:embed="rId84"/>
                    <a:stretch>
                      <a:fillRect/>
                    </a:stretch>
                  </pic:blipFill>
                  <pic:spPr>
                    <a:xfrm>
                      <a:off x="0" y="0"/>
                      <a:ext cx="5458460" cy="7040245"/>
                    </a:xfrm>
                    <a:prstGeom prst="rect">
                      <a:avLst/>
                    </a:prstGeom>
                    <a:noFill/>
                    <a:ln>
                      <a:noFill/>
                    </a:ln>
                  </pic:spPr>
                </pic:pic>
              </a:graphicData>
            </a:graphic>
          </wp:inline>
        </w:drawing>
      </w:r>
    </w:p>
    <w:p>
      <w:pPr>
        <w:bidi w:val="0"/>
        <w:rPr>
          <w:rFonts w:hint="eastAsia"/>
          <w:lang w:eastAsia="zh-CN"/>
        </w:rPr>
      </w:pPr>
      <w:r>
        <w:drawing>
          <wp:inline distT="0" distB="0" distL="114300" distR="114300">
            <wp:extent cx="5657850" cy="7991475"/>
            <wp:effectExtent l="0" t="0" r="0" b="9525"/>
            <wp:docPr id="9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
                    <pic:cNvPicPr>
                      <a:picLocks noChangeAspect="1"/>
                    </pic:cNvPicPr>
                  </pic:nvPicPr>
                  <pic:blipFill>
                    <a:blip r:embed="rId85"/>
                    <a:stretch>
                      <a:fillRect/>
                    </a:stretch>
                  </pic:blipFill>
                  <pic:spPr>
                    <a:xfrm>
                      <a:off x="0" y="0"/>
                      <a:ext cx="5657850" cy="7991475"/>
                    </a:xfrm>
                    <a:prstGeom prst="rect">
                      <a:avLst/>
                    </a:prstGeom>
                    <a:noFill/>
                    <a:ln>
                      <a:noFill/>
                    </a:ln>
                  </pic:spPr>
                </pic:pic>
              </a:graphicData>
            </a:graphic>
          </wp:inline>
        </w:drawing>
      </w:r>
      <w:r>
        <w:drawing>
          <wp:inline distT="0" distB="0" distL="114300" distR="114300">
            <wp:extent cx="5657850" cy="7981950"/>
            <wp:effectExtent l="0" t="0" r="0" b="0"/>
            <wp:docPr id="9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
                    <pic:cNvPicPr>
                      <a:picLocks noChangeAspect="1"/>
                    </pic:cNvPicPr>
                  </pic:nvPicPr>
                  <pic:blipFill>
                    <a:blip r:embed="rId86"/>
                    <a:stretch>
                      <a:fillRect/>
                    </a:stretch>
                  </pic:blipFill>
                  <pic:spPr>
                    <a:xfrm>
                      <a:off x="0" y="0"/>
                      <a:ext cx="5657850" cy="7981950"/>
                    </a:xfrm>
                    <a:prstGeom prst="rect">
                      <a:avLst/>
                    </a:prstGeom>
                    <a:noFill/>
                    <a:ln>
                      <a:noFill/>
                    </a:ln>
                  </pic:spPr>
                </pic:pic>
              </a:graphicData>
            </a:graphic>
          </wp:inline>
        </w:drawing>
      </w:r>
      <w:r>
        <w:drawing>
          <wp:inline distT="0" distB="0" distL="114300" distR="114300">
            <wp:extent cx="5638800" cy="7953375"/>
            <wp:effectExtent l="0" t="0" r="0" b="9525"/>
            <wp:docPr id="9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4"/>
                    <pic:cNvPicPr>
                      <a:picLocks noChangeAspect="1"/>
                    </pic:cNvPicPr>
                  </pic:nvPicPr>
                  <pic:blipFill>
                    <a:blip r:embed="rId87"/>
                    <a:stretch>
                      <a:fillRect/>
                    </a:stretch>
                  </pic:blipFill>
                  <pic:spPr>
                    <a:xfrm>
                      <a:off x="0" y="0"/>
                      <a:ext cx="5638800" cy="7953375"/>
                    </a:xfrm>
                    <a:prstGeom prst="rect">
                      <a:avLst/>
                    </a:prstGeom>
                    <a:noFill/>
                    <a:ln>
                      <a:noFill/>
                    </a:ln>
                  </pic:spPr>
                </pic:pic>
              </a:graphicData>
            </a:graphic>
          </wp:inline>
        </w:drawing>
      </w:r>
      <w:r>
        <w:drawing>
          <wp:inline distT="0" distB="0" distL="114300" distR="114300">
            <wp:extent cx="5629275" cy="7886700"/>
            <wp:effectExtent l="0" t="0" r="9525" b="0"/>
            <wp:docPr id="9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5"/>
                    <pic:cNvPicPr>
                      <a:picLocks noChangeAspect="1"/>
                    </pic:cNvPicPr>
                  </pic:nvPicPr>
                  <pic:blipFill>
                    <a:blip r:embed="rId88"/>
                    <a:stretch>
                      <a:fillRect/>
                    </a:stretch>
                  </pic:blipFill>
                  <pic:spPr>
                    <a:xfrm>
                      <a:off x="0" y="0"/>
                      <a:ext cx="5629275" cy="7886700"/>
                    </a:xfrm>
                    <a:prstGeom prst="rect">
                      <a:avLst/>
                    </a:prstGeom>
                    <a:noFill/>
                    <a:ln>
                      <a:noFill/>
                    </a:ln>
                  </pic:spPr>
                </pic:pic>
              </a:graphicData>
            </a:graphic>
          </wp:inline>
        </w:drawing>
      </w:r>
      <w:r>
        <w:drawing>
          <wp:inline distT="0" distB="0" distL="114300" distR="114300">
            <wp:extent cx="5581650" cy="7934325"/>
            <wp:effectExtent l="0" t="0" r="0" b="9525"/>
            <wp:docPr id="9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6"/>
                    <pic:cNvPicPr>
                      <a:picLocks noChangeAspect="1"/>
                    </pic:cNvPicPr>
                  </pic:nvPicPr>
                  <pic:blipFill>
                    <a:blip r:embed="rId89"/>
                    <a:stretch>
                      <a:fillRect/>
                    </a:stretch>
                  </pic:blipFill>
                  <pic:spPr>
                    <a:xfrm>
                      <a:off x="0" y="0"/>
                      <a:ext cx="5581650" cy="7934325"/>
                    </a:xfrm>
                    <a:prstGeom prst="rect">
                      <a:avLst/>
                    </a:prstGeom>
                    <a:noFill/>
                    <a:ln>
                      <a:noFill/>
                    </a:ln>
                  </pic:spPr>
                </pic:pic>
              </a:graphicData>
            </a:graphic>
          </wp:inline>
        </w:drawing>
      </w:r>
      <w:r>
        <w:drawing>
          <wp:inline distT="0" distB="0" distL="114300" distR="114300">
            <wp:extent cx="5600700" cy="8020050"/>
            <wp:effectExtent l="0" t="0" r="0" b="0"/>
            <wp:docPr id="12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7"/>
                    <pic:cNvPicPr>
                      <a:picLocks noChangeAspect="1"/>
                    </pic:cNvPicPr>
                  </pic:nvPicPr>
                  <pic:blipFill>
                    <a:blip r:embed="rId90"/>
                    <a:stretch>
                      <a:fillRect/>
                    </a:stretch>
                  </pic:blipFill>
                  <pic:spPr>
                    <a:xfrm>
                      <a:off x="0" y="0"/>
                      <a:ext cx="5600700" cy="8020050"/>
                    </a:xfrm>
                    <a:prstGeom prst="rect">
                      <a:avLst/>
                    </a:prstGeom>
                    <a:noFill/>
                    <a:ln>
                      <a:noFill/>
                    </a:ln>
                  </pic:spPr>
                </pic:pic>
              </a:graphicData>
            </a:graphic>
          </wp:inline>
        </w:drawing>
      </w:r>
      <w:r>
        <w:drawing>
          <wp:inline distT="0" distB="0" distL="114300" distR="114300">
            <wp:extent cx="5619750" cy="7953375"/>
            <wp:effectExtent l="0" t="0" r="0" b="9525"/>
            <wp:docPr id="13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8"/>
                    <pic:cNvPicPr>
                      <a:picLocks noChangeAspect="1"/>
                    </pic:cNvPicPr>
                  </pic:nvPicPr>
                  <pic:blipFill>
                    <a:blip r:embed="rId91"/>
                    <a:stretch>
                      <a:fillRect/>
                    </a:stretch>
                  </pic:blipFill>
                  <pic:spPr>
                    <a:xfrm>
                      <a:off x="0" y="0"/>
                      <a:ext cx="5619750" cy="7953375"/>
                    </a:xfrm>
                    <a:prstGeom prst="rect">
                      <a:avLst/>
                    </a:prstGeom>
                    <a:noFill/>
                    <a:ln>
                      <a:noFill/>
                    </a:ln>
                  </pic:spPr>
                </pic:pic>
              </a:graphicData>
            </a:graphic>
          </wp:inline>
        </w:drawing>
      </w:r>
      <w:r>
        <w:drawing>
          <wp:inline distT="0" distB="0" distL="114300" distR="114300">
            <wp:extent cx="5362575" cy="7953375"/>
            <wp:effectExtent l="0" t="0" r="9525" b="9525"/>
            <wp:docPr id="13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9"/>
                    <pic:cNvPicPr>
                      <a:picLocks noChangeAspect="1"/>
                    </pic:cNvPicPr>
                  </pic:nvPicPr>
                  <pic:blipFill>
                    <a:blip r:embed="rId92"/>
                    <a:stretch>
                      <a:fillRect/>
                    </a:stretch>
                  </pic:blipFill>
                  <pic:spPr>
                    <a:xfrm>
                      <a:off x="0" y="0"/>
                      <a:ext cx="5362575" cy="7953375"/>
                    </a:xfrm>
                    <a:prstGeom prst="rect">
                      <a:avLst/>
                    </a:prstGeom>
                    <a:noFill/>
                    <a:ln>
                      <a:noFill/>
                    </a:ln>
                  </pic:spPr>
                </pic:pic>
              </a:graphicData>
            </a:graphic>
          </wp:inline>
        </w:drawing>
      </w:r>
      <w:r>
        <w:drawing>
          <wp:inline distT="0" distB="0" distL="114300" distR="114300">
            <wp:extent cx="5610225" cy="7981950"/>
            <wp:effectExtent l="0" t="0" r="9525" b="0"/>
            <wp:docPr id="13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0"/>
                    <pic:cNvPicPr>
                      <a:picLocks noChangeAspect="1"/>
                    </pic:cNvPicPr>
                  </pic:nvPicPr>
                  <pic:blipFill>
                    <a:blip r:embed="rId93"/>
                    <a:stretch>
                      <a:fillRect/>
                    </a:stretch>
                  </pic:blipFill>
                  <pic:spPr>
                    <a:xfrm>
                      <a:off x="0" y="0"/>
                      <a:ext cx="5610225" cy="7981950"/>
                    </a:xfrm>
                    <a:prstGeom prst="rect">
                      <a:avLst/>
                    </a:prstGeom>
                    <a:noFill/>
                    <a:ln>
                      <a:noFill/>
                    </a:ln>
                  </pic:spPr>
                </pic:pic>
              </a:graphicData>
            </a:graphic>
          </wp:inline>
        </w:drawing>
      </w:r>
      <w:r>
        <w:drawing>
          <wp:inline distT="0" distB="0" distL="114300" distR="114300">
            <wp:extent cx="5600700" cy="7905750"/>
            <wp:effectExtent l="0" t="0" r="0" b="0"/>
            <wp:docPr id="13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1"/>
                    <pic:cNvPicPr>
                      <a:picLocks noChangeAspect="1"/>
                    </pic:cNvPicPr>
                  </pic:nvPicPr>
                  <pic:blipFill>
                    <a:blip r:embed="rId94"/>
                    <a:stretch>
                      <a:fillRect/>
                    </a:stretch>
                  </pic:blipFill>
                  <pic:spPr>
                    <a:xfrm>
                      <a:off x="0" y="0"/>
                      <a:ext cx="5600700" cy="7905750"/>
                    </a:xfrm>
                    <a:prstGeom prst="rect">
                      <a:avLst/>
                    </a:prstGeom>
                    <a:noFill/>
                    <a:ln>
                      <a:noFill/>
                    </a:ln>
                  </pic:spPr>
                </pic:pic>
              </a:graphicData>
            </a:graphic>
          </wp:inline>
        </w:drawing>
      </w:r>
    </w:p>
    <w:p>
      <w:pPr>
        <w:jc w:val="center"/>
        <w:rPr>
          <w:rFonts w:hint="eastAsia" w:ascii="Times New Roman" w:hAnsi="Times New Roman"/>
          <w:color w:val="auto"/>
          <w:lang w:eastAsia="zh-CN"/>
        </w:rPr>
      </w:pPr>
      <w:r>
        <w:drawing>
          <wp:inline distT="0" distB="0" distL="114300" distR="114300">
            <wp:extent cx="5343525" cy="7934325"/>
            <wp:effectExtent l="0" t="0" r="9525" b="9525"/>
            <wp:docPr id="13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2"/>
                    <pic:cNvPicPr>
                      <a:picLocks noChangeAspect="1"/>
                    </pic:cNvPicPr>
                  </pic:nvPicPr>
                  <pic:blipFill>
                    <a:blip r:embed="rId95"/>
                    <a:stretch>
                      <a:fillRect/>
                    </a:stretch>
                  </pic:blipFill>
                  <pic:spPr>
                    <a:xfrm>
                      <a:off x="0" y="0"/>
                      <a:ext cx="5343525" cy="7934325"/>
                    </a:xfrm>
                    <a:prstGeom prst="rect">
                      <a:avLst/>
                    </a:prstGeom>
                    <a:noFill/>
                    <a:ln>
                      <a:noFill/>
                    </a:ln>
                  </pic:spPr>
                </pic:pic>
              </a:graphicData>
            </a:graphic>
          </wp:inline>
        </w:drawing>
      </w:r>
      <w:r>
        <w:drawing>
          <wp:inline distT="0" distB="0" distL="114300" distR="114300">
            <wp:extent cx="5562600" cy="7972425"/>
            <wp:effectExtent l="0" t="0" r="0" b="9525"/>
            <wp:docPr id="13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
                    <pic:cNvPicPr>
                      <a:picLocks noChangeAspect="1"/>
                    </pic:cNvPicPr>
                  </pic:nvPicPr>
                  <pic:blipFill>
                    <a:blip r:embed="rId96"/>
                    <a:stretch>
                      <a:fillRect/>
                    </a:stretch>
                  </pic:blipFill>
                  <pic:spPr>
                    <a:xfrm>
                      <a:off x="0" y="0"/>
                      <a:ext cx="5562600" cy="7972425"/>
                    </a:xfrm>
                    <a:prstGeom prst="rect">
                      <a:avLst/>
                    </a:prstGeom>
                    <a:noFill/>
                    <a:ln>
                      <a:noFill/>
                    </a:ln>
                  </pic:spPr>
                </pic:pic>
              </a:graphicData>
            </a:graphic>
          </wp:inline>
        </w:drawing>
      </w:r>
      <w:r>
        <w:drawing>
          <wp:inline distT="0" distB="0" distL="114300" distR="114300">
            <wp:extent cx="5486400" cy="8029575"/>
            <wp:effectExtent l="0" t="0" r="0" b="9525"/>
            <wp:docPr id="13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4"/>
                    <pic:cNvPicPr>
                      <a:picLocks noChangeAspect="1"/>
                    </pic:cNvPicPr>
                  </pic:nvPicPr>
                  <pic:blipFill>
                    <a:blip r:embed="rId97"/>
                    <a:stretch>
                      <a:fillRect/>
                    </a:stretch>
                  </pic:blipFill>
                  <pic:spPr>
                    <a:xfrm>
                      <a:off x="0" y="0"/>
                      <a:ext cx="5486400" cy="8029575"/>
                    </a:xfrm>
                    <a:prstGeom prst="rect">
                      <a:avLst/>
                    </a:prstGeom>
                    <a:noFill/>
                    <a:ln>
                      <a:noFill/>
                    </a:ln>
                  </pic:spPr>
                </pic:pic>
              </a:graphicData>
            </a:graphic>
          </wp:inline>
        </w:drawing>
      </w:r>
      <w:r>
        <w:drawing>
          <wp:inline distT="0" distB="0" distL="114300" distR="114300">
            <wp:extent cx="5381625" cy="7953375"/>
            <wp:effectExtent l="0" t="0" r="9525" b="9525"/>
            <wp:docPr id="13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5"/>
                    <pic:cNvPicPr>
                      <a:picLocks noChangeAspect="1"/>
                    </pic:cNvPicPr>
                  </pic:nvPicPr>
                  <pic:blipFill>
                    <a:blip r:embed="rId98"/>
                    <a:stretch>
                      <a:fillRect/>
                    </a:stretch>
                  </pic:blipFill>
                  <pic:spPr>
                    <a:xfrm>
                      <a:off x="0" y="0"/>
                      <a:ext cx="5381625" cy="7953375"/>
                    </a:xfrm>
                    <a:prstGeom prst="rect">
                      <a:avLst/>
                    </a:prstGeom>
                    <a:noFill/>
                    <a:ln>
                      <a:noFill/>
                    </a:ln>
                  </pic:spPr>
                </pic:pic>
              </a:graphicData>
            </a:graphic>
          </wp:inline>
        </w:drawing>
      </w:r>
      <w:r>
        <w:drawing>
          <wp:inline distT="0" distB="0" distL="114300" distR="114300">
            <wp:extent cx="5476875" cy="7648575"/>
            <wp:effectExtent l="0" t="0" r="9525" b="9525"/>
            <wp:docPr id="13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6"/>
                    <pic:cNvPicPr>
                      <a:picLocks noChangeAspect="1"/>
                    </pic:cNvPicPr>
                  </pic:nvPicPr>
                  <pic:blipFill>
                    <a:blip r:embed="rId99"/>
                    <a:stretch>
                      <a:fillRect/>
                    </a:stretch>
                  </pic:blipFill>
                  <pic:spPr>
                    <a:xfrm>
                      <a:off x="0" y="0"/>
                      <a:ext cx="5476875" cy="7648575"/>
                    </a:xfrm>
                    <a:prstGeom prst="rect">
                      <a:avLst/>
                    </a:prstGeom>
                    <a:noFill/>
                    <a:ln>
                      <a:noFill/>
                    </a:ln>
                  </pic:spPr>
                </pic:pic>
              </a:graphicData>
            </a:graphic>
          </wp:inline>
        </w:drawing>
      </w:r>
      <w:r>
        <w:drawing>
          <wp:inline distT="0" distB="0" distL="114300" distR="114300">
            <wp:extent cx="5429250" cy="7820025"/>
            <wp:effectExtent l="0" t="0" r="0" b="9525"/>
            <wp:docPr id="13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7"/>
                    <pic:cNvPicPr>
                      <a:picLocks noChangeAspect="1"/>
                    </pic:cNvPicPr>
                  </pic:nvPicPr>
                  <pic:blipFill>
                    <a:blip r:embed="rId100"/>
                    <a:stretch>
                      <a:fillRect/>
                    </a:stretch>
                  </pic:blipFill>
                  <pic:spPr>
                    <a:xfrm>
                      <a:off x="0" y="0"/>
                      <a:ext cx="5429250" cy="7820025"/>
                    </a:xfrm>
                    <a:prstGeom prst="rect">
                      <a:avLst/>
                    </a:prstGeom>
                    <a:noFill/>
                    <a:ln>
                      <a:noFill/>
                    </a:ln>
                  </pic:spPr>
                </pic:pic>
              </a:graphicData>
            </a:graphic>
          </wp:inline>
        </w:drawing>
      </w:r>
      <w:r>
        <w:drawing>
          <wp:inline distT="0" distB="0" distL="114300" distR="114300">
            <wp:extent cx="5486400" cy="7820025"/>
            <wp:effectExtent l="0" t="0" r="0" b="9525"/>
            <wp:docPr id="14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8"/>
                    <pic:cNvPicPr>
                      <a:picLocks noChangeAspect="1"/>
                    </pic:cNvPicPr>
                  </pic:nvPicPr>
                  <pic:blipFill>
                    <a:blip r:embed="rId101"/>
                    <a:stretch>
                      <a:fillRect/>
                    </a:stretch>
                  </pic:blipFill>
                  <pic:spPr>
                    <a:xfrm>
                      <a:off x="0" y="0"/>
                      <a:ext cx="5486400" cy="7820025"/>
                    </a:xfrm>
                    <a:prstGeom prst="rect">
                      <a:avLst/>
                    </a:prstGeom>
                    <a:noFill/>
                    <a:ln>
                      <a:noFill/>
                    </a:ln>
                  </pic:spPr>
                </pic:pic>
              </a:graphicData>
            </a:graphic>
          </wp:inline>
        </w:drawing>
      </w:r>
    </w:p>
    <w:p>
      <w:pPr>
        <w:jc w:val="center"/>
        <w:rPr>
          <w:rFonts w:ascii="Times New Roman" w:hAnsi="Times New Roman"/>
          <w:color w:val="auto"/>
        </w:rPr>
      </w:pPr>
      <w:r>
        <w:drawing>
          <wp:inline distT="0" distB="0" distL="114300" distR="114300">
            <wp:extent cx="5505450" cy="7886700"/>
            <wp:effectExtent l="0" t="0" r="0" b="0"/>
            <wp:docPr id="14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9"/>
                    <pic:cNvPicPr>
                      <a:picLocks noChangeAspect="1"/>
                    </pic:cNvPicPr>
                  </pic:nvPicPr>
                  <pic:blipFill>
                    <a:blip r:embed="rId102"/>
                    <a:stretch>
                      <a:fillRect/>
                    </a:stretch>
                  </pic:blipFill>
                  <pic:spPr>
                    <a:xfrm>
                      <a:off x="0" y="0"/>
                      <a:ext cx="5505450" cy="7886700"/>
                    </a:xfrm>
                    <a:prstGeom prst="rect">
                      <a:avLst/>
                    </a:prstGeom>
                    <a:noFill/>
                    <a:ln>
                      <a:noFill/>
                    </a:ln>
                  </pic:spPr>
                </pic:pic>
              </a:graphicData>
            </a:graphic>
          </wp:inline>
        </w:drawing>
      </w:r>
      <w:r>
        <w:drawing>
          <wp:inline distT="0" distB="0" distL="114300" distR="114300">
            <wp:extent cx="5438775" cy="7562850"/>
            <wp:effectExtent l="0" t="0" r="9525" b="0"/>
            <wp:docPr id="14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20"/>
                    <pic:cNvPicPr>
                      <a:picLocks noChangeAspect="1"/>
                    </pic:cNvPicPr>
                  </pic:nvPicPr>
                  <pic:blipFill>
                    <a:blip r:embed="rId103"/>
                    <a:stretch>
                      <a:fillRect/>
                    </a:stretch>
                  </pic:blipFill>
                  <pic:spPr>
                    <a:xfrm>
                      <a:off x="0" y="0"/>
                      <a:ext cx="5438775" cy="7562850"/>
                    </a:xfrm>
                    <a:prstGeom prst="rect">
                      <a:avLst/>
                    </a:prstGeom>
                    <a:noFill/>
                    <a:ln>
                      <a:noFill/>
                    </a:ln>
                  </pic:spPr>
                </pic:pic>
              </a:graphicData>
            </a:graphic>
          </wp:inline>
        </w:drawing>
      </w:r>
      <w:r>
        <w:drawing>
          <wp:inline distT="0" distB="0" distL="114300" distR="114300">
            <wp:extent cx="5429250" cy="8010525"/>
            <wp:effectExtent l="0" t="0" r="0" b="9525"/>
            <wp:docPr id="14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21"/>
                    <pic:cNvPicPr>
                      <a:picLocks noChangeAspect="1"/>
                    </pic:cNvPicPr>
                  </pic:nvPicPr>
                  <pic:blipFill>
                    <a:blip r:embed="rId104"/>
                    <a:stretch>
                      <a:fillRect/>
                    </a:stretch>
                  </pic:blipFill>
                  <pic:spPr>
                    <a:xfrm>
                      <a:off x="0" y="0"/>
                      <a:ext cx="5429250" cy="8010525"/>
                    </a:xfrm>
                    <a:prstGeom prst="rect">
                      <a:avLst/>
                    </a:prstGeom>
                    <a:noFill/>
                    <a:ln>
                      <a:noFill/>
                    </a:ln>
                  </pic:spPr>
                </pic:pic>
              </a:graphicData>
            </a:graphic>
          </wp:inline>
        </w:drawing>
      </w:r>
      <w:r>
        <w:drawing>
          <wp:inline distT="0" distB="0" distL="114300" distR="114300">
            <wp:extent cx="5600700" cy="7743825"/>
            <wp:effectExtent l="0" t="0" r="0" b="9525"/>
            <wp:docPr id="14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22"/>
                    <pic:cNvPicPr>
                      <a:picLocks noChangeAspect="1"/>
                    </pic:cNvPicPr>
                  </pic:nvPicPr>
                  <pic:blipFill>
                    <a:blip r:embed="rId105"/>
                    <a:stretch>
                      <a:fillRect/>
                    </a:stretch>
                  </pic:blipFill>
                  <pic:spPr>
                    <a:xfrm>
                      <a:off x="0" y="0"/>
                      <a:ext cx="5600700" cy="7743825"/>
                    </a:xfrm>
                    <a:prstGeom prst="rect">
                      <a:avLst/>
                    </a:prstGeom>
                    <a:noFill/>
                    <a:ln>
                      <a:noFill/>
                    </a:ln>
                  </pic:spPr>
                </pic:pic>
              </a:graphicData>
            </a:graphic>
          </wp:inline>
        </w:drawing>
      </w:r>
      <w:r>
        <w:drawing>
          <wp:inline distT="0" distB="0" distL="114300" distR="114300">
            <wp:extent cx="5438775" cy="7886700"/>
            <wp:effectExtent l="0" t="0" r="9525" b="0"/>
            <wp:docPr id="14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23"/>
                    <pic:cNvPicPr>
                      <a:picLocks noChangeAspect="1"/>
                    </pic:cNvPicPr>
                  </pic:nvPicPr>
                  <pic:blipFill>
                    <a:blip r:embed="rId106"/>
                    <a:stretch>
                      <a:fillRect/>
                    </a:stretch>
                  </pic:blipFill>
                  <pic:spPr>
                    <a:xfrm>
                      <a:off x="0" y="0"/>
                      <a:ext cx="5438775" cy="7886700"/>
                    </a:xfrm>
                    <a:prstGeom prst="rect">
                      <a:avLst/>
                    </a:prstGeom>
                    <a:noFill/>
                    <a:ln>
                      <a:noFill/>
                    </a:ln>
                  </pic:spPr>
                </pic:pic>
              </a:graphicData>
            </a:graphic>
          </wp:inline>
        </w:drawing>
      </w:r>
      <w:r>
        <w:drawing>
          <wp:inline distT="0" distB="0" distL="114300" distR="114300">
            <wp:extent cx="5553075" cy="7924800"/>
            <wp:effectExtent l="0" t="0" r="9525" b="0"/>
            <wp:docPr id="14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24"/>
                    <pic:cNvPicPr>
                      <a:picLocks noChangeAspect="1"/>
                    </pic:cNvPicPr>
                  </pic:nvPicPr>
                  <pic:blipFill>
                    <a:blip r:embed="rId107"/>
                    <a:stretch>
                      <a:fillRect/>
                    </a:stretch>
                  </pic:blipFill>
                  <pic:spPr>
                    <a:xfrm>
                      <a:off x="0" y="0"/>
                      <a:ext cx="5553075" cy="7924800"/>
                    </a:xfrm>
                    <a:prstGeom prst="rect">
                      <a:avLst/>
                    </a:prstGeom>
                    <a:noFill/>
                    <a:ln>
                      <a:noFill/>
                    </a:ln>
                  </pic:spPr>
                </pic:pic>
              </a:graphicData>
            </a:graphic>
          </wp:inline>
        </w:drawing>
      </w:r>
    </w:p>
    <w:sectPr>
      <w:pgSz w:w="11906" w:h="16838"/>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FangSong_GB2312">
    <w:altName w:val="仿宋"/>
    <w:panose1 w:val="02010609060101010101"/>
    <w:charset w:val="00"/>
    <w:family w:val="roman"/>
    <w:pitch w:val="default"/>
    <w:sig w:usb0="00000000" w:usb1="00000000" w:usb2="00000000" w:usb3="00000000" w:csb0="00000000" w:csb1="00000000"/>
  </w:font>
  <w:font w:name="仿宋">
    <w:panose1 w:val="02010609060101010101"/>
    <w:charset w:val="86"/>
    <w:family w:val="auto"/>
    <w:pitch w:val="default"/>
    <w:sig w:usb0="800002BF" w:usb1="38CF7CFA" w:usb2="00000016" w:usb3="00000000" w:csb0="00040001" w:csb1="00000000"/>
  </w:font>
  <w:font w:name="TimesNewRomanPSMT">
    <w:altName w:val="Times New Roman"/>
    <w:panose1 w:val="00000000000000000000"/>
    <w:charset w:val="00"/>
    <w:family w:val="auto"/>
    <w:pitch w:val="default"/>
    <w:sig w:usb0="00000000" w:usb1="00000000" w:usb2="00000010" w:usb3="00000000" w:csb0="00040001" w:csb1="00000000"/>
  </w:font>
  <w:font w:name="微软雅黑">
    <w:panose1 w:val="020B0503020204020204"/>
    <w:charset w:val="86"/>
    <w:family w:val="swiss"/>
    <w:pitch w:val="default"/>
    <w:sig w:usb0="80000287" w:usb1="280F3C52" w:usb2="00000016" w:usb3="00000000" w:csb0="0004001F" w:csb1="00000000"/>
  </w:font>
  <w:font w:name="幼圆">
    <w:panose1 w:val="02010509060101010101"/>
    <w:charset w:val="86"/>
    <w:family w:val="modern"/>
    <w:pitch w:val="default"/>
    <w:sig w:usb0="00000001" w:usb1="080E0000" w:usb2="00000000" w:usb3="00000000" w:csb0="00040000"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等线">
    <w:altName w:val="微软雅黑"/>
    <w:panose1 w:val="00000000000000000000"/>
    <w:charset w:val="86"/>
    <w:family w:val="auto"/>
    <w:pitch w:val="default"/>
    <w:sig w:usb0="00000000" w:usb1="00000000" w:usb2="00000016" w:usb3="00000000" w:csb0="0004000F" w:csb1="00000000"/>
  </w:font>
  <w:font w:name="华文楷体">
    <w:panose1 w:val="02010600040101010101"/>
    <w:charset w:val="86"/>
    <w:family w:val="auto"/>
    <w:pitch w:val="default"/>
    <w:sig w:usb0="00000287" w:usb1="080F0000" w:usb2="00000000" w:usb3="00000000" w:csb0="0004009F" w:csb1="DFD70000"/>
  </w:font>
  <w:font w:name="仿宋_GB2312">
    <w:altName w:val="仿宋"/>
    <w:panose1 w:val="00000000000000000000"/>
    <w:charset w:val="86"/>
    <w:family w:val="modern"/>
    <w:pitch w:val="default"/>
    <w:sig w:usb0="00000000" w:usb1="00000000" w:usb2="00000010" w:usb3="00000000" w:csb0="00040000" w:csb1="00000000"/>
  </w:font>
  <w:font w:name="新宋体">
    <w:panose1 w:val="02010609030101010101"/>
    <w:charset w:val="86"/>
    <w:family w:val="modern"/>
    <w:pitch w:val="default"/>
    <w:sig w:usb0="00000003" w:usb1="288F0000" w:usb2="0000000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jc w:val="center"/>
      <w:rPr>
        <w:rFonts w:ascii="Times New Roman" w:hAnsi="Times New Roman" w:cs="Times New Roman"/>
      </w:rPr>
    </w:pPr>
    <w:r>
      <w:rPr>
        <w:sz w:val="18"/>
      </w:rPr>
      <mc:AlternateContent>
        <mc:Choice Requires="wps">
          <w:drawing>
            <wp:anchor distT="0" distB="0" distL="114300" distR="114300" simplePos="0" relativeHeight="251705344" behindDoc="0" locked="0" layoutInCell="1" allowOverlap="1">
              <wp:simplePos x="0" y="0"/>
              <wp:positionH relativeFrom="margin">
                <wp:align>center</wp:align>
              </wp:positionH>
              <wp:positionV relativeFrom="paragraph">
                <wp:posOffset>0</wp:posOffset>
              </wp:positionV>
              <wp:extent cx="1828800" cy="1828800"/>
              <wp:effectExtent l="0" t="0" r="0" b="0"/>
              <wp:wrapNone/>
              <wp:docPr id="87"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sdt>
                          <w:sdtPr>
                            <w:id w:val="4175339"/>
                            <w:docPartObj>
                              <w:docPartGallery w:val="autotext"/>
                            </w:docPartObj>
                          </w:sdtPr>
                          <w:sdtEndPr>
                            <w:rPr>
                              <w:rFonts w:ascii="Times New Roman" w:hAnsi="Times New Roman" w:cs="Times New Roman"/>
                            </w:rPr>
                          </w:sdtEndPr>
                          <w:sdtContent>
                            <w:p>
                              <w:pPr>
                                <w:pStyle w:val="18"/>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PAGE   \* MERGEFORMAT </w:instrText>
                              </w:r>
                              <w:r>
                                <w:rPr>
                                  <w:rFonts w:ascii="Times New Roman" w:hAnsi="Times New Roman" w:cs="Times New Roman"/>
                                </w:rPr>
                                <w:fldChar w:fldCharType="separate"/>
                              </w:r>
                              <w:r>
                                <w:rPr>
                                  <w:rFonts w:ascii="Times New Roman" w:hAnsi="Times New Roman" w:cs="Times New Roman"/>
                                  <w:lang w:val="zh-CN"/>
                                </w:rPr>
                                <w:t>67</w:t>
                              </w:r>
                              <w:r>
                                <w:rPr>
                                  <w:rFonts w:ascii="Times New Roman" w:hAnsi="Times New Roman" w:cs="Times New Roman"/>
                                </w:rPr>
                                <w:fldChar w:fldCharType="end"/>
                              </w:r>
                            </w:p>
                          </w:sdtContent>
                        </w:sdt>
                        <w:p>
                          <w:pPr>
                            <w:pStyle w:val="2"/>
                          </w:pPr>
                        </w:p>
                      </w:txbxContent>
                    </wps:txbx>
                    <wps:bodyPr wrap="none" lIns="0" tIns="0" rIns="0" bIns="0" upright="0">
                      <a:spAutoFit/>
                    </wps:bodyPr>
                  </wps:wsp>
                </a:graphicData>
              </a:graphic>
            </wp:anchor>
          </w:drawing>
        </mc:Choice>
        <mc:Fallback>
          <w:pict>
            <v:shape id="文本框 3" o:spid="_x0000_s1026" o:spt="202" type="#_x0000_t202" style="position:absolute;left:0pt;margin-top:0pt;height:144pt;width:144pt;mso-position-horizontal:center;mso-position-horizontal-relative:margin;mso-wrap-style:none;z-index:25170534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FCys+MoBAACaAwAADgAAAAAAAAABACAAAAAeAQAAZHJzL2Uyb0Rv&#10;Yy54bWxQSwUGAAAAAAYABgBZAQAAWgUAAAAA&#10;">
              <v:fill on="f" focussize="0,0"/>
              <v:stroke on="f"/>
              <v:imagedata o:title=""/>
              <o:lock v:ext="edit" aspectratio="f"/>
              <v:textbox inset="0mm,0mm,0mm,0mm" style="mso-fit-shape-to-text:t;">
                <w:txbxContent>
                  <w:sdt>
                    <w:sdtPr>
                      <w:id w:val="4175339"/>
                      <w:docPartObj>
                        <w:docPartGallery w:val="autotext"/>
                      </w:docPartObj>
                    </w:sdtPr>
                    <w:sdtEndPr>
                      <w:rPr>
                        <w:rFonts w:ascii="Times New Roman" w:hAnsi="Times New Roman" w:cs="Times New Roman"/>
                      </w:rPr>
                    </w:sdtEndPr>
                    <w:sdtContent>
                      <w:p>
                        <w:pPr>
                          <w:pStyle w:val="18"/>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PAGE   \* MERGEFORMAT </w:instrText>
                        </w:r>
                        <w:r>
                          <w:rPr>
                            <w:rFonts w:ascii="Times New Roman" w:hAnsi="Times New Roman" w:cs="Times New Roman"/>
                          </w:rPr>
                          <w:fldChar w:fldCharType="separate"/>
                        </w:r>
                        <w:r>
                          <w:rPr>
                            <w:rFonts w:ascii="Times New Roman" w:hAnsi="Times New Roman" w:cs="Times New Roman"/>
                            <w:lang w:val="zh-CN"/>
                          </w:rPr>
                          <w:t>67</w:t>
                        </w:r>
                        <w:r>
                          <w:rPr>
                            <w:rFonts w:ascii="Times New Roman" w:hAnsi="Times New Roman" w:cs="Times New Roman"/>
                          </w:rPr>
                          <w:fldChar w:fldCharType="end"/>
                        </w:r>
                      </w:p>
                    </w:sdtContent>
                  </w:sdt>
                  <w:p>
                    <w:pPr>
                      <w:pStyle w:val="2"/>
                    </w:pPr>
                  </w:p>
                </w:txbxContent>
              </v:textbox>
            </v:shape>
          </w:pict>
        </mc:Fallback>
      </mc:AlternateContent>
    </w:r>
  </w:p>
  <w:p>
    <w:pPr>
      <w:pStyle w:val="18"/>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jc w:val="center"/>
      <w:rPr>
        <w:rFonts w:ascii="Times New Roman" w:hAnsi="Times New Roman" w:cs="Times New Roman"/>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86"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sdt>
                          <w:sdtPr>
                            <w:id w:val="4175339"/>
                            <w:docPartObj>
                              <w:docPartGallery w:val="autotext"/>
                            </w:docPartObj>
                          </w:sdtPr>
                          <w:sdtEndPr>
                            <w:rPr>
                              <w:rFonts w:ascii="Times New Roman" w:hAnsi="Times New Roman" w:cs="Times New Roman"/>
                            </w:rPr>
                          </w:sdtEndPr>
                          <w:sdtContent>
                            <w:p>
                              <w:pPr>
                                <w:pStyle w:val="18"/>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PAGE   \* MERGEFORMAT </w:instrText>
                              </w:r>
                              <w:r>
                                <w:rPr>
                                  <w:rFonts w:ascii="Times New Roman" w:hAnsi="Times New Roman" w:cs="Times New Roman"/>
                                </w:rPr>
                                <w:fldChar w:fldCharType="separate"/>
                              </w:r>
                              <w:r>
                                <w:rPr>
                                  <w:rFonts w:ascii="Times New Roman" w:hAnsi="Times New Roman" w:cs="Times New Roman"/>
                                  <w:lang w:val="zh-CN"/>
                                </w:rPr>
                                <w:t>67</w:t>
                              </w:r>
                              <w:r>
                                <w:rPr>
                                  <w:rFonts w:ascii="Times New Roman" w:hAnsi="Times New Roman" w:cs="Times New Roman"/>
                                </w:rPr>
                                <w:fldChar w:fldCharType="end"/>
                              </w:r>
                            </w:p>
                          </w:sdtContent>
                        </w:sdt>
                        <w:p>
                          <w:pPr>
                            <w:pStyle w:val="2"/>
                          </w:pPr>
                        </w:p>
                      </w:txbxContent>
                    </wps:txbx>
                    <wps:bodyPr wrap="none" lIns="0" tIns="0" rIns="0" bIns="0" upright="0">
                      <a:spAutoFit/>
                    </wps:bodyPr>
                  </wps:wsp>
                </a:graphicData>
              </a:graphic>
            </wp:anchor>
          </w:drawing>
        </mc:Choice>
        <mc:Fallback>
          <w:pict>
            <v:shape id="文本框 2"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ORKG8/IAQAAmgMAAA4AAAAAAAAAAQAgAAAAHgEAAGRycy9lMm9Eb2Mu&#10;eG1sUEsFBgAAAAAGAAYAWQEAAFgFAAAAAA==&#10;">
              <v:fill on="f" focussize="0,0"/>
              <v:stroke on="f"/>
              <v:imagedata o:title=""/>
              <o:lock v:ext="edit" aspectratio="f"/>
              <v:textbox inset="0mm,0mm,0mm,0mm" style="mso-fit-shape-to-text:t;">
                <w:txbxContent>
                  <w:sdt>
                    <w:sdtPr>
                      <w:id w:val="4175339"/>
                      <w:docPartObj>
                        <w:docPartGallery w:val="autotext"/>
                      </w:docPartObj>
                    </w:sdtPr>
                    <w:sdtEndPr>
                      <w:rPr>
                        <w:rFonts w:ascii="Times New Roman" w:hAnsi="Times New Roman" w:cs="Times New Roman"/>
                      </w:rPr>
                    </w:sdtEndPr>
                    <w:sdtContent>
                      <w:p>
                        <w:pPr>
                          <w:pStyle w:val="18"/>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PAGE   \* MERGEFORMAT </w:instrText>
                        </w:r>
                        <w:r>
                          <w:rPr>
                            <w:rFonts w:ascii="Times New Roman" w:hAnsi="Times New Roman" w:cs="Times New Roman"/>
                          </w:rPr>
                          <w:fldChar w:fldCharType="separate"/>
                        </w:r>
                        <w:r>
                          <w:rPr>
                            <w:rFonts w:ascii="Times New Roman" w:hAnsi="Times New Roman" w:cs="Times New Roman"/>
                            <w:lang w:val="zh-CN"/>
                          </w:rPr>
                          <w:t>67</w:t>
                        </w:r>
                        <w:r>
                          <w:rPr>
                            <w:rFonts w:ascii="Times New Roman" w:hAnsi="Times New Roman" w:cs="Times New Roman"/>
                          </w:rPr>
                          <w:fldChar w:fldCharType="end"/>
                        </w:r>
                      </w:p>
                    </w:sdtContent>
                  </w:sdt>
                  <w:p>
                    <w:pPr>
                      <w:pStyle w:val="2"/>
                    </w:pPr>
                  </w:p>
                </w:txbxContent>
              </v:textbox>
            </v:shape>
          </w:pict>
        </mc:Fallback>
      </mc:AlternateContent>
    </w:r>
  </w:p>
  <w:p>
    <w:pPr>
      <w:pStyle w:val="1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rPr>
        <w:rFonts w:hint="eastAsia" w:eastAsiaTheme="minorEastAsia"/>
        <w:sz w:val="21"/>
        <w:szCs w:val="21"/>
        <w:lang w:eastAsia="zh-CN"/>
      </w:rPr>
    </w:pPr>
    <w:r>
      <w:rPr>
        <w:rFonts w:hint="eastAsia"/>
        <w:sz w:val="21"/>
        <w:szCs w:val="21"/>
      </w:rPr>
      <w:t>灵璧县建设投资集团有限公司灵璧县一般工业固废填埋处置工程</w:t>
    </w:r>
    <w:r>
      <w:rPr>
        <w:rFonts w:hint="eastAsia"/>
        <w:sz w:val="21"/>
        <w:szCs w:val="21"/>
        <w:lang w:eastAsia="zh-CN"/>
      </w:rPr>
      <w:t>竣工验收监测报告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B8A8E65"/>
    <w:multiLevelType w:val="singleLevel"/>
    <w:tmpl w:val="EB8A8E65"/>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hideSpellingErrors/>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hdrShapeDefaults>
    <o:shapelayout v:ext="edit">
      <o:idmap v:ext="edit" data="260"/>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0572"/>
    <w:rsid w:val="0000044C"/>
    <w:rsid w:val="00000DC3"/>
    <w:rsid w:val="00000EC7"/>
    <w:rsid w:val="0000152F"/>
    <w:rsid w:val="0000183C"/>
    <w:rsid w:val="00001DF4"/>
    <w:rsid w:val="000027D0"/>
    <w:rsid w:val="00003063"/>
    <w:rsid w:val="0000429F"/>
    <w:rsid w:val="00004A0E"/>
    <w:rsid w:val="0000564E"/>
    <w:rsid w:val="00005CCB"/>
    <w:rsid w:val="000063BC"/>
    <w:rsid w:val="0000713E"/>
    <w:rsid w:val="000075B7"/>
    <w:rsid w:val="0000783D"/>
    <w:rsid w:val="00007D5B"/>
    <w:rsid w:val="000105FB"/>
    <w:rsid w:val="00010880"/>
    <w:rsid w:val="00010FBC"/>
    <w:rsid w:val="000110E8"/>
    <w:rsid w:val="00011226"/>
    <w:rsid w:val="00011314"/>
    <w:rsid w:val="00011483"/>
    <w:rsid w:val="00011A2C"/>
    <w:rsid w:val="00011B7C"/>
    <w:rsid w:val="00012238"/>
    <w:rsid w:val="00012314"/>
    <w:rsid w:val="0001328D"/>
    <w:rsid w:val="0001355B"/>
    <w:rsid w:val="00013AC5"/>
    <w:rsid w:val="00014563"/>
    <w:rsid w:val="000146E9"/>
    <w:rsid w:val="00014B57"/>
    <w:rsid w:val="00015BD3"/>
    <w:rsid w:val="000164F9"/>
    <w:rsid w:val="0001701A"/>
    <w:rsid w:val="000174D5"/>
    <w:rsid w:val="00017532"/>
    <w:rsid w:val="00020168"/>
    <w:rsid w:val="00021531"/>
    <w:rsid w:val="0002246E"/>
    <w:rsid w:val="000227D3"/>
    <w:rsid w:val="000229F6"/>
    <w:rsid w:val="00022BAE"/>
    <w:rsid w:val="00022EB0"/>
    <w:rsid w:val="00023C54"/>
    <w:rsid w:val="00023E85"/>
    <w:rsid w:val="00023F35"/>
    <w:rsid w:val="000248BA"/>
    <w:rsid w:val="00024D5B"/>
    <w:rsid w:val="00026992"/>
    <w:rsid w:val="00027538"/>
    <w:rsid w:val="000278B4"/>
    <w:rsid w:val="00027EBB"/>
    <w:rsid w:val="000302C5"/>
    <w:rsid w:val="000302D1"/>
    <w:rsid w:val="000303DB"/>
    <w:rsid w:val="00031313"/>
    <w:rsid w:val="000315BD"/>
    <w:rsid w:val="00031CB5"/>
    <w:rsid w:val="000320C2"/>
    <w:rsid w:val="00032346"/>
    <w:rsid w:val="0003256B"/>
    <w:rsid w:val="000326AD"/>
    <w:rsid w:val="00032994"/>
    <w:rsid w:val="00033056"/>
    <w:rsid w:val="00033DE2"/>
    <w:rsid w:val="00034295"/>
    <w:rsid w:val="000347F0"/>
    <w:rsid w:val="00034BDA"/>
    <w:rsid w:val="000361ED"/>
    <w:rsid w:val="00036944"/>
    <w:rsid w:val="00037774"/>
    <w:rsid w:val="00037DAF"/>
    <w:rsid w:val="00037FD7"/>
    <w:rsid w:val="00040EF4"/>
    <w:rsid w:val="00040F38"/>
    <w:rsid w:val="0004117A"/>
    <w:rsid w:val="000411ED"/>
    <w:rsid w:val="000415E8"/>
    <w:rsid w:val="00042487"/>
    <w:rsid w:val="00043C3A"/>
    <w:rsid w:val="00043D3B"/>
    <w:rsid w:val="00044376"/>
    <w:rsid w:val="000444C0"/>
    <w:rsid w:val="000446F4"/>
    <w:rsid w:val="0004478A"/>
    <w:rsid w:val="00044CD1"/>
    <w:rsid w:val="000456E8"/>
    <w:rsid w:val="00046C78"/>
    <w:rsid w:val="00047D09"/>
    <w:rsid w:val="00047D12"/>
    <w:rsid w:val="000516ED"/>
    <w:rsid w:val="00051FED"/>
    <w:rsid w:val="00052393"/>
    <w:rsid w:val="00052F4E"/>
    <w:rsid w:val="00052F83"/>
    <w:rsid w:val="00052FD8"/>
    <w:rsid w:val="0005372E"/>
    <w:rsid w:val="00054A5A"/>
    <w:rsid w:val="000552C6"/>
    <w:rsid w:val="00055B3B"/>
    <w:rsid w:val="00056425"/>
    <w:rsid w:val="0005651F"/>
    <w:rsid w:val="000565FB"/>
    <w:rsid w:val="000568FE"/>
    <w:rsid w:val="0005773F"/>
    <w:rsid w:val="0005775E"/>
    <w:rsid w:val="00057A2F"/>
    <w:rsid w:val="000603CA"/>
    <w:rsid w:val="000603DC"/>
    <w:rsid w:val="00060561"/>
    <w:rsid w:val="000605D3"/>
    <w:rsid w:val="00062107"/>
    <w:rsid w:val="00062B98"/>
    <w:rsid w:val="00062C50"/>
    <w:rsid w:val="00062D52"/>
    <w:rsid w:val="00062D90"/>
    <w:rsid w:val="000636E3"/>
    <w:rsid w:val="000639E5"/>
    <w:rsid w:val="00064127"/>
    <w:rsid w:val="00064A34"/>
    <w:rsid w:val="00065060"/>
    <w:rsid w:val="00065128"/>
    <w:rsid w:val="0006624B"/>
    <w:rsid w:val="00066ACC"/>
    <w:rsid w:val="00067778"/>
    <w:rsid w:val="00070FDE"/>
    <w:rsid w:val="000716C5"/>
    <w:rsid w:val="000717B6"/>
    <w:rsid w:val="000729DB"/>
    <w:rsid w:val="000731FC"/>
    <w:rsid w:val="00074532"/>
    <w:rsid w:val="000748BB"/>
    <w:rsid w:val="00074E9A"/>
    <w:rsid w:val="00076083"/>
    <w:rsid w:val="000762CE"/>
    <w:rsid w:val="00076626"/>
    <w:rsid w:val="00076A6C"/>
    <w:rsid w:val="00076E39"/>
    <w:rsid w:val="00080311"/>
    <w:rsid w:val="00080E04"/>
    <w:rsid w:val="00081E39"/>
    <w:rsid w:val="000824CA"/>
    <w:rsid w:val="000826F5"/>
    <w:rsid w:val="00082A8F"/>
    <w:rsid w:val="00083064"/>
    <w:rsid w:val="000839EA"/>
    <w:rsid w:val="00084778"/>
    <w:rsid w:val="00085E69"/>
    <w:rsid w:val="00086009"/>
    <w:rsid w:val="000860F1"/>
    <w:rsid w:val="00086F6B"/>
    <w:rsid w:val="00086FBE"/>
    <w:rsid w:val="00087894"/>
    <w:rsid w:val="000906B0"/>
    <w:rsid w:val="000911AE"/>
    <w:rsid w:val="000923A4"/>
    <w:rsid w:val="00092591"/>
    <w:rsid w:val="000925A3"/>
    <w:rsid w:val="0009374A"/>
    <w:rsid w:val="00093B4E"/>
    <w:rsid w:val="00093D5F"/>
    <w:rsid w:val="00093E95"/>
    <w:rsid w:val="00093EA7"/>
    <w:rsid w:val="00094307"/>
    <w:rsid w:val="00094665"/>
    <w:rsid w:val="00094742"/>
    <w:rsid w:val="00094DB6"/>
    <w:rsid w:val="00094F02"/>
    <w:rsid w:val="00095B30"/>
    <w:rsid w:val="00095DBB"/>
    <w:rsid w:val="00096304"/>
    <w:rsid w:val="00096418"/>
    <w:rsid w:val="00096CE4"/>
    <w:rsid w:val="0009709D"/>
    <w:rsid w:val="000972FB"/>
    <w:rsid w:val="0009781A"/>
    <w:rsid w:val="00097C0C"/>
    <w:rsid w:val="00097C58"/>
    <w:rsid w:val="000A0860"/>
    <w:rsid w:val="000A0BF8"/>
    <w:rsid w:val="000A13BC"/>
    <w:rsid w:val="000A17AA"/>
    <w:rsid w:val="000A1A70"/>
    <w:rsid w:val="000A1E9A"/>
    <w:rsid w:val="000A2255"/>
    <w:rsid w:val="000A29F1"/>
    <w:rsid w:val="000A2D21"/>
    <w:rsid w:val="000A31D3"/>
    <w:rsid w:val="000A3438"/>
    <w:rsid w:val="000A5937"/>
    <w:rsid w:val="000A5FE6"/>
    <w:rsid w:val="000A631E"/>
    <w:rsid w:val="000A64C6"/>
    <w:rsid w:val="000A683B"/>
    <w:rsid w:val="000A7AD2"/>
    <w:rsid w:val="000A7CE1"/>
    <w:rsid w:val="000B0096"/>
    <w:rsid w:val="000B0A12"/>
    <w:rsid w:val="000B1024"/>
    <w:rsid w:val="000B1E9E"/>
    <w:rsid w:val="000B232A"/>
    <w:rsid w:val="000B24A2"/>
    <w:rsid w:val="000B269F"/>
    <w:rsid w:val="000B2C80"/>
    <w:rsid w:val="000B34CA"/>
    <w:rsid w:val="000B3A9E"/>
    <w:rsid w:val="000B3C0B"/>
    <w:rsid w:val="000B3C4F"/>
    <w:rsid w:val="000B3CC5"/>
    <w:rsid w:val="000B3FE6"/>
    <w:rsid w:val="000B41ED"/>
    <w:rsid w:val="000B434F"/>
    <w:rsid w:val="000B4CD7"/>
    <w:rsid w:val="000B50B7"/>
    <w:rsid w:val="000B51B3"/>
    <w:rsid w:val="000B5F9F"/>
    <w:rsid w:val="000B6049"/>
    <w:rsid w:val="000B714F"/>
    <w:rsid w:val="000C05AF"/>
    <w:rsid w:val="000C0635"/>
    <w:rsid w:val="000C0747"/>
    <w:rsid w:val="000C0B44"/>
    <w:rsid w:val="000C110A"/>
    <w:rsid w:val="000C1135"/>
    <w:rsid w:val="000C131A"/>
    <w:rsid w:val="000C1458"/>
    <w:rsid w:val="000C1CDB"/>
    <w:rsid w:val="000C20CE"/>
    <w:rsid w:val="000C21E6"/>
    <w:rsid w:val="000C25F8"/>
    <w:rsid w:val="000C2D8F"/>
    <w:rsid w:val="000C3022"/>
    <w:rsid w:val="000C3689"/>
    <w:rsid w:val="000C381D"/>
    <w:rsid w:val="000C46D1"/>
    <w:rsid w:val="000C4A45"/>
    <w:rsid w:val="000C4CD2"/>
    <w:rsid w:val="000C4D16"/>
    <w:rsid w:val="000C4DC5"/>
    <w:rsid w:val="000C5415"/>
    <w:rsid w:val="000C61DC"/>
    <w:rsid w:val="000C6CB3"/>
    <w:rsid w:val="000C76A8"/>
    <w:rsid w:val="000C7756"/>
    <w:rsid w:val="000C7857"/>
    <w:rsid w:val="000C7A81"/>
    <w:rsid w:val="000C7D16"/>
    <w:rsid w:val="000D10D7"/>
    <w:rsid w:val="000D1797"/>
    <w:rsid w:val="000D1AB3"/>
    <w:rsid w:val="000D253B"/>
    <w:rsid w:val="000D2C23"/>
    <w:rsid w:val="000D345B"/>
    <w:rsid w:val="000D3CD3"/>
    <w:rsid w:val="000D3FD5"/>
    <w:rsid w:val="000D4027"/>
    <w:rsid w:val="000D4928"/>
    <w:rsid w:val="000D4936"/>
    <w:rsid w:val="000D4C5E"/>
    <w:rsid w:val="000D50DD"/>
    <w:rsid w:val="000D53D8"/>
    <w:rsid w:val="000D5ABA"/>
    <w:rsid w:val="000D608E"/>
    <w:rsid w:val="000D6A90"/>
    <w:rsid w:val="000E088D"/>
    <w:rsid w:val="000E10F5"/>
    <w:rsid w:val="000E279E"/>
    <w:rsid w:val="000E32CA"/>
    <w:rsid w:val="000E3567"/>
    <w:rsid w:val="000E37F3"/>
    <w:rsid w:val="000E4931"/>
    <w:rsid w:val="000E55D3"/>
    <w:rsid w:val="000E6514"/>
    <w:rsid w:val="000E653F"/>
    <w:rsid w:val="000E6F01"/>
    <w:rsid w:val="000E78D8"/>
    <w:rsid w:val="000E78EC"/>
    <w:rsid w:val="000E7D84"/>
    <w:rsid w:val="000F0EE3"/>
    <w:rsid w:val="000F0F87"/>
    <w:rsid w:val="000F1498"/>
    <w:rsid w:val="000F16F3"/>
    <w:rsid w:val="000F19BC"/>
    <w:rsid w:val="000F2C2D"/>
    <w:rsid w:val="000F3A03"/>
    <w:rsid w:val="000F4297"/>
    <w:rsid w:val="000F4B1A"/>
    <w:rsid w:val="000F4DA7"/>
    <w:rsid w:val="000F62FD"/>
    <w:rsid w:val="000F63BF"/>
    <w:rsid w:val="000F66C8"/>
    <w:rsid w:val="000F75BA"/>
    <w:rsid w:val="000F773B"/>
    <w:rsid w:val="000F7844"/>
    <w:rsid w:val="000F7AB6"/>
    <w:rsid w:val="000F7CA4"/>
    <w:rsid w:val="001003EC"/>
    <w:rsid w:val="0010094B"/>
    <w:rsid w:val="0010098A"/>
    <w:rsid w:val="00100B69"/>
    <w:rsid w:val="00100ECE"/>
    <w:rsid w:val="00101B3D"/>
    <w:rsid w:val="00101B6A"/>
    <w:rsid w:val="00101F79"/>
    <w:rsid w:val="00102267"/>
    <w:rsid w:val="001029FF"/>
    <w:rsid w:val="00102AA2"/>
    <w:rsid w:val="00102ADF"/>
    <w:rsid w:val="0010379D"/>
    <w:rsid w:val="00103BD4"/>
    <w:rsid w:val="00103C4D"/>
    <w:rsid w:val="001046D8"/>
    <w:rsid w:val="0010482C"/>
    <w:rsid w:val="0010483E"/>
    <w:rsid w:val="00106282"/>
    <w:rsid w:val="00106CB2"/>
    <w:rsid w:val="00106CDA"/>
    <w:rsid w:val="001079CE"/>
    <w:rsid w:val="00107A33"/>
    <w:rsid w:val="00107F1C"/>
    <w:rsid w:val="00110CC6"/>
    <w:rsid w:val="00111B9E"/>
    <w:rsid w:val="00111EAE"/>
    <w:rsid w:val="0011235F"/>
    <w:rsid w:val="0011236E"/>
    <w:rsid w:val="001127C4"/>
    <w:rsid w:val="00112837"/>
    <w:rsid w:val="00112AFB"/>
    <w:rsid w:val="001137F7"/>
    <w:rsid w:val="00113B72"/>
    <w:rsid w:val="00113CFD"/>
    <w:rsid w:val="0011429A"/>
    <w:rsid w:val="001142BD"/>
    <w:rsid w:val="00114921"/>
    <w:rsid w:val="00114C1C"/>
    <w:rsid w:val="00114CED"/>
    <w:rsid w:val="00114D32"/>
    <w:rsid w:val="00114EE2"/>
    <w:rsid w:val="00114F2A"/>
    <w:rsid w:val="0011572A"/>
    <w:rsid w:val="00115990"/>
    <w:rsid w:val="00116F47"/>
    <w:rsid w:val="0011701F"/>
    <w:rsid w:val="001176F7"/>
    <w:rsid w:val="00120C26"/>
    <w:rsid w:val="001216A8"/>
    <w:rsid w:val="00122656"/>
    <w:rsid w:val="00122C79"/>
    <w:rsid w:val="00123536"/>
    <w:rsid w:val="00124264"/>
    <w:rsid w:val="00124A34"/>
    <w:rsid w:val="00125BB3"/>
    <w:rsid w:val="00127168"/>
    <w:rsid w:val="0012728F"/>
    <w:rsid w:val="001277C2"/>
    <w:rsid w:val="00127859"/>
    <w:rsid w:val="00130035"/>
    <w:rsid w:val="0013050A"/>
    <w:rsid w:val="00130B44"/>
    <w:rsid w:val="00130C7E"/>
    <w:rsid w:val="0013176E"/>
    <w:rsid w:val="0013203F"/>
    <w:rsid w:val="00133D50"/>
    <w:rsid w:val="00134064"/>
    <w:rsid w:val="00134348"/>
    <w:rsid w:val="00135357"/>
    <w:rsid w:val="001359DB"/>
    <w:rsid w:val="001359F5"/>
    <w:rsid w:val="00135D57"/>
    <w:rsid w:val="00136511"/>
    <w:rsid w:val="00136FED"/>
    <w:rsid w:val="001370C8"/>
    <w:rsid w:val="001371E0"/>
    <w:rsid w:val="001377F0"/>
    <w:rsid w:val="001379E0"/>
    <w:rsid w:val="00140A0A"/>
    <w:rsid w:val="00140A27"/>
    <w:rsid w:val="001416CD"/>
    <w:rsid w:val="00141A5C"/>
    <w:rsid w:val="00141D73"/>
    <w:rsid w:val="00141E56"/>
    <w:rsid w:val="00141F86"/>
    <w:rsid w:val="00142424"/>
    <w:rsid w:val="001428E6"/>
    <w:rsid w:val="00142BE3"/>
    <w:rsid w:val="00142E66"/>
    <w:rsid w:val="00143923"/>
    <w:rsid w:val="00144017"/>
    <w:rsid w:val="001440D6"/>
    <w:rsid w:val="00144591"/>
    <w:rsid w:val="001445B5"/>
    <w:rsid w:val="001446FE"/>
    <w:rsid w:val="00144791"/>
    <w:rsid w:val="0014538A"/>
    <w:rsid w:val="0014556A"/>
    <w:rsid w:val="00145775"/>
    <w:rsid w:val="00145875"/>
    <w:rsid w:val="001458DB"/>
    <w:rsid w:val="00145978"/>
    <w:rsid w:val="001459A6"/>
    <w:rsid w:val="00145EE8"/>
    <w:rsid w:val="00145FCE"/>
    <w:rsid w:val="001463C1"/>
    <w:rsid w:val="001466A4"/>
    <w:rsid w:val="0014780C"/>
    <w:rsid w:val="00147A74"/>
    <w:rsid w:val="001502A3"/>
    <w:rsid w:val="0015096C"/>
    <w:rsid w:val="00150C15"/>
    <w:rsid w:val="00150E38"/>
    <w:rsid w:val="00151238"/>
    <w:rsid w:val="0015194B"/>
    <w:rsid w:val="00151C9E"/>
    <w:rsid w:val="00151FFB"/>
    <w:rsid w:val="00152A53"/>
    <w:rsid w:val="00152D25"/>
    <w:rsid w:val="00153253"/>
    <w:rsid w:val="00153A17"/>
    <w:rsid w:val="00153D22"/>
    <w:rsid w:val="001541C3"/>
    <w:rsid w:val="0015486F"/>
    <w:rsid w:val="00154FFD"/>
    <w:rsid w:val="001567A1"/>
    <w:rsid w:val="001579A5"/>
    <w:rsid w:val="00157F73"/>
    <w:rsid w:val="001606B5"/>
    <w:rsid w:val="00160E83"/>
    <w:rsid w:val="001619A9"/>
    <w:rsid w:val="00161E32"/>
    <w:rsid w:val="0016217D"/>
    <w:rsid w:val="0016274A"/>
    <w:rsid w:val="00163338"/>
    <w:rsid w:val="001638B0"/>
    <w:rsid w:val="00163F0C"/>
    <w:rsid w:val="00164616"/>
    <w:rsid w:val="001650AE"/>
    <w:rsid w:val="0016523D"/>
    <w:rsid w:val="00165532"/>
    <w:rsid w:val="00165723"/>
    <w:rsid w:val="00165ADC"/>
    <w:rsid w:val="001661F7"/>
    <w:rsid w:val="001665FF"/>
    <w:rsid w:val="00167461"/>
    <w:rsid w:val="001675E5"/>
    <w:rsid w:val="00167662"/>
    <w:rsid w:val="00167E76"/>
    <w:rsid w:val="00167F90"/>
    <w:rsid w:val="001705AF"/>
    <w:rsid w:val="001714AF"/>
    <w:rsid w:val="00171511"/>
    <w:rsid w:val="0017223B"/>
    <w:rsid w:val="00172701"/>
    <w:rsid w:val="001732DD"/>
    <w:rsid w:val="001735C3"/>
    <w:rsid w:val="00175256"/>
    <w:rsid w:val="00175AB9"/>
    <w:rsid w:val="0017686E"/>
    <w:rsid w:val="00176B19"/>
    <w:rsid w:val="001774C5"/>
    <w:rsid w:val="0017757C"/>
    <w:rsid w:val="00177657"/>
    <w:rsid w:val="00177955"/>
    <w:rsid w:val="0018026B"/>
    <w:rsid w:val="00180D88"/>
    <w:rsid w:val="00180F8A"/>
    <w:rsid w:val="0018112E"/>
    <w:rsid w:val="00181548"/>
    <w:rsid w:val="00181A14"/>
    <w:rsid w:val="00181A24"/>
    <w:rsid w:val="00181C10"/>
    <w:rsid w:val="001825BA"/>
    <w:rsid w:val="00182842"/>
    <w:rsid w:val="00183209"/>
    <w:rsid w:val="0018396E"/>
    <w:rsid w:val="00184320"/>
    <w:rsid w:val="00184E4A"/>
    <w:rsid w:val="00184F1C"/>
    <w:rsid w:val="00185305"/>
    <w:rsid w:val="00185C9A"/>
    <w:rsid w:val="0018600A"/>
    <w:rsid w:val="00186050"/>
    <w:rsid w:val="001864EA"/>
    <w:rsid w:val="00186EC3"/>
    <w:rsid w:val="001871BE"/>
    <w:rsid w:val="001878D9"/>
    <w:rsid w:val="00187AD8"/>
    <w:rsid w:val="00187F42"/>
    <w:rsid w:val="00187F45"/>
    <w:rsid w:val="00190740"/>
    <w:rsid w:val="0019081D"/>
    <w:rsid w:val="00190B44"/>
    <w:rsid w:val="0019146B"/>
    <w:rsid w:val="00191BC4"/>
    <w:rsid w:val="00191D2F"/>
    <w:rsid w:val="001924CF"/>
    <w:rsid w:val="00192AF0"/>
    <w:rsid w:val="0019422A"/>
    <w:rsid w:val="00194402"/>
    <w:rsid w:val="00194A89"/>
    <w:rsid w:val="00194B51"/>
    <w:rsid w:val="0019527A"/>
    <w:rsid w:val="001954CC"/>
    <w:rsid w:val="0019558E"/>
    <w:rsid w:val="001964DA"/>
    <w:rsid w:val="00196675"/>
    <w:rsid w:val="00196F07"/>
    <w:rsid w:val="00197956"/>
    <w:rsid w:val="00197A75"/>
    <w:rsid w:val="001A0A09"/>
    <w:rsid w:val="001A1A5F"/>
    <w:rsid w:val="001A232E"/>
    <w:rsid w:val="001A2683"/>
    <w:rsid w:val="001A2822"/>
    <w:rsid w:val="001A3385"/>
    <w:rsid w:val="001A346E"/>
    <w:rsid w:val="001A360C"/>
    <w:rsid w:val="001A422C"/>
    <w:rsid w:val="001A5102"/>
    <w:rsid w:val="001A5448"/>
    <w:rsid w:val="001A5508"/>
    <w:rsid w:val="001A56ED"/>
    <w:rsid w:val="001A59C7"/>
    <w:rsid w:val="001A5A7C"/>
    <w:rsid w:val="001A5F34"/>
    <w:rsid w:val="001A63ED"/>
    <w:rsid w:val="001A68F9"/>
    <w:rsid w:val="001A6B27"/>
    <w:rsid w:val="001A7914"/>
    <w:rsid w:val="001B025D"/>
    <w:rsid w:val="001B0596"/>
    <w:rsid w:val="001B0783"/>
    <w:rsid w:val="001B1417"/>
    <w:rsid w:val="001B1726"/>
    <w:rsid w:val="001B19F7"/>
    <w:rsid w:val="001B2935"/>
    <w:rsid w:val="001B2FA1"/>
    <w:rsid w:val="001B3228"/>
    <w:rsid w:val="001B3651"/>
    <w:rsid w:val="001B377B"/>
    <w:rsid w:val="001B3C81"/>
    <w:rsid w:val="001B582F"/>
    <w:rsid w:val="001B65D2"/>
    <w:rsid w:val="001B6B2F"/>
    <w:rsid w:val="001B76E5"/>
    <w:rsid w:val="001C0347"/>
    <w:rsid w:val="001C08D6"/>
    <w:rsid w:val="001C0924"/>
    <w:rsid w:val="001C0ACA"/>
    <w:rsid w:val="001C0BCC"/>
    <w:rsid w:val="001C1A3B"/>
    <w:rsid w:val="001C1D80"/>
    <w:rsid w:val="001C1E32"/>
    <w:rsid w:val="001C24A9"/>
    <w:rsid w:val="001C278D"/>
    <w:rsid w:val="001C2F67"/>
    <w:rsid w:val="001C3285"/>
    <w:rsid w:val="001C34D9"/>
    <w:rsid w:val="001C3685"/>
    <w:rsid w:val="001C3EC2"/>
    <w:rsid w:val="001C41E5"/>
    <w:rsid w:val="001C4885"/>
    <w:rsid w:val="001C48D3"/>
    <w:rsid w:val="001C4DBB"/>
    <w:rsid w:val="001C5295"/>
    <w:rsid w:val="001C5809"/>
    <w:rsid w:val="001C66A7"/>
    <w:rsid w:val="001C7166"/>
    <w:rsid w:val="001C73AF"/>
    <w:rsid w:val="001C7FFA"/>
    <w:rsid w:val="001D012F"/>
    <w:rsid w:val="001D0992"/>
    <w:rsid w:val="001D1195"/>
    <w:rsid w:val="001D152C"/>
    <w:rsid w:val="001D1A8D"/>
    <w:rsid w:val="001D1AAC"/>
    <w:rsid w:val="001D1C85"/>
    <w:rsid w:val="001D22E5"/>
    <w:rsid w:val="001D2B80"/>
    <w:rsid w:val="001D3093"/>
    <w:rsid w:val="001D3922"/>
    <w:rsid w:val="001D3990"/>
    <w:rsid w:val="001D3D84"/>
    <w:rsid w:val="001D4275"/>
    <w:rsid w:val="001D4589"/>
    <w:rsid w:val="001D4841"/>
    <w:rsid w:val="001D4A5D"/>
    <w:rsid w:val="001D4A86"/>
    <w:rsid w:val="001D56FF"/>
    <w:rsid w:val="001D6076"/>
    <w:rsid w:val="001D60F1"/>
    <w:rsid w:val="001D6990"/>
    <w:rsid w:val="001D6A2B"/>
    <w:rsid w:val="001D711B"/>
    <w:rsid w:val="001D7D2A"/>
    <w:rsid w:val="001E03B1"/>
    <w:rsid w:val="001E0418"/>
    <w:rsid w:val="001E0569"/>
    <w:rsid w:val="001E1B01"/>
    <w:rsid w:val="001E1BEA"/>
    <w:rsid w:val="001E220D"/>
    <w:rsid w:val="001E24E8"/>
    <w:rsid w:val="001E26B3"/>
    <w:rsid w:val="001E2FBB"/>
    <w:rsid w:val="001E3A87"/>
    <w:rsid w:val="001E3AE6"/>
    <w:rsid w:val="001E3EE4"/>
    <w:rsid w:val="001E430D"/>
    <w:rsid w:val="001E4AB6"/>
    <w:rsid w:val="001E52ED"/>
    <w:rsid w:val="001E534C"/>
    <w:rsid w:val="001E561F"/>
    <w:rsid w:val="001E6172"/>
    <w:rsid w:val="001E65DA"/>
    <w:rsid w:val="001E6E09"/>
    <w:rsid w:val="001E7184"/>
    <w:rsid w:val="001E7D22"/>
    <w:rsid w:val="001E7D49"/>
    <w:rsid w:val="001F0B94"/>
    <w:rsid w:val="001F0F54"/>
    <w:rsid w:val="001F151B"/>
    <w:rsid w:val="001F1732"/>
    <w:rsid w:val="001F184D"/>
    <w:rsid w:val="001F18B7"/>
    <w:rsid w:val="001F350C"/>
    <w:rsid w:val="001F3A3E"/>
    <w:rsid w:val="001F3C7C"/>
    <w:rsid w:val="001F434D"/>
    <w:rsid w:val="001F4864"/>
    <w:rsid w:val="001F4B10"/>
    <w:rsid w:val="001F4CB3"/>
    <w:rsid w:val="001F4EC8"/>
    <w:rsid w:val="001F5084"/>
    <w:rsid w:val="001F5BF2"/>
    <w:rsid w:val="001F5D31"/>
    <w:rsid w:val="001F66A0"/>
    <w:rsid w:val="00200AD2"/>
    <w:rsid w:val="00201246"/>
    <w:rsid w:val="002019F1"/>
    <w:rsid w:val="00201D86"/>
    <w:rsid w:val="00201DF3"/>
    <w:rsid w:val="00202E2B"/>
    <w:rsid w:val="00202F74"/>
    <w:rsid w:val="00205114"/>
    <w:rsid w:val="00205374"/>
    <w:rsid w:val="00205566"/>
    <w:rsid w:val="00205844"/>
    <w:rsid w:val="00205B55"/>
    <w:rsid w:val="0020648A"/>
    <w:rsid w:val="00206702"/>
    <w:rsid w:val="00206B24"/>
    <w:rsid w:val="00206DB4"/>
    <w:rsid w:val="00207693"/>
    <w:rsid w:val="0020774F"/>
    <w:rsid w:val="00210138"/>
    <w:rsid w:val="0021026E"/>
    <w:rsid w:val="0021033A"/>
    <w:rsid w:val="00210796"/>
    <w:rsid w:val="00210B2E"/>
    <w:rsid w:val="002111D0"/>
    <w:rsid w:val="00212FDC"/>
    <w:rsid w:val="002130F2"/>
    <w:rsid w:val="0021326E"/>
    <w:rsid w:val="00213987"/>
    <w:rsid w:val="00213B5F"/>
    <w:rsid w:val="00213D4E"/>
    <w:rsid w:val="0021425A"/>
    <w:rsid w:val="00214262"/>
    <w:rsid w:val="00214B41"/>
    <w:rsid w:val="00215ED3"/>
    <w:rsid w:val="002161C0"/>
    <w:rsid w:val="00216405"/>
    <w:rsid w:val="00216872"/>
    <w:rsid w:val="002169B0"/>
    <w:rsid w:val="00216E80"/>
    <w:rsid w:val="0021738F"/>
    <w:rsid w:val="002178B2"/>
    <w:rsid w:val="00220420"/>
    <w:rsid w:val="00220778"/>
    <w:rsid w:val="00220D6B"/>
    <w:rsid w:val="0022160A"/>
    <w:rsid w:val="002217D6"/>
    <w:rsid w:val="0022197F"/>
    <w:rsid w:val="00221F12"/>
    <w:rsid w:val="00221F54"/>
    <w:rsid w:val="002240CD"/>
    <w:rsid w:val="002240F5"/>
    <w:rsid w:val="002246C1"/>
    <w:rsid w:val="00224723"/>
    <w:rsid w:val="00224947"/>
    <w:rsid w:val="00224B5B"/>
    <w:rsid w:val="00224EAE"/>
    <w:rsid w:val="00224EC1"/>
    <w:rsid w:val="002250B0"/>
    <w:rsid w:val="0022561A"/>
    <w:rsid w:val="00225A4E"/>
    <w:rsid w:val="00225EF5"/>
    <w:rsid w:val="00225F1D"/>
    <w:rsid w:val="00226451"/>
    <w:rsid w:val="00227AB1"/>
    <w:rsid w:val="00230171"/>
    <w:rsid w:val="002302E7"/>
    <w:rsid w:val="002308D0"/>
    <w:rsid w:val="00230B23"/>
    <w:rsid w:val="00230FEF"/>
    <w:rsid w:val="002314EB"/>
    <w:rsid w:val="002318B6"/>
    <w:rsid w:val="00231DDB"/>
    <w:rsid w:val="00232AE4"/>
    <w:rsid w:val="00232CB1"/>
    <w:rsid w:val="002333D2"/>
    <w:rsid w:val="00233541"/>
    <w:rsid w:val="0023366B"/>
    <w:rsid w:val="0023378D"/>
    <w:rsid w:val="00233C44"/>
    <w:rsid w:val="00234A67"/>
    <w:rsid w:val="00234C79"/>
    <w:rsid w:val="00235A44"/>
    <w:rsid w:val="00235CF6"/>
    <w:rsid w:val="00235F5A"/>
    <w:rsid w:val="002367A1"/>
    <w:rsid w:val="00237436"/>
    <w:rsid w:val="002377EA"/>
    <w:rsid w:val="002379CC"/>
    <w:rsid w:val="00237CB3"/>
    <w:rsid w:val="00240572"/>
    <w:rsid w:val="00240D49"/>
    <w:rsid w:val="00240EE8"/>
    <w:rsid w:val="00241164"/>
    <w:rsid w:val="002412F7"/>
    <w:rsid w:val="00241632"/>
    <w:rsid w:val="00241D0C"/>
    <w:rsid w:val="0024265A"/>
    <w:rsid w:val="002433AD"/>
    <w:rsid w:val="0024354A"/>
    <w:rsid w:val="002439FF"/>
    <w:rsid w:val="00243D97"/>
    <w:rsid w:val="00243F56"/>
    <w:rsid w:val="002446F7"/>
    <w:rsid w:val="00244BE6"/>
    <w:rsid w:val="0024502F"/>
    <w:rsid w:val="00245AC7"/>
    <w:rsid w:val="00245C11"/>
    <w:rsid w:val="00246678"/>
    <w:rsid w:val="00246C9A"/>
    <w:rsid w:val="00246D10"/>
    <w:rsid w:val="00246FB5"/>
    <w:rsid w:val="002470F8"/>
    <w:rsid w:val="002471B5"/>
    <w:rsid w:val="00247983"/>
    <w:rsid w:val="002500A5"/>
    <w:rsid w:val="00250428"/>
    <w:rsid w:val="00250832"/>
    <w:rsid w:val="00250F63"/>
    <w:rsid w:val="00251480"/>
    <w:rsid w:val="0025160A"/>
    <w:rsid w:val="00251862"/>
    <w:rsid w:val="00252035"/>
    <w:rsid w:val="002522F1"/>
    <w:rsid w:val="00253ACD"/>
    <w:rsid w:val="00254385"/>
    <w:rsid w:val="00254998"/>
    <w:rsid w:val="00254BD4"/>
    <w:rsid w:val="00255149"/>
    <w:rsid w:val="0025583B"/>
    <w:rsid w:val="00255EC7"/>
    <w:rsid w:val="0025622E"/>
    <w:rsid w:val="0025651A"/>
    <w:rsid w:val="00256E67"/>
    <w:rsid w:val="0025731B"/>
    <w:rsid w:val="00257917"/>
    <w:rsid w:val="00257A78"/>
    <w:rsid w:val="00257EAB"/>
    <w:rsid w:val="00260036"/>
    <w:rsid w:val="002601B5"/>
    <w:rsid w:val="002601E5"/>
    <w:rsid w:val="0026052D"/>
    <w:rsid w:val="00260707"/>
    <w:rsid w:val="00260953"/>
    <w:rsid w:val="00260A25"/>
    <w:rsid w:val="00260B19"/>
    <w:rsid w:val="00261C3B"/>
    <w:rsid w:val="00263825"/>
    <w:rsid w:val="00263B0A"/>
    <w:rsid w:val="00263D06"/>
    <w:rsid w:val="00264273"/>
    <w:rsid w:val="002644FB"/>
    <w:rsid w:val="0026455F"/>
    <w:rsid w:val="00265823"/>
    <w:rsid w:val="00265B8D"/>
    <w:rsid w:val="00265C1F"/>
    <w:rsid w:val="00266026"/>
    <w:rsid w:val="00266A0B"/>
    <w:rsid w:val="00266C14"/>
    <w:rsid w:val="00266C82"/>
    <w:rsid w:val="00267296"/>
    <w:rsid w:val="00267D11"/>
    <w:rsid w:val="00267D7F"/>
    <w:rsid w:val="0027087F"/>
    <w:rsid w:val="0027164F"/>
    <w:rsid w:val="0027173E"/>
    <w:rsid w:val="00272765"/>
    <w:rsid w:val="00273BDC"/>
    <w:rsid w:val="00273C25"/>
    <w:rsid w:val="00273C8C"/>
    <w:rsid w:val="00273E33"/>
    <w:rsid w:val="00274143"/>
    <w:rsid w:val="002744B4"/>
    <w:rsid w:val="002745BD"/>
    <w:rsid w:val="002758C8"/>
    <w:rsid w:val="00275EA2"/>
    <w:rsid w:val="00275F58"/>
    <w:rsid w:val="00276CAF"/>
    <w:rsid w:val="002776D9"/>
    <w:rsid w:val="00281E16"/>
    <w:rsid w:val="002821B7"/>
    <w:rsid w:val="00282377"/>
    <w:rsid w:val="00282868"/>
    <w:rsid w:val="00282D8D"/>
    <w:rsid w:val="00283137"/>
    <w:rsid w:val="00283866"/>
    <w:rsid w:val="00284811"/>
    <w:rsid w:val="002848A3"/>
    <w:rsid w:val="00284AFA"/>
    <w:rsid w:val="00284F92"/>
    <w:rsid w:val="00285D07"/>
    <w:rsid w:val="00285EFE"/>
    <w:rsid w:val="00286E6A"/>
    <w:rsid w:val="00286E9A"/>
    <w:rsid w:val="00287526"/>
    <w:rsid w:val="00287B47"/>
    <w:rsid w:val="00287D2D"/>
    <w:rsid w:val="0029125D"/>
    <w:rsid w:val="00291948"/>
    <w:rsid w:val="00292E3B"/>
    <w:rsid w:val="00292F2B"/>
    <w:rsid w:val="002931B4"/>
    <w:rsid w:val="0029324F"/>
    <w:rsid w:val="00294211"/>
    <w:rsid w:val="00294418"/>
    <w:rsid w:val="0029454A"/>
    <w:rsid w:val="00295AAF"/>
    <w:rsid w:val="00296053"/>
    <w:rsid w:val="002963AB"/>
    <w:rsid w:val="002966AE"/>
    <w:rsid w:val="00296FA4"/>
    <w:rsid w:val="0029712D"/>
    <w:rsid w:val="002971C1"/>
    <w:rsid w:val="002A030D"/>
    <w:rsid w:val="002A0560"/>
    <w:rsid w:val="002A0C78"/>
    <w:rsid w:val="002A0CEB"/>
    <w:rsid w:val="002A10E7"/>
    <w:rsid w:val="002A184B"/>
    <w:rsid w:val="002A2C26"/>
    <w:rsid w:val="002A3398"/>
    <w:rsid w:val="002A40E8"/>
    <w:rsid w:val="002A4569"/>
    <w:rsid w:val="002A468D"/>
    <w:rsid w:val="002A46C6"/>
    <w:rsid w:val="002A4713"/>
    <w:rsid w:val="002A50BC"/>
    <w:rsid w:val="002A553F"/>
    <w:rsid w:val="002A5BDC"/>
    <w:rsid w:val="002A5CB7"/>
    <w:rsid w:val="002A5CF4"/>
    <w:rsid w:val="002A6451"/>
    <w:rsid w:val="002A798A"/>
    <w:rsid w:val="002B0894"/>
    <w:rsid w:val="002B0B4E"/>
    <w:rsid w:val="002B1574"/>
    <w:rsid w:val="002B20AC"/>
    <w:rsid w:val="002B214A"/>
    <w:rsid w:val="002B227D"/>
    <w:rsid w:val="002B2CD1"/>
    <w:rsid w:val="002B32B2"/>
    <w:rsid w:val="002B48D6"/>
    <w:rsid w:val="002B4B29"/>
    <w:rsid w:val="002B5B8F"/>
    <w:rsid w:val="002B696D"/>
    <w:rsid w:val="002B71E4"/>
    <w:rsid w:val="002B72CF"/>
    <w:rsid w:val="002C0801"/>
    <w:rsid w:val="002C08D8"/>
    <w:rsid w:val="002C1002"/>
    <w:rsid w:val="002C14BC"/>
    <w:rsid w:val="002C16EE"/>
    <w:rsid w:val="002C1781"/>
    <w:rsid w:val="002C17F8"/>
    <w:rsid w:val="002C2059"/>
    <w:rsid w:val="002C20E7"/>
    <w:rsid w:val="002C2427"/>
    <w:rsid w:val="002C2990"/>
    <w:rsid w:val="002C3805"/>
    <w:rsid w:val="002C4ECE"/>
    <w:rsid w:val="002C5032"/>
    <w:rsid w:val="002C64F5"/>
    <w:rsid w:val="002C6736"/>
    <w:rsid w:val="002C6D50"/>
    <w:rsid w:val="002C7052"/>
    <w:rsid w:val="002C78CC"/>
    <w:rsid w:val="002D00A3"/>
    <w:rsid w:val="002D063E"/>
    <w:rsid w:val="002D08D1"/>
    <w:rsid w:val="002D11C9"/>
    <w:rsid w:val="002D14E3"/>
    <w:rsid w:val="002D235A"/>
    <w:rsid w:val="002D26B0"/>
    <w:rsid w:val="002D2846"/>
    <w:rsid w:val="002D33A8"/>
    <w:rsid w:val="002D3535"/>
    <w:rsid w:val="002D3796"/>
    <w:rsid w:val="002D39BC"/>
    <w:rsid w:val="002D4225"/>
    <w:rsid w:val="002D5AD7"/>
    <w:rsid w:val="002D5DBC"/>
    <w:rsid w:val="002D6355"/>
    <w:rsid w:val="002D73CD"/>
    <w:rsid w:val="002E01CB"/>
    <w:rsid w:val="002E11A3"/>
    <w:rsid w:val="002E144E"/>
    <w:rsid w:val="002E2181"/>
    <w:rsid w:val="002E22B6"/>
    <w:rsid w:val="002E2BF8"/>
    <w:rsid w:val="002E330C"/>
    <w:rsid w:val="002E3765"/>
    <w:rsid w:val="002E431E"/>
    <w:rsid w:val="002E4447"/>
    <w:rsid w:val="002E5254"/>
    <w:rsid w:val="002E5B07"/>
    <w:rsid w:val="002E5BCF"/>
    <w:rsid w:val="002E681C"/>
    <w:rsid w:val="002E6B1D"/>
    <w:rsid w:val="002E7A26"/>
    <w:rsid w:val="002F027D"/>
    <w:rsid w:val="002F02DA"/>
    <w:rsid w:val="002F0523"/>
    <w:rsid w:val="002F0992"/>
    <w:rsid w:val="002F09BB"/>
    <w:rsid w:val="002F0D01"/>
    <w:rsid w:val="002F0FDD"/>
    <w:rsid w:val="002F142F"/>
    <w:rsid w:val="002F1A10"/>
    <w:rsid w:val="002F279E"/>
    <w:rsid w:val="002F28AE"/>
    <w:rsid w:val="002F2B81"/>
    <w:rsid w:val="002F2C6B"/>
    <w:rsid w:val="002F2FC0"/>
    <w:rsid w:val="002F35C3"/>
    <w:rsid w:val="002F3999"/>
    <w:rsid w:val="002F435A"/>
    <w:rsid w:val="002F4FCF"/>
    <w:rsid w:val="002F5455"/>
    <w:rsid w:val="002F5904"/>
    <w:rsid w:val="002F5DBE"/>
    <w:rsid w:val="002F616F"/>
    <w:rsid w:val="002F652C"/>
    <w:rsid w:val="002F6816"/>
    <w:rsid w:val="002F6DB7"/>
    <w:rsid w:val="002F75B3"/>
    <w:rsid w:val="002F7C65"/>
    <w:rsid w:val="003009A9"/>
    <w:rsid w:val="00300B31"/>
    <w:rsid w:val="00301100"/>
    <w:rsid w:val="00301266"/>
    <w:rsid w:val="003027C9"/>
    <w:rsid w:val="00302E11"/>
    <w:rsid w:val="0030303F"/>
    <w:rsid w:val="003034A4"/>
    <w:rsid w:val="003035B7"/>
    <w:rsid w:val="003036BB"/>
    <w:rsid w:val="00303B63"/>
    <w:rsid w:val="003041FE"/>
    <w:rsid w:val="0030436E"/>
    <w:rsid w:val="003044B3"/>
    <w:rsid w:val="00304F46"/>
    <w:rsid w:val="003056F7"/>
    <w:rsid w:val="00307501"/>
    <w:rsid w:val="00307868"/>
    <w:rsid w:val="00310A92"/>
    <w:rsid w:val="00311B7B"/>
    <w:rsid w:val="00312737"/>
    <w:rsid w:val="00312D8A"/>
    <w:rsid w:val="00312EBA"/>
    <w:rsid w:val="00313324"/>
    <w:rsid w:val="003138ED"/>
    <w:rsid w:val="00313E5D"/>
    <w:rsid w:val="0031421D"/>
    <w:rsid w:val="00314A3E"/>
    <w:rsid w:val="00314D90"/>
    <w:rsid w:val="00315039"/>
    <w:rsid w:val="003159F3"/>
    <w:rsid w:val="00315C70"/>
    <w:rsid w:val="003160F5"/>
    <w:rsid w:val="00316EA7"/>
    <w:rsid w:val="00317B20"/>
    <w:rsid w:val="00320835"/>
    <w:rsid w:val="00320DA6"/>
    <w:rsid w:val="00321216"/>
    <w:rsid w:val="003215DF"/>
    <w:rsid w:val="00321C75"/>
    <w:rsid w:val="00322E3C"/>
    <w:rsid w:val="00323DA5"/>
    <w:rsid w:val="00324007"/>
    <w:rsid w:val="003240FE"/>
    <w:rsid w:val="0032477B"/>
    <w:rsid w:val="003247A1"/>
    <w:rsid w:val="0032593A"/>
    <w:rsid w:val="00325D5C"/>
    <w:rsid w:val="00325E5D"/>
    <w:rsid w:val="0032618E"/>
    <w:rsid w:val="00326D8F"/>
    <w:rsid w:val="00326DD7"/>
    <w:rsid w:val="0032740A"/>
    <w:rsid w:val="00327794"/>
    <w:rsid w:val="00331C64"/>
    <w:rsid w:val="00331ED9"/>
    <w:rsid w:val="003321BF"/>
    <w:rsid w:val="0033226A"/>
    <w:rsid w:val="0033231F"/>
    <w:rsid w:val="0033268B"/>
    <w:rsid w:val="00332F7E"/>
    <w:rsid w:val="00333450"/>
    <w:rsid w:val="003338AD"/>
    <w:rsid w:val="0033394A"/>
    <w:rsid w:val="00333FF1"/>
    <w:rsid w:val="0033442B"/>
    <w:rsid w:val="00335A04"/>
    <w:rsid w:val="0033608A"/>
    <w:rsid w:val="00336266"/>
    <w:rsid w:val="00336486"/>
    <w:rsid w:val="0033649D"/>
    <w:rsid w:val="00336B6C"/>
    <w:rsid w:val="00336B6D"/>
    <w:rsid w:val="00340A14"/>
    <w:rsid w:val="00341159"/>
    <w:rsid w:val="00341580"/>
    <w:rsid w:val="003416BB"/>
    <w:rsid w:val="00341D3D"/>
    <w:rsid w:val="003424A3"/>
    <w:rsid w:val="003441EC"/>
    <w:rsid w:val="00344384"/>
    <w:rsid w:val="00344E59"/>
    <w:rsid w:val="0034541F"/>
    <w:rsid w:val="00345755"/>
    <w:rsid w:val="003458F8"/>
    <w:rsid w:val="00346454"/>
    <w:rsid w:val="0034653B"/>
    <w:rsid w:val="00346A60"/>
    <w:rsid w:val="00347058"/>
    <w:rsid w:val="0034786D"/>
    <w:rsid w:val="00347CD2"/>
    <w:rsid w:val="00350038"/>
    <w:rsid w:val="00350365"/>
    <w:rsid w:val="00350A06"/>
    <w:rsid w:val="00351464"/>
    <w:rsid w:val="00352393"/>
    <w:rsid w:val="003523A2"/>
    <w:rsid w:val="00352856"/>
    <w:rsid w:val="00353FFE"/>
    <w:rsid w:val="00354BAC"/>
    <w:rsid w:val="00354D29"/>
    <w:rsid w:val="00354DA2"/>
    <w:rsid w:val="0035566A"/>
    <w:rsid w:val="00355BB8"/>
    <w:rsid w:val="00356789"/>
    <w:rsid w:val="00356E39"/>
    <w:rsid w:val="003570E0"/>
    <w:rsid w:val="003571E8"/>
    <w:rsid w:val="003575D9"/>
    <w:rsid w:val="00357D99"/>
    <w:rsid w:val="00357ED1"/>
    <w:rsid w:val="0036031A"/>
    <w:rsid w:val="00360350"/>
    <w:rsid w:val="00360DD0"/>
    <w:rsid w:val="00361402"/>
    <w:rsid w:val="003614ED"/>
    <w:rsid w:val="00361E0A"/>
    <w:rsid w:val="00361E51"/>
    <w:rsid w:val="0036252A"/>
    <w:rsid w:val="0036283C"/>
    <w:rsid w:val="00362CD7"/>
    <w:rsid w:val="00363B6E"/>
    <w:rsid w:val="00363D10"/>
    <w:rsid w:val="00363EC4"/>
    <w:rsid w:val="0036404B"/>
    <w:rsid w:val="00364359"/>
    <w:rsid w:val="003643B4"/>
    <w:rsid w:val="003649D5"/>
    <w:rsid w:val="00364CA4"/>
    <w:rsid w:val="00364FAB"/>
    <w:rsid w:val="00366783"/>
    <w:rsid w:val="0036689E"/>
    <w:rsid w:val="00366938"/>
    <w:rsid w:val="00367215"/>
    <w:rsid w:val="00367936"/>
    <w:rsid w:val="0036799A"/>
    <w:rsid w:val="00367A40"/>
    <w:rsid w:val="00367CFE"/>
    <w:rsid w:val="003705E7"/>
    <w:rsid w:val="00370F71"/>
    <w:rsid w:val="0037150C"/>
    <w:rsid w:val="003715B2"/>
    <w:rsid w:val="00372123"/>
    <w:rsid w:val="003726D8"/>
    <w:rsid w:val="003727E6"/>
    <w:rsid w:val="00372C96"/>
    <w:rsid w:val="00373787"/>
    <w:rsid w:val="00373BCC"/>
    <w:rsid w:val="00374037"/>
    <w:rsid w:val="003745ED"/>
    <w:rsid w:val="00374A32"/>
    <w:rsid w:val="00374EBB"/>
    <w:rsid w:val="00374F62"/>
    <w:rsid w:val="0037510F"/>
    <w:rsid w:val="003758E7"/>
    <w:rsid w:val="00375BE4"/>
    <w:rsid w:val="003760EC"/>
    <w:rsid w:val="003760F7"/>
    <w:rsid w:val="00376350"/>
    <w:rsid w:val="00376533"/>
    <w:rsid w:val="00376592"/>
    <w:rsid w:val="003765E6"/>
    <w:rsid w:val="00376993"/>
    <w:rsid w:val="00377C61"/>
    <w:rsid w:val="00377EAE"/>
    <w:rsid w:val="003808C0"/>
    <w:rsid w:val="003824C2"/>
    <w:rsid w:val="003831A3"/>
    <w:rsid w:val="003834BF"/>
    <w:rsid w:val="003835E1"/>
    <w:rsid w:val="00384075"/>
    <w:rsid w:val="003842B4"/>
    <w:rsid w:val="0038464A"/>
    <w:rsid w:val="003858CB"/>
    <w:rsid w:val="00385AAC"/>
    <w:rsid w:val="00385F00"/>
    <w:rsid w:val="00385FC8"/>
    <w:rsid w:val="003863C4"/>
    <w:rsid w:val="00386877"/>
    <w:rsid w:val="003869C8"/>
    <w:rsid w:val="0038724E"/>
    <w:rsid w:val="003872F3"/>
    <w:rsid w:val="003872F4"/>
    <w:rsid w:val="003877D2"/>
    <w:rsid w:val="00387841"/>
    <w:rsid w:val="00387A02"/>
    <w:rsid w:val="00387ABB"/>
    <w:rsid w:val="00390B7D"/>
    <w:rsid w:val="00390F1D"/>
    <w:rsid w:val="003910A1"/>
    <w:rsid w:val="00391533"/>
    <w:rsid w:val="003918EF"/>
    <w:rsid w:val="00393026"/>
    <w:rsid w:val="00395042"/>
    <w:rsid w:val="00395756"/>
    <w:rsid w:val="003958DC"/>
    <w:rsid w:val="00395976"/>
    <w:rsid w:val="003959BC"/>
    <w:rsid w:val="00395D21"/>
    <w:rsid w:val="00396003"/>
    <w:rsid w:val="00396385"/>
    <w:rsid w:val="0039642B"/>
    <w:rsid w:val="003968E8"/>
    <w:rsid w:val="00397063"/>
    <w:rsid w:val="003A03AD"/>
    <w:rsid w:val="003A147D"/>
    <w:rsid w:val="003A1A31"/>
    <w:rsid w:val="003A28A8"/>
    <w:rsid w:val="003A2E10"/>
    <w:rsid w:val="003A3103"/>
    <w:rsid w:val="003A37F2"/>
    <w:rsid w:val="003A3AC8"/>
    <w:rsid w:val="003A3BD4"/>
    <w:rsid w:val="003A3EB0"/>
    <w:rsid w:val="003A43C0"/>
    <w:rsid w:val="003A4414"/>
    <w:rsid w:val="003A447C"/>
    <w:rsid w:val="003A4E60"/>
    <w:rsid w:val="003A54C4"/>
    <w:rsid w:val="003A5E27"/>
    <w:rsid w:val="003A67DD"/>
    <w:rsid w:val="003A6886"/>
    <w:rsid w:val="003A7401"/>
    <w:rsid w:val="003A7974"/>
    <w:rsid w:val="003B0236"/>
    <w:rsid w:val="003B1D40"/>
    <w:rsid w:val="003B2027"/>
    <w:rsid w:val="003B261C"/>
    <w:rsid w:val="003B3041"/>
    <w:rsid w:val="003B32C5"/>
    <w:rsid w:val="003B3A24"/>
    <w:rsid w:val="003B4046"/>
    <w:rsid w:val="003B414E"/>
    <w:rsid w:val="003B46A7"/>
    <w:rsid w:val="003B49B7"/>
    <w:rsid w:val="003B4E41"/>
    <w:rsid w:val="003B52DD"/>
    <w:rsid w:val="003B53D5"/>
    <w:rsid w:val="003B5E68"/>
    <w:rsid w:val="003B62BC"/>
    <w:rsid w:val="003B7078"/>
    <w:rsid w:val="003B75E3"/>
    <w:rsid w:val="003C0246"/>
    <w:rsid w:val="003C0592"/>
    <w:rsid w:val="003C0AEB"/>
    <w:rsid w:val="003C0CE1"/>
    <w:rsid w:val="003C1172"/>
    <w:rsid w:val="003C1703"/>
    <w:rsid w:val="003C1B4F"/>
    <w:rsid w:val="003C21AA"/>
    <w:rsid w:val="003C269F"/>
    <w:rsid w:val="003C39F5"/>
    <w:rsid w:val="003C3FE1"/>
    <w:rsid w:val="003C452D"/>
    <w:rsid w:val="003C455E"/>
    <w:rsid w:val="003C4750"/>
    <w:rsid w:val="003C5853"/>
    <w:rsid w:val="003C6461"/>
    <w:rsid w:val="003C64FC"/>
    <w:rsid w:val="003C6619"/>
    <w:rsid w:val="003C6A1B"/>
    <w:rsid w:val="003C71B9"/>
    <w:rsid w:val="003C7251"/>
    <w:rsid w:val="003C7E98"/>
    <w:rsid w:val="003C7FF5"/>
    <w:rsid w:val="003D0748"/>
    <w:rsid w:val="003D0D95"/>
    <w:rsid w:val="003D137D"/>
    <w:rsid w:val="003D1AF2"/>
    <w:rsid w:val="003D1B95"/>
    <w:rsid w:val="003D273A"/>
    <w:rsid w:val="003D3008"/>
    <w:rsid w:val="003D3325"/>
    <w:rsid w:val="003D4967"/>
    <w:rsid w:val="003D4E21"/>
    <w:rsid w:val="003D5A8C"/>
    <w:rsid w:val="003D5C8A"/>
    <w:rsid w:val="003D63BA"/>
    <w:rsid w:val="003D7746"/>
    <w:rsid w:val="003D799B"/>
    <w:rsid w:val="003D7CB9"/>
    <w:rsid w:val="003D7E05"/>
    <w:rsid w:val="003D7F87"/>
    <w:rsid w:val="003E06BE"/>
    <w:rsid w:val="003E0F8A"/>
    <w:rsid w:val="003E1BE0"/>
    <w:rsid w:val="003E1C47"/>
    <w:rsid w:val="003E21F9"/>
    <w:rsid w:val="003E254B"/>
    <w:rsid w:val="003E2657"/>
    <w:rsid w:val="003E28C0"/>
    <w:rsid w:val="003E2D3A"/>
    <w:rsid w:val="003E3ECB"/>
    <w:rsid w:val="003E3FD5"/>
    <w:rsid w:val="003E47C1"/>
    <w:rsid w:val="003E4E31"/>
    <w:rsid w:val="003E504A"/>
    <w:rsid w:val="003E50B4"/>
    <w:rsid w:val="003E5328"/>
    <w:rsid w:val="003E54C4"/>
    <w:rsid w:val="003E57ED"/>
    <w:rsid w:val="003E5DEB"/>
    <w:rsid w:val="003E67BC"/>
    <w:rsid w:val="003E6DFA"/>
    <w:rsid w:val="003E6E9F"/>
    <w:rsid w:val="003E7396"/>
    <w:rsid w:val="003E78A0"/>
    <w:rsid w:val="003F0EDD"/>
    <w:rsid w:val="003F1640"/>
    <w:rsid w:val="003F180D"/>
    <w:rsid w:val="003F21B8"/>
    <w:rsid w:val="003F38B8"/>
    <w:rsid w:val="003F400B"/>
    <w:rsid w:val="003F4718"/>
    <w:rsid w:val="003F51B3"/>
    <w:rsid w:val="003F5CF1"/>
    <w:rsid w:val="003F637B"/>
    <w:rsid w:val="003F66B9"/>
    <w:rsid w:val="004003FE"/>
    <w:rsid w:val="004005DD"/>
    <w:rsid w:val="00400E17"/>
    <w:rsid w:val="00401071"/>
    <w:rsid w:val="00401D9A"/>
    <w:rsid w:val="00402826"/>
    <w:rsid w:val="00402DFB"/>
    <w:rsid w:val="00403270"/>
    <w:rsid w:val="00403500"/>
    <w:rsid w:val="0040382A"/>
    <w:rsid w:val="004060C1"/>
    <w:rsid w:val="00406BDF"/>
    <w:rsid w:val="00410191"/>
    <w:rsid w:val="00411805"/>
    <w:rsid w:val="00411D6E"/>
    <w:rsid w:val="00411DBA"/>
    <w:rsid w:val="004120A6"/>
    <w:rsid w:val="004120E6"/>
    <w:rsid w:val="00412312"/>
    <w:rsid w:val="0041262A"/>
    <w:rsid w:val="00412702"/>
    <w:rsid w:val="004136E8"/>
    <w:rsid w:val="004138A9"/>
    <w:rsid w:val="004146A1"/>
    <w:rsid w:val="00414B7D"/>
    <w:rsid w:val="00414DA9"/>
    <w:rsid w:val="00415B8C"/>
    <w:rsid w:val="0041764C"/>
    <w:rsid w:val="00417A08"/>
    <w:rsid w:val="00417FA4"/>
    <w:rsid w:val="00420046"/>
    <w:rsid w:val="0042152D"/>
    <w:rsid w:val="00421AC9"/>
    <w:rsid w:val="004222D0"/>
    <w:rsid w:val="00422819"/>
    <w:rsid w:val="004232DB"/>
    <w:rsid w:val="0042378A"/>
    <w:rsid w:val="00423C4A"/>
    <w:rsid w:val="004247C5"/>
    <w:rsid w:val="00424DE4"/>
    <w:rsid w:val="0042501D"/>
    <w:rsid w:val="0042533B"/>
    <w:rsid w:val="00425F33"/>
    <w:rsid w:val="0042680B"/>
    <w:rsid w:val="00426DE1"/>
    <w:rsid w:val="00427F2B"/>
    <w:rsid w:val="004304B9"/>
    <w:rsid w:val="0043067E"/>
    <w:rsid w:val="00430A72"/>
    <w:rsid w:val="00430F1D"/>
    <w:rsid w:val="0043121B"/>
    <w:rsid w:val="00431CA2"/>
    <w:rsid w:val="00431FB2"/>
    <w:rsid w:val="00432255"/>
    <w:rsid w:val="004323D2"/>
    <w:rsid w:val="004324F8"/>
    <w:rsid w:val="004325F9"/>
    <w:rsid w:val="004327BE"/>
    <w:rsid w:val="00432AF6"/>
    <w:rsid w:val="00432F76"/>
    <w:rsid w:val="004337FD"/>
    <w:rsid w:val="00433EF4"/>
    <w:rsid w:val="0043418C"/>
    <w:rsid w:val="00434436"/>
    <w:rsid w:val="0043553D"/>
    <w:rsid w:val="00435B33"/>
    <w:rsid w:val="00435C2E"/>
    <w:rsid w:val="00436230"/>
    <w:rsid w:val="0043670F"/>
    <w:rsid w:val="0043694E"/>
    <w:rsid w:val="00436F17"/>
    <w:rsid w:val="00437D36"/>
    <w:rsid w:val="004404BE"/>
    <w:rsid w:val="00440964"/>
    <w:rsid w:val="00440CC5"/>
    <w:rsid w:val="004414C9"/>
    <w:rsid w:val="00441B76"/>
    <w:rsid w:val="00441EFB"/>
    <w:rsid w:val="00442353"/>
    <w:rsid w:val="004424D1"/>
    <w:rsid w:val="0044487B"/>
    <w:rsid w:val="00444922"/>
    <w:rsid w:val="004453E9"/>
    <w:rsid w:val="004454CD"/>
    <w:rsid w:val="00445AE5"/>
    <w:rsid w:val="00445CDA"/>
    <w:rsid w:val="004464B7"/>
    <w:rsid w:val="00446562"/>
    <w:rsid w:val="00446654"/>
    <w:rsid w:val="0044686A"/>
    <w:rsid w:val="00446986"/>
    <w:rsid w:val="00446C1B"/>
    <w:rsid w:val="00447D0B"/>
    <w:rsid w:val="00447F3B"/>
    <w:rsid w:val="0045016E"/>
    <w:rsid w:val="00450860"/>
    <w:rsid w:val="00450886"/>
    <w:rsid w:val="004514EE"/>
    <w:rsid w:val="004519A1"/>
    <w:rsid w:val="00451B6C"/>
    <w:rsid w:val="00451FC1"/>
    <w:rsid w:val="0045244B"/>
    <w:rsid w:val="00452B28"/>
    <w:rsid w:val="00452CBA"/>
    <w:rsid w:val="00452E8E"/>
    <w:rsid w:val="004531D2"/>
    <w:rsid w:val="0045344E"/>
    <w:rsid w:val="00454336"/>
    <w:rsid w:val="00454B49"/>
    <w:rsid w:val="0045500D"/>
    <w:rsid w:val="0045545D"/>
    <w:rsid w:val="00455776"/>
    <w:rsid w:val="004559B6"/>
    <w:rsid w:val="00455F84"/>
    <w:rsid w:val="00456577"/>
    <w:rsid w:val="004567D4"/>
    <w:rsid w:val="00456C97"/>
    <w:rsid w:val="00456D15"/>
    <w:rsid w:val="00456DA7"/>
    <w:rsid w:val="0045724A"/>
    <w:rsid w:val="0045750F"/>
    <w:rsid w:val="004575CD"/>
    <w:rsid w:val="00460709"/>
    <w:rsid w:val="00460CCE"/>
    <w:rsid w:val="00460CEC"/>
    <w:rsid w:val="00461567"/>
    <w:rsid w:val="00462018"/>
    <w:rsid w:val="00462129"/>
    <w:rsid w:val="00463912"/>
    <w:rsid w:val="00463F0B"/>
    <w:rsid w:val="0046438C"/>
    <w:rsid w:val="004657F4"/>
    <w:rsid w:val="00466384"/>
    <w:rsid w:val="004663A5"/>
    <w:rsid w:val="0046667B"/>
    <w:rsid w:val="004666DF"/>
    <w:rsid w:val="004667B9"/>
    <w:rsid w:val="00467102"/>
    <w:rsid w:val="00467268"/>
    <w:rsid w:val="00467D57"/>
    <w:rsid w:val="0047067A"/>
    <w:rsid w:val="00470A93"/>
    <w:rsid w:val="00470CD0"/>
    <w:rsid w:val="00470F12"/>
    <w:rsid w:val="00471046"/>
    <w:rsid w:val="00471214"/>
    <w:rsid w:val="004712D1"/>
    <w:rsid w:val="0047167A"/>
    <w:rsid w:val="004722C3"/>
    <w:rsid w:val="004724B2"/>
    <w:rsid w:val="00472DD7"/>
    <w:rsid w:val="004731F1"/>
    <w:rsid w:val="00473C29"/>
    <w:rsid w:val="00473CC7"/>
    <w:rsid w:val="00473EF7"/>
    <w:rsid w:val="00474076"/>
    <w:rsid w:val="0047466E"/>
    <w:rsid w:val="004749A2"/>
    <w:rsid w:val="00474AD9"/>
    <w:rsid w:val="00474B4A"/>
    <w:rsid w:val="00474DC1"/>
    <w:rsid w:val="00475064"/>
    <w:rsid w:val="00475E21"/>
    <w:rsid w:val="00475EF5"/>
    <w:rsid w:val="00476237"/>
    <w:rsid w:val="004765F3"/>
    <w:rsid w:val="00476C7C"/>
    <w:rsid w:val="004770FA"/>
    <w:rsid w:val="004777B5"/>
    <w:rsid w:val="00477D17"/>
    <w:rsid w:val="00477EB6"/>
    <w:rsid w:val="0048029F"/>
    <w:rsid w:val="0048079E"/>
    <w:rsid w:val="004808A7"/>
    <w:rsid w:val="004809B3"/>
    <w:rsid w:val="00480AAC"/>
    <w:rsid w:val="00480FFC"/>
    <w:rsid w:val="00481939"/>
    <w:rsid w:val="00481CC9"/>
    <w:rsid w:val="0048248B"/>
    <w:rsid w:val="0048307D"/>
    <w:rsid w:val="004835DA"/>
    <w:rsid w:val="004848F7"/>
    <w:rsid w:val="00484B5E"/>
    <w:rsid w:val="00485065"/>
    <w:rsid w:val="004854C8"/>
    <w:rsid w:val="004854FA"/>
    <w:rsid w:val="004856B9"/>
    <w:rsid w:val="00486925"/>
    <w:rsid w:val="00486AD5"/>
    <w:rsid w:val="0048708D"/>
    <w:rsid w:val="004870A1"/>
    <w:rsid w:val="004872D8"/>
    <w:rsid w:val="00487C58"/>
    <w:rsid w:val="004907E4"/>
    <w:rsid w:val="00490DDC"/>
    <w:rsid w:val="00491171"/>
    <w:rsid w:val="0049193F"/>
    <w:rsid w:val="00491A1B"/>
    <w:rsid w:val="004920E4"/>
    <w:rsid w:val="00492733"/>
    <w:rsid w:val="00494900"/>
    <w:rsid w:val="00495075"/>
    <w:rsid w:val="0049554F"/>
    <w:rsid w:val="0049587F"/>
    <w:rsid w:val="00495B8F"/>
    <w:rsid w:val="00495CF4"/>
    <w:rsid w:val="004976D3"/>
    <w:rsid w:val="004978CB"/>
    <w:rsid w:val="00497FC8"/>
    <w:rsid w:val="004A01C9"/>
    <w:rsid w:val="004A04EF"/>
    <w:rsid w:val="004A0B28"/>
    <w:rsid w:val="004A0B9E"/>
    <w:rsid w:val="004A0F70"/>
    <w:rsid w:val="004A1169"/>
    <w:rsid w:val="004A128F"/>
    <w:rsid w:val="004A209F"/>
    <w:rsid w:val="004A2123"/>
    <w:rsid w:val="004A311B"/>
    <w:rsid w:val="004A33C9"/>
    <w:rsid w:val="004A3CF1"/>
    <w:rsid w:val="004A3D05"/>
    <w:rsid w:val="004A449C"/>
    <w:rsid w:val="004A478A"/>
    <w:rsid w:val="004A49BE"/>
    <w:rsid w:val="004A4A2D"/>
    <w:rsid w:val="004A5659"/>
    <w:rsid w:val="004A57CD"/>
    <w:rsid w:val="004A57D1"/>
    <w:rsid w:val="004A6390"/>
    <w:rsid w:val="004A7431"/>
    <w:rsid w:val="004A7DBB"/>
    <w:rsid w:val="004B1011"/>
    <w:rsid w:val="004B16BA"/>
    <w:rsid w:val="004B2335"/>
    <w:rsid w:val="004B253D"/>
    <w:rsid w:val="004B3140"/>
    <w:rsid w:val="004B350B"/>
    <w:rsid w:val="004B36F7"/>
    <w:rsid w:val="004B3B38"/>
    <w:rsid w:val="004B3D84"/>
    <w:rsid w:val="004B4175"/>
    <w:rsid w:val="004B493C"/>
    <w:rsid w:val="004B4C08"/>
    <w:rsid w:val="004B501C"/>
    <w:rsid w:val="004B5181"/>
    <w:rsid w:val="004B6A1E"/>
    <w:rsid w:val="004B6A95"/>
    <w:rsid w:val="004B6CF0"/>
    <w:rsid w:val="004B76CE"/>
    <w:rsid w:val="004B7D53"/>
    <w:rsid w:val="004C0429"/>
    <w:rsid w:val="004C06E3"/>
    <w:rsid w:val="004C0A3B"/>
    <w:rsid w:val="004C0D23"/>
    <w:rsid w:val="004C171E"/>
    <w:rsid w:val="004C1A0C"/>
    <w:rsid w:val="004C1A14"/>
    <w:rsid w:val="004C1E96"/>
    <w:rsid w:val="004C2D47"/>
    <w:rsid w:val="004C2E19"/>
    <w:rsid w:val="004C3212"/>
    <w:rsid w:val="004C3ECA"/>
    <w:rsid w:val="004C43D0"/>
    <w:rsid w:val="004C457E"/>
    <w:rsid w:val="004C499F"/>
    <w:rsid w:val="004C556B"/>
    <w:rsid w:val="004C5D35"/>
    <w:rsid w:val="004C6176"/>
    <w:rsid w:val="004C6656"/>
    <w:rsid w:val="004C6892"/>
    <w:rsid w:val="004C6CF5"/>
    <w:rsid w:val="004C6F8E"/>
    <w:rsid w:val="004C71DC"/>
    <w:rsid w:val="004C7685"/>
    <w:rsid w:val="004C79CA"/>
    <w:rsid w:val="004D063D"/>
    <w:rsid w:val="004D064E"/>
    <w:rsid w:val="004D0E4E"/>
    <w:rsid w:val="004D1264"/>
    <w:rsid w:val="004D188C"/>
    <w:rsid w:val="004D18DF"/>
    <w:rsid w:val="004D1A6C"/>
    <w:rsid w:val="004D1AE3"/>
    <w:rsid w:val="004D200E"/>
    <w:rsid w:val="004D21C4"/>
    <w:rsid w:val="004D2AEE"/>
    <w:rsid w:val="004D2B7D"/>
    <w:rsid w:val="004D3D8C"/>
    <w:rsid w:val="004D4245"/>
    <w:rsid w:val="004D4306"/>
    <w:rsid w:val="004D4466"/>
    <w:rsid w:val="004D4DD3"/>
    <w:rsid w:val="004D4E30"/>
    <w:rsid w:val="004D4EE9"/>
    <w:rsid w:val="004D4FBC"/>
    <w:rsid w:val="004D578D"/>
    <w:rsid w:val="004D612A"/>
    <w:rsid w:val="004D6329"/>
    <w:rsid w:val="004D6865"/>
    <w:rsid w:val="004D6D4F"/>
    <w:rsid w:val="004E125D"/>
    <w:rsid w:val="004E14D7"/>
    <w:rsid w:val="004E25F5"/>
    <w:rsid w:val="004E270B"/>
    <w:rsid w:val="004E353A"/>
    <w:rsid w:val="004E3ED5"/>
    <w:rsid w:val="004E43B1"/>
    <w:rsid w:val="004E43F8"/>
    <w:rsid w:val="004E4526"/>
    <w:rsid w:val="004E4728"/>
    <w:rsid w:val="004E4A3D"/>
    <w:rsid w:val="004E5594"/>
    <w:rsid w:val="004E5714"/>
    <w:rsid w:val="004E5DBD"/>
    <w:rsid w:val="004E620B"/>
    <w:rsid w:val="004E6DD4"/>
    <w:rsid w:val="004E7115"/>
    <w:rsid w:val="004E745B"/>
    <w:rsid w:val="004F0351"/>
    <w:rsid w:val="004F05D2"/>
    <w:rsid w:val="004F112A"/>
    <w:rsid w:val="004F149F"/>
    <w:rsid w:val="004F23AB"/>
    <w:rsid w:val="004F3C26"/>
    <w:rsid w:val="004F461F"/>
    <w:rsid w:val="004F4BA7"/>
    <w:rsid w:val="004F60CF"/>
    <w:rsid w:val="004F73F3"/>
    <w:rsid w:val="004F741F"/>
    <w:rsid w:val="004F76AD"/>
    <w:rsid w:val="004F7880"/>
    <w:rsid w:val="004F7A62"/>
    <w:rsid w:val="00501070"/>
    <w:rsid w:val="0050197A"/>
    <w:rsid w:val="00502547"/>
    <w:rsid w:val="00502BBA"/>
    <w:rsid w:val="00502E83"/>
    <w:rsid w:val="00502F04"/>
    <w:rsid w:val="005035DD"/>
    <w:rsid w:val="0050374C"/>
    <w:rsid w:val="00503912"/>
    <w:rsid w:val="00503EE2"/>
    <w:rsid w:val="00504217"/>
    <w:rsid w:val="0050427B"/>
    <w:rsid w:val="00504715"/>
    <w:rsid w:val="0050483B"/>
    <w:rsid w:val="00504895"/>
    <w:rsid w:val="00504F27"/>
    <w:rsid w:val="005055C0"/>
    <w:rsid w:val="00505642"/>
    <w:rsid w:val="005059D5"/>
    <w:rsid w:val="00505AB8"/>
    <w:rsid w:val="00506571"/>
    <w:rsid w:val="005069BA"/>
    <w:rsid w:val="00506CE9"/>
    <w:rsid w:val="00507001"/>
    <w:rsid w:val="005075ED"/>
    <w:rsid w:val="005100C8"/>
    <w:rsid w:val="00510584"/>
    <w:rsid w:val="005124BC"/>
    <w:rsid w:val="00512DDE"/>
    <w:rsid w:val="005134E9"/>
    <w:rsid w:val="00513796"/>
    <w:rsid w:val="00513986"/>
    <w:rsid w:val="005139A4"/>
    <w:rsid w:val="005142F5"/>
    <w:rsid w:val="0051436B"/>
    <w:rsid w:val="005143A1"/>
    <w:rsid w:val="00514DCE"/>
    <w:rsid w:val="0051528A"/>
    <w:rsid w:val="00516A54"/>
    <w:rsid w:val="00516CB2"/>
    <w:rsid w:val="00516D7C"/>
    <w:rsid w:val="00517380"/>
    <w:rsid w:val="005179D9"/>
    <w:rsid w:val="00517FC8"/>
    <w:rsid w:val="0052023C"/>
    <w:rsid w:val="005205B8"/>
    <w:rsid w:val="0052083F"/>
    <w:rsid w:val="00521191"/>
    <w:rsid w:val="00521734"/>
    <w:rsid w:val="00521BE4"/>
    <w:rsid w:val="00522183"/>
    <w:rsid w:val="005223D0"/>
    <w:rsid w:val="00522DDE"/>
    <w:rsid w:val="005230B3"/>
    <w:rsid w:val="005235D4"/>
    <w:rsid w:val="00523871"/>
    <w:rsid w:val="00523920"/>
    <w:rsid w:val="00523F6F"/>
    <w:rsid w:val="00524B53"/>
    <w:rsid w:val="005258EA"/>
    <w:rsid w:val="0052652A"/>
    <w:rsid w:val="00526D32"/>
    <w:rsid w:val="00526F67"/>
    <w:rsid w:val="00526F6E"/>
    <w:rsid w:val="0052780A"/>
    <w:rsid w:val="0053041E"/>
    <w:rsid w:val="00530F6F"/>
    <w:rsid w:val="00531ACC"/>
    <w:rsid w:val="00531C64"/>
    <w:rsid w:val="005325E9"/>
    <w:rsid w:val="005329B7"/>
    <w:rsid w:val="0053314E"/>
    <w:rsid w:val="00533245"/>
    <w:rsid w:val="00533DBA"/>
    <w:rsid w:val="00534AE1"/>
    <w:rsid w:val="005352FD"/>
    <w:rsid w:val="00535B09"/>
    <w:rsid w:val="00535DA7"/>
    <w:rsid w:val="00536DE7"/>
    <w:rsid w:val="00537747"/>
    <w:rsid w:val="00537860"/>
    <w:rsid w:val="005403AE"/>
    <w:rsid w:val="00540DCF"/>
    <w:rsid w:val="005414EC"/>
    <w:rsid w:val="00541947"/>
    <w:rsid w:val="00542676"/>
    <w:rsid w:val="005428C5"/>
    <w:rsid w:val="00542B39"/>
    <w:rsid w:val="00542C4B"/>
    <w:rsid w:val="00542C7A"/>
    <w:rsid w:val="005433E9"/>
    <w:rsid w:val="0054340D"/>
    <w:rsid w:val="00544BC9"/>
    <w:rsid w:val="00544E1A"/>
    <w:rsid w:val="00544EAE"/>
    <w:rsid w:val="005455F8"/>
    <w:rsid w:val="005457EA"/>
    <w:rsid w:val="0054592D"/>
    <w:rsid w:val="00545979"/>
    <w:rsid w:val="00545ECB"/>
    <w:rsid w:val="00546649"/>
    <w:rsid w:val="00546F4E"/>
    <w:rsid w:val="00546FA5"/>
    <w:rsid w:val="00547180"/>
    <w:rsid w:val="00547E1A"/>
    <w:rsid w:val="00547ED0"/>
    <w:rsid w:val="005522B0"/>
    <w:rsid w:val="005539F0"/>
    <w:rsid w:val="00553BF6"/>
    <w:rsid w:val="005541F2"/>
    <w:rsid w:val="0055560D"/>
    <w:rsid w:val="00555916"/>
    <w:rsid w:val="00556911"/>
    <w:rsid w:val="00556C97"/>
    <w:rsid w:val="00557494"/>
    <w:rsid w:val="005574CB"/>
    <w:rsid w:val="005576DC"/>
    <w:rsid w:val="0056071D"/>
    <w:rsid w:val="0056194B"/>
    <w:rsid w:val="005624A9"/>
    <w:rsid w:val="005628CB"/>
    <w:rsid w:val="005629B8"/>
    <w:rsid w:val="005632A0"/>
    <w:rsid w:val="00563A19"/>
    <w:rsid w:val="00564A54"/>
    <w:rsid w:val="00564AB1"/>
    <w:rsid w:val="005652A0"/>
    <w:rsid w:val="005652EA"/>
    <w:rsid w:val="00565A64"/>
    <w:rsid w:val="00565F87"/>
    <w:rsid w:val="00565FB1"/>
    <w:rsid w:val="0056654D"/>
    <w:rsid w:val="00566E12"/>
    <w:rsid w:val="00566F64"/>
    <w:rsid w:val="00567345"/>
    <w:rsid w:val="00567481"/>
    <w:rsid w:val="00567E1A"/>
    <w:rsid w:val="00570091"/>
    <w:rsid w:val="005717B1"/>
    <w:rsid w:val="005726FD"/>
    <w:rsid w:val="00572CFB"/>
    <w:rsid w:val="00573482"/>
    <w:rsid w:val="005738C9"/>
    <w:rsid w:val="00573B9D"/>
    <w:rsid w:val="0057499F"/>
    <w:rsid w:val="00574D66"/>
    <w:rsid w:val="00575EEE"/>
    <w:rsid w:val="00576078"/>
    <w:rsid w:val="00576137"/>
    <w:rsid w:val="005763CA"/>
    <w:rsid w:val="00576E4E"/>
    <w:rsid w:val="00576EC9"/>
    <w:rsid w:val="00577008"/>
    <w:rsid w:val="00580852"/>
    <w:rsid w:val="00580C0F"/>
    <w:rsid w:val="00581EE1"/>
    <w:rsid w:val="00582399"/>
    <w:rsid w:val="00582436"/>
    <w:rsid w:val="005824E9"/>
    <w:rsid w:val="00583684"/>
    <w:rsid w:val="0058392E"/>
    <w:rsid w:val="0058434A"/>
    <w:rsid w:val="00584863"/>
    <w:rsid w:val="00584A47"/>
    <w:rsid w:val="00584B52"/>
    <w:rsid w:val="00584C4E"/>
    <w:rsid w:val="00584DE2"/>
    <w:rsid w:val="00585A65"/>
    <w:rsid w:val="0058620D"/>
    <w:rsid w:val="0058638F"/>
    <w:rsid w:val="005866F5"/>
    <w:rsid w:val="00586D15"/>
    <w:rsid w:val="00586DEF"/>
    <w:rsid w:val="005878E1"/>
    <w:rsid w:val="00587C90"/>
    <w:rsid w:val="00590EA8"/>
    <w:rsid w:val="00590F08"/>
    <w:rsid w:val="00591763"/>
    <w:rsid w:val="00591CA4"/>
    <w:rsid w:val="00591E3D"/>
    <w:rsid w:val="00592575"/>
    <w:rsid w:val="005925B3"/>
    <w:rsid w:val="00592CA4"/>
    <w:rsid w:val="00593A47"/>
    <w:rsid w:val="00593BF9"/>
    <w:rsid w:val="00594486"/>
    <w:rsid w:val="005946BA"/>
    <w:rsid w:val="005959DC"/>
    <w:rsid w:val="00596049"/>
    <w:rsid w:val="005963D2"/>
    <w:rsid w:val="00597299"/>
    <w:rsid w:val="00597AF3"/>
    <w:rsid w:val="005A1A75"/>
    <w:rsid w:val="005A1ADE"/>
    <w:rsid w:val="005A2B5F"/>
    <w:rsid w:val="005A2D79"/>
    <w:rsid w:val="005A2E33"/>
    <w:rsid w:val="005A358B"/>
    <w:rsid w:val="005A3ECB"/>
    <w:rsid w:val="005A40BD"/>
    <w:rsid w:val="005A4B2D"/>
    <w:rsid w:val="005A4D1C"/>
    <w:rsid w:val="005A4D5E"/>
    <w:rsid w:val="005A4D72"/>
    <w:rsid w:val="005A5569"/>
    <w:rsid w:val="005A5811"/>
    <w:rsid w:val="005A5E43"/>
    <w:rsid w:val="005A68AB"/>
    <w:rsid w:val="005A6D1A"/>
    <w:rsid w:val="005A6F3A"/>
    <w:rsid w:val="005A71B3"/>
    <w:rsid w:val="005A7550"/>
    <w:rsid w:val="005A79BA"/>
    <w:rsid w:val="005B008E"/>
    <w:rsid w:val="005B098F"/>
    <w:rsid w:val="005B0B35"/>
    <w:rsid w:val="005B0E56"/>
    <w:rsid w:val="005B1318"/>
    <w:rsid w:val="005B166E"/>
    <w:rsid w:val="005B1BA3"/>
    <w:rsid w:val="005B1D21"/>
    <w:rsid w:val="005B1EE2"/>
    <w:rsid w:val="005B4909"/>
    <w:rsid w:val="005B5A1A"/>
    <w:rsid w:val="005B5ACC"/>
    <w:rsid w:val="005B63D4"/>
    <w:rsid w:val="005B6776"/>
    <w:rsid w:val="005B6902"/>
    <w:rsid w:val="005B72B0"/>
    <w:rsid w:val="005B75B2"/>
    <w:rsid w:val="005B77E4"/>
    <w:rsid w:val="005B7960"/>
    <w:rsid w:val="005B7CE7"/>
    <w:rsid w:val="005C00C2"/>
    <w:rsid w:val="005C10AE"/>
    <w:rsid w:val="005C1695"/>
    <w:rsid w:val="005C1796"/>
    <w:rsid w:val="005C1C4E"/>
    <w:rsid w:val="005C1FD6"/>
    <w:rsid w:val="005C2045"/>
    <w:rsid w:val="005C208B"/>
    <w:rsid w:val="005C2335"/>
    <w:rsid w:val="005C2EF9"/>
    <w:rsid w:val="005C3AEC"/>
    <w:rsid w:val="005C3E4F"/>
    <w:rsid w:val="005C4157"/>
    <w:rsid w:val="005C4189"/>
    <w:rsid w:val="005C41C9"/>
    <w:rsid w:val="005C58C1"/>
    <w:rsid w:val="005C5938"/>
    <w:rsid w:val="005C606B"/>
    <w:rsid w:val="005C6198"/>
    <w:rsid w:val="005C621D"/>
    <w:rsid w:val="005C664B"/>
    <w:rsid w:val="005C6768"/>
    <w:rsid w:val="005C6F74"/>
    <w:rsid w:val="005C7B58"/>
    <w:rsid w:val="005D037C"/>
    <w:rsid w:val="005D0445"/>
    <w:rsid w:val="005D0870"/>
    <w:rsid w:val="005D0F0F"/>
    <w:rsid w:val="005D0F9D"/>
    <w:rsid w:val="005D11C6"/>
    <w:rsid w:val="005D17FD"/>
    <w:rsid w:val="005D1CBE"/>
    <w:rsid w:val="005D1EA8"/>
    <w:rsid w:val="005D2C1A"/>
    <w:rsid w:val="005D2C20"/>
    <w:rsid w:val="005D329F"/>
    <w:rsid w:val="005D3EFB"/>
    <w:rsid w:val="005D442A"/>
    <w:rsid w:val="005D45C7"/>
    <w:rsid w:val="005D48BF"/>
    <w:rsid w:val="005D4E85"/>
    <w:rsid w:val="005D5735"/>
    <w:rsid w:val="005D582F"/>
    <w:rsid w:val="005D5E61"/>
    <w:rsid w:val="005D60A6"/>
    <w:rsid w:val="005D651B"/>
    <w:rsid w:val="005D6798"/>
    <w:rsid w:val="005D6E79"/>
    <w:rsid w:val="005D6F5E"/>
    <w:rsid w:val="005D6FD4"/>
    <w:rsid w:val="005D70A0"/>
    <w:rsid w:val="005D775A"/>
    <w:rsid w:val="005D7AB4"/>
    <w:rsid w:val="005E0CDD"/>
    <w:rsid w:val="005E10DC"/>
    <w:rsid w:val="005E197F"/>
    <w:rsid w:val="005E1EB8"/>
    <w:rsid w:val="005E29C0"/>
    <w:rsid w:val="005E30E6"/>
    <w:rsid w:val="005E32DD"/>
    <w:rsid w:val="005E3CC6"/>
    <w:rsid w:val="005E3E69"/>
    <w:rsid w:val="005E4932"/>
    <w:rsid w:val="005E4A6B"/>
    <w:rsid w:val="005E4CAC"/>
    <w:rsid w:val="005E566A"/>
    <w:rsid w:val="005E67AE"/>
    <w:rsid w:val="005E69FB"/>
    <w:rsid w:val="005E6E61"/>
    <w:rsid w:val="005E70E8"/>
    <w:rsid w:val="005E7533"/>
    <w:rsid w:val="005E75B6"/>
    <w:rsid w:val="005F0685"/>
    <w:rsid w:val="005F098E"/>
    <w:rsid w:val="005F0BDE"/>
    <w:rsid w:val="005F1233"/>
    <w:rsid w:val="005F214B"/>
    <w:rsid w:val="005F2577"/>
    <w:rsid w:val="005F3188"/>
    <w:rsid w:val="005F3F1E"/>
    <w:rsid w:val="005F4A92"/>
    <w:rsid w:val="005F513A"/>
    <w:rsid w:val="005F5339"/>
    <w:rsid w:val="005F6788"/>
    <w:rsid w:val="005F6802"/>
    <w:rsid w:val="005F7676"/>
    <w:rsid w:val="005F7AA7"/>
    <w:rsid w:val="005F7E9B"/>
    <w:rsid w:val="0060087B"/>
    <w:rsid w:val="00600B61"/>
    <w:rsid w:val="00600FA0"/>
    <w:rsid w:val="006014F5"/>
    <w:rsid w:val="0060161C"/>
    <w:rsid w:val="006021A2"/>
    <w:rsid w:val="00602220"/>
    <w:rsid w:val="0060277B"/>
    <w:rsid w:val="00602B32"/>
    <w:rsid w:val="00603770"/>
    <w:rsid w:val="00603893"/>
    <w:rsid w:val="00603E75"/>
    <w:rsid w:val="00604811"/>
    <w:rsid w:val="00604A52"/>
    <w:rsid w:val="00606D06"/>
    <w:rsid w:val="00606E9F"/>
    <w:rsid w:val="00607D0F"/>
    <w:rsid w:val="006103F9"/>
    <w:rsid w:val="006104FD"/>
    <w:rsid w:val="00611124"/>
    <w:rsid w:val="00611879"/>
    <w:rsid w:val="00611F30"/>
    <w:rsid w:val="006125B1"/>
    <w:rsid w:val="006125BA"/>
    <w:rsid w:val="00612DB3"/>
    <w:rsid w:val="00613BC9"/>
    <w:rsid w:val="00613CAE"/>
    <w:rsid w:val="00613DC9"/>
    <w:rsid w:val="00614150"/>
    <w:rsid w:val="00614667"/>
    <w:rsid w:val="00614734"/>
    <w:rsid w:val="006150D6"/>
    <w:rsid w:val="0061591F"/>
    <w:rsid w:val="00615981"/>
    <w:rsid w:val="006159AF"/>
    <w:rsid w:val="00615F22"/>
    <w:rsid w:val="006170BF"/>
    <w:rsid w:val="006170C7"/>
    <w:rsid w:val="00620126"/>
    <w:rsid w:val="006207A6"/>
    <w:rsid w:val="006210D3"/>
    <w:rsid w:val="00621AB3"/>
    <w:rsid w:val="00621CC4"/>
    <w:rsid w:val="00621ED5"/>
    <w:rsid w:val="00622134"/>
    <w:rsid w:val="00622DB2"/>
    <w:rsid w:val="00623082"/>
    <w:rsid w:val="0062325F"/>
    <w:rsid w:val="00623362"/>
    <w:rsid w:val="00623B8E"/>
    <w:rsid w:val="006241AF"/>
    <w:rsid w:val="006243B1"/>
    <w:rsid w:val="006250F5"/>
    <w:rsid w:val="006253D4"/>
    <w:rsid w:val="00625D37"/>
    <w:rsid w:val="006264A5"/>
    <w:rsid w:val="00626910"/>
    <w:rsid w:val="00627C9F"/>
    <w:rsid w:val="00627E08"/>
    <w:rsid w:val="00630867"/>
    <w:rsid w:val="00630E28"/>
    <w:rsid w:val="00630E7F"/>
    <w:rsid w:val="00631459"/>
    <w:rsid w:val="00631AA5"/>
    <w:rsid w:val="00631DB3"/>
    <w:rsid w:val="00631F99"/>
    <w:rsid w:val="00632F8C"/>
    <w:rsid w:val="00633942"/>
    <w:rsid w:val="00634187"/>
    <w:rsid w:val="0063429A"/>
    <w:rsid w:val="00634D88"/>
    <w:rsid w:val="00635CBC"/>
    <w:rsid w:val="00636A11"/>
    <w:rsid w:val="00637467"/>
    <w:rsid w:val="006374A2"/>
    <w:rsid w:val="00637CE3"/>
    <w:rsid w:val="00637D53"/>
    <w:rsid w:val="006405BA"/>
    <w:rsid w:val="006409B7"/>
    <w:rsid w:val="0064154F"/>
    <w:rsid w:val="00642533"/>
    <w:rsid w:val="006426FA"/>
    <w:rsid w:val="00642884"/>
    <w:rsid w:val="006428EE"/>
    <w:rsid w:val="00642E5B"/>
    <w:rsid w:val="00642E61"/>
    <w:rsid w:val="006434D2"/>
    <w:rsid w:val="00643837"/>
    <w:rsid w:val="00643A04"/>
    <w:rsid w:val="00643F26"/>
    <w:rsid w:val="006444D9"/>
    <w:rsid w:val="0064562B"/>
    <w:rsid w:val="00647083"/>
    <w:rsid w:val="00647DD2"/>
    <w:rsid w:val="006507C6"/>
    <w:rsid w:val="00650C66"/>
    <w:rsid w:val="006514A8"/>
    <w:rsid w:val="006533AE"/>
    <w:rsid w:val="00654B39"/>
    <w:rsid w:val="00654D45"/>
    <w:rsid w:val="00654D9B"/>
    <w:rsid w:val="00655AF1"/>
    <w:rsid w:val="00656514"/>
    <w:rsid w:val="006571B2"/>
    <w:rsid w:val="006571BE"/>
    <w:rsid w:val="006601A4"/>
    <w:rsid w:val="00660C53"/>
    <w:rsid w:val="00660CDA"/>
    <w:rsid w:val="0066114C"/>
    <w:rsid w:val="0066141D"/>
    <w:rsid w:val="0066188A"/>
    <w:rsid w:val="00661B12"/>
    <w:rsid w:val="0066256E"/>
    <w:rsid w:val="00662D63"/>
    <w:rsid w:val="00662FC4"/>
    <w:rsid w:val="00663D42"/>
    <w:rsid w:val="0066474D"/>
    <w:rsid w:val="00664B18"/>
    <w:rsid w:val="0066567A"/>
    <w:rsid w:val="006661BC"/>
    <w:rsid w:val="006664E7"/>
    <w:rsid w:val="006666E3"/>
    <w:rsid w:val="00666B2D"/>
    <w:rsid w:val="0066778D"/>
    <w:rsid w:val="006708B8"/>
    <w:rsid w:val="00670A93"/>
    <w:rsid w:val="00670E40"/>
    <w:rsid w:val="00670FF4"/>
    <w:rsid w:val="00671350"/>
    <w:rsid w:val="0067194E"/>
    <w:rsid w:val="006722C6"/>
    <w:rsid w:val="00672E28"/>
    <w:rsid w:val="00673250"/>
    <w:rsid w:val="00673692"/>
    <w:rsid w:val="00674240"/>
    <w:rsid w:val="00674851"/>
    <w:rsid w:val="006751FD"/>
    <w:rsid w:val="00675FE6"/>
    <w:rsid w:val="00680AC1"/>
    <w:rsid w:val="00680CEA"/>
    <w:rsid w:val="00680D88"/>
    <w:rsid w:val="0068105D"/>
    <w:rsid w:val="006813F5"/>
    <w:rsid w:val="00681772"/>
    <w:rsid w:val="00681804"/>
    <w:rsid w:val="00681B35"/>
    <w:rsid w:val="00681C1C"/>
    <w:rsid w:val="0068265B"/>
    <w:rsid w:val="00682B71"/>
    <w:rsid w:val="006832DE"/>
    <w:rsid w:val="006840AC"/>
    <w:rsid w:val="0068417A"/>
    <w:rsid w:val="006843A4"/>
    <w:rsid w:val="006843E8"/>
    <w:rsid w:val="0068616D"/>
    <w:rsid w:val="00687267"/>
    <w:rsid w:val="00687ECE"/>
    <w:rsid w:val="00690013"/>
    <w:rsid w:val="00690141"/>
    <w:rsid w:val="00690501"/>
    <w:rsid w:val="00690838"/>
    <w:rsid w:val="00690BA9"/>
    <w:rsid w:val="006912E8"/>
    <w:rsid w:val="0069148F"/>
    <w:rsid w:val="00691B23"/>
    <w:rsid w:val="0069289B"/>
    <w:rsid w:val="00692B36"/>
    <w:rsid w:val="0069306F"/>
    <w:rsid w:val="00693FD3"/>
    <w:rsid w:val="006946F9"/>
    <w:rsid w:val="006947C9"/>
    <w:rsid w:val="006949A4"/>
    <w:rsid w:val="00694F47"/>
    <w:rsid w:val="006952F7"/>
    <w:rsid w:val="00695DC7"/>
    <w:rsid w:val="006978F8"/>
    <w:rsid w:val="006A029B"/>
    <w:rsid w:val="006A0670"/>
    <w:rsid w:val="006A0A9C"/>
    <w:rsid w:val="006A0B69"/>
    <w:rsid w:val="006A0FDE"/>
    <w:rsid w:val="006A153C"/>
    <w:rsid w:val="006A1AE3"/>
    <w:rsid w:val="006A2F04"/>
    <w:rsid w:val="006A37DF"/>
    <w:rsid w:val="006A41BB"/>
    <w:rsid w:val="006A4315"/>
    <w:rsid w:val="006A54D8"/>
    <w:rsid w:val="006A57AC"/>
    <w:rsid w:val="006A585B"/>
    <w:rsid w:val="006A5E58"/>
    <w:rsid w:val="006A5FEE"/>
    <w:rsid w:val="006A6319"/>
    <w:rsid w:val="006A6AD7"/>
    <w:rsid w:val="006B0379"/>
    <w:rsid w:val="006B06D5"/>
    <w:rsid w:val="006B08B5"/>
    <w:rsid w:val="006B180B"/>
    <w:rsid w:val="006B27F5"/>
    <w:rsid w:val="006B29B8"/>
    <w:rsid w:val="006B4320"/>
    <w:rsid w:val="006B51D6"/>
    <w:rsid w:val="006B65CC"/>
    <w:rsid w:val="006B683C"/>
    <w:rsid w:val="006B709E"/>
    <w:rsid w:val="006B7977"/>
    <w:rsid w:val="006B7C51"/>
    <w:rsid w:val="006C01AE"/>
    <w:rsid w:val="006C0743"/>
    <w:rsid w:val="006C161D"/>
    <w:rsid w:val="006C1696"/>
    <w:rsid w:val="006C1C91"/>
    <w:rsid w:val="006C1D23"/>
    <w:rsid w:val="006C1E96"/>
    <w:rsid w:val="006C206F"/>
    <w:rsid w:val="006C220F"/>
    <w:rsid w:val="006C2B63"/>
    <w:rsid w:val="006C3319"/>
    <w:rsid w:val="006C381B"/>
    <w:rsid w:val="006C3D2A"/>
    <w:rsid w:val="006C3F3E"/>
    <w:rsid w:val="006C4C4B"/>
    <w:rsid w:val="006C4C75"/>
    <w:rsid w:val="006C5853"/>
    <w:rsid w:val="006C598D"/>
    <w:rsid w:val="006C5AE3"/>
    <w:rsid w:val="006C5C9B"/>
    <w:rsid w:val="006C6033"/>
    <w:rsid w:val="006C6D03"/>
    <w:rsid w:val="006C6E54"/>
    <w:rsid w:val="006C7BAC"/>
    <w:rsid w:val="006C7DF7"/>
    <w:rsid w:val="006D01A0"/>
    <w:rsid w:val="006D0B12"/>
    <w:rsid w:val="006D0E26"/>
    <w:rsid w:val="006D1084"/>
    <w:rsid w:val="006D10BE"/>
    <w:rsid w:val="006D1B75"/>
    <w:rsid w:val="006D1D3E"/>
    <w:rsid w:val="006D1DB3"/>
    <w:rsid w:val="006D20D1"/>
    <w:rsid w:val="006D22F7"/>
    <w:rsid w:val="006D2467"/>
    <w:rsid w:val="006D335F"/>
    <w:rsid w:val="006D3657"/>
    <w:rsid w:val="006D3838"/>
    <w:rsid w:val="006D442E"/>
    <w:rsid w:val="006D451C"/>
    <w:rsid w:val="006D4626"/>
    <w:rsid w:val="006D561F"/>
    <w:rsid w:val="006D617A"/>
    <w:rsid w:val="006D62B0"/>
    <w:rsid w:val="006D7386"/>
    <w:rsid w:val="006E0828"/>
    <w:rsid w:val="006E0944"/>
    <w:rsid w:val="006E1397"/>
    <w:rsid w:val="006E2571"/>
    <w:rsid w:val="006E2AB7"/>
    <w:rsid w:val="006E2ABC"/>
    <w:rsid w:val="006E2D20"/>
    <w:rsid w:val="006E2EAF"/>
    <w:rsid w:val="006E371B"/>
    <w:rsid w:val="006E398E"/>
    <w:rsid w:val="006E3A85"/>
    <w:rsid w:val="006E4046"/>
    <w:rsid w:val="006E4383"/>
    <w:rsid w:val="006E44FC"/>
    <w:rsid w:val="006E4B86"/>
    <w:rsid w:val="006E4EFB"/>
    <w:rsid w:val="006E4F0D"/>
    <w:rsid w:val="006E5533"/>
    <w:rsid w:val="006E6986"/>
    <w:rsid w:val="006E6C44"/>
    <w:rsid w:val="006E6E67"/>
    <w:rsid w:val="006E7505"/>
    <w:rsid w:val="006E7543"/>
    <w:rsid w:val="006E7559"/>
    <w:rsid w:val="006E797E"/>
    <w:rsid w:val="006E7E13"/>
    <w:rsid w:val="006F0625"/>
    <w:rsid w:val="006F1177"/>
    <w:rsid w:val="006F120A"/>
    <w:rsid w:val="006F17E2"/>
    <w:rsid w:val="006F18A5"/>
    <w:rsid w:val="006F250E"/>
    <w:rsid w:val="006F2814"/>
    <w:rsid w:val="006F2ADE"/>
    <w:rsid w:val="006F344A"/>
    <w:rsid w:val="006F35A6"/>
    <w:rsid w:val="006F45D0"/>
    <w:rsid w:val="006F4BE3"/>
    <w:rsid w:val="006F5060"/>
    <w:rsid w:val="006F5C7F"/>
    <w:rsid w:val="006F6C49"/>
    <w:rsid w:val="006F75C6"/>
    <w:rsid w:val="00700CF8"/>
    <w:rsid w:val="00700D9E"/>
    <w:rsid w:val="00701BD2"/>
    <w:rsid w:val="00701C5C"/>
    <w:rsid w:val="00701D25"/>
    <w:rsid w:val="00702150"/>
    <w:rsid w:val="00702235"/>
    <w:rsid w:val="00702913"/>
    <w:rsid w:val="00702C63"/>
    <w:rsid w:val="00702E7D"/>
    <w:rsid w:val="00703A29"/>
    <w:rsid w:val="00703D78"/>
    <w:rsid w:val="00705A69"/>
    <w:rsid w:val="0070697F"/>
    <w:rsid w:val="00710617"/>
    <w:rsid w:val="00710763"/>
    <w:rsid w:val="007110C7"/>
    <w:rsid w:val="007116A0"/>
    <w:rsid w:val="00711BCD"/>
    <w:rsid w:val="00711E1E"/>
    <w:rsid w:val="0071227D"/>
    <w:rsid w:val="0071273A"/>
    <w:rsid w:val="00712B8E"/>
    <w:rsid w:val="0071397A"/>
    <w:rsid w:val="0071397C"/>
    <w:rsid w:val="00713E2D"/>
    <w:rsid w:val="00713E37"/>
    <w:rsid w:val="0071493A"/>
    <w:rsid w:val="0071532A"/>
    <w:rsid w:val="007155F6"/>
    <w:rsid w:val="00715ED8"/>
    <w:rsid w:val="0071630E"/>
    <w:rsid w:val="00716462"/>
    <w:rsid w:val="00716491"/>
    <w:rsid w:val="00716596"/>
    <w:rsid w:val="007165FE"/>
    <w:rsid w:val="0071709C"/>
    <w:rsid w:val="007176FE"/>
    <w:rsid w:val="00717768"/>
    <w:rsid w:val="007203AB"/>
    <w:rsid w:val="00720517"/>
    <w:rsid w:val="007218EE"/>
    <w:rsid w:val="0072222C"/>
    <w:rsid w:val="0072226D"/>
    <w:rsid w:val="00722419"/>
    <w:rsid w:val="00722816"/>
    <w:rsid w:val="00722F71"/>
    <w:rsid w:val="007230B4"/>
    <w:rsid w:val="007231B0"/>
    <w:rsid w:val="00723ECC"/>
    <w:rsid w:val="00724247"/>
    <w:rsid w:val="0072436E"/>
    <w:rsid w:val="00724BAA"/>
    <w:rsid w:val="00725C64"/>
    <w:rsid w:val="00725D01"/>
    <w:rsid w:val="00727746"/>
    <w:rsid w:val="00727F5E"/>
    <w:rsid w:val="00730E36"/>
    <w:rsid w:val="00730EF3"/>
    <w:rsid w:val="00731043"/>
    <w:rsid w:val="007318A9"/>
    <w:rsid w:val="00732714"/>
    <w:rsid w:val="00732B6B"/>
    <w:rsid w:val="007330B5"/>
    <w:rsid w:val="007335CF"/>
    <w:rsid w:val="007335DE"/>
    <w:rsid w:val="0073362B"/>
    <w:rsid w:val="0073392E"/>
    <w:rsid w:val="00733AB8"/>
    <w:rsid w:val="00734511"/>
    <w:rsid w:val="00734B98"/>
    <w:rsid w:val="00734D98"/>
    <w:rsid w:val="00735171"/>
    <w:rsid w:val="0073589D"/>
    <w:rsid w:val="007359F0"/>
    <w:rsid w:val="00735D05"/>
    <w:rsid w:val="00736005"/>
    <w:rsid w:val="0073738A"/>
    <w:rsid w:val="007373B9"/>
    <w:rsid w:val="00737840"/>
    <w:rsid w:val="00737D32"/>
    <w:rsid w:val="00737FDE"/>
    <w:rsid w:val="00740A2D"/>
    <w:rsid w:val="00740E34"/>
    <w:rsid w:val="007413B5"/>
    <w:rsid w:val="0074172C"/>
    <w:rsid w:val="0074269E"/>
    <w:rsid w:val="00743E54"/>
    <w:rsid w:val="007440D6"/>
    <w:rsid w:val="007441C0"/>
    <w:rsid w:val="00744965"/>
    <w:rsid w:val="00744F72"/>
    <w:rsid w:val="0074575D"/>
    <w:rsid w:val="00746261"/>
    <w:rsid w:val="00746616"/>
    <w:rsid w:val="00746CFA"/>
    <w:rsid w:val="00746D09"/>
    <w:rsid w:val="00747287"/>
    <w:rsid w:val="00747AFF"/>
    <w:rsid w:val="00750024"/>
    <w:rsid w:val="007506B9"/>
    <w:rsid w:val="007507A5"/>
    <w:rsid w:val="00751443"/>
    <w:rsid w:val="0075169D"/>
    <w:rsid w:val="00752072"/>
    <w:rsid w:val="007523CE"/>
    <w:rsid w:val="00752DF0"/>
    <w:rsid w:val="00753AD6"/>
    <w:rsid w:val="00753E1D"/>
    <w:rsid w:val="007542BB"/>
    <w:rsid w:val="007546CC"/>
    <w:rsid w:val="00755076"/>
    <w:rsid w:val="00755099"/>
    <w:rsid w:val="00755C66"/>
    <w:rsid w:val="007565E9"/>
    <w:rsid w:val="00756D56"/>
    <w:rsid w:val="00756EB4"/>
    <w:rsid w:val="00757A19"/>
    <w:rsid w:val="0076068A"/>
    <w:rsid w:val="00760774"/>
    <w:rsid w:val="00762269"/>
    <w:rsid w:val="00762352"/>
    <w:rsid w:val="00762792"/>
    <w:rsid w:val="00762E5E"/>
    <w:rsid w:val="00764166"/>
    <w:rsid w:val="007641E8"/>
    <w:rsid w:val="00764414"/>
    <w:rsid w:val="00764B70"/>
    <w:rsid w:val="00765121"/>
    <w:rsid w:val="00765558"/>
    <w:rsid w:val="00765FCF"/>
    <w:rsid w:val="0076609D"/>
    <w:rsid w:val="00766BB6"/>
    <w:rsid w:val="00766DD4"/>
    <w:rsid w:val="007677C6"/>
    <w:rsid w:val="007678B3"/>
    <w:rsid w:val="00770168"/>
    <w:rsid w:val="00770D0D"/>
    <w:rsid w:val="00770EB6"/>
    <w:rsid w:val="00773B3E"/>
    <w:rsid w:val="007742C5"/>
    <w:rsid w:val="00774A90"/>
    <w:rsid w:val="00774C35"/>
    <w:rsid w:val="007757EE"/>
    <w:rsid w:val="00775A2E"/>
    <w:rsid w:val="00776030"/>
    <w:rsid w:val="00776097"/>
    <w:rsid w:val="00776844"/>
    <w:rsid w:val="00776D9C"/>
    <w:rsid w:val="00776F89"/>
    <w:rsid w:val="00780036"/>
    <w:rsid w:val="00780042"/>
    <w:rsid w:val="00780283"/>
    <w:rsid w:val="007802B4"/>
    <w:rsid w:val="00780440"/>
    <w:rsid w:val="00780C0D"/>
    <w:rsid w:val="00780E0F"/>
    <w:rsid w:val="00780F0F"/>
    <w:rsid w:val="00781084"/>
    <w:rsid w:val="0078169D"/>
    <w:rsid w:val="00781A37"/>
    <w:rsid w:val="00781B77"/>
    <w:rsid w:val="00781C11"/>
    <w:rsid w:val="00782218"/>
    <w:rsid w:val="00782B27"/>
    <w:rsid w:val="00782E1E"/>
    <w:rsid w:val="00783024"/>
    <w:rsid w:val="00783EA2"/>
    <w:rsid w:val="007841FF"/>
    <w:rsid w:val="00784576"/>
    <w:rsid w:val="0078481F"/>
    <w:rsid w:val="00784E3C"/>
    <w:rsid w:val="00785A6F"/>
    <w:rsid w:val="00786170"/>
    <w:rsid w:val="0078638A"/>
    <w:rsid w:val="00786531"/>
    <w:rsid w:val="00786F14"/>
    <w:rsid w:val="007879F9"/>
    <w:rsid w:val="0079021F"/>
    <w:rsid w:val="007903FB"/>
    <w:rsid w:val="00790C6C"/>
    <w:rsid w:val="00792058"/>
    <w:rsid w:val="00792B13"/>
    <w:rsid w:val="0079305A"/>
    <w:rsid w:val="00793703"/>
    <w:rsid w:val="00793919"/>
    <w:rsid w:val="00793BBA"/>
    <w:rsid w:val="00793BEF"/>
    <w:rsid w:val="00794138"/>
    <w:rsid w:val="0079436C"/>
    <w:rsid w:val="00794373"/>
    <w:rsid w:val="0079525C"/>
    <w:rsid w:val="00795435"/>
    <w:rsid w:val="00795713"/>
    <w:rsid w:val="007957CA"/>
    <w:rsid w:val="00795A97"/>
    <w:rsid w:val="00796C85"/>
    <w:rsid w:val="00796CB4"/>
    <w:rsid w:val="00797931"/>
    <w:rsid w:val="00797A08"/>
    <w:rsid w:val="00797F65"/>
    <w:rsid w:val="007A03ED"/>
    <w:rsid w:val="007A0967"/>
    <w:rsid w:val="007A0C5A"/>
    <w:rsid w:val="007A13F7"/>
    <w:rsid w:val="007A20B5"/>
    <w:rsid w:val="007A24DA"/>
    <w:rsid w:val="007A2C3D"/>
    <w:rsid w:val="007A317C"/>
    <w:rsid w:val="007A418C"/>
    <w:rsid w:val="007A50B5"/>
    <w:rsid w:val="007A5106"/>
    <w:rsid w:val="007A51CA"/>
    <w:rsid w:val="007A5532"/>
    <w:rsid w:val="007A5615"/>
    <w:rsid w:val="007A5B4D"/>
    <w:rsid w:val="007A6247"/>
    <w:rsid w:val="007A6BB8"/>
    <w:rsid w:val="007A7065"/>
    <w:rsid w:val="007A7408"/>
    <w:rsid w:val="007A768B"/>
    <w:rsid w:val="007A7E57"/>
    <w:rsid w:val="007B0284"/>
    <w:rsid w:val="007B03FD"/>
    <w:rsid w:val="007B08FC"/>
    <w:rsid w:val="007B1394"/>
    <w:rsid w:val="007B1AF6"/>
    <w:rsid w:val="007B20AC"/>
    <w:rsid w:val="007B2211"/>
    <w:rsid w:val="007B248A"/>
    <w:rsid w:val="007B2534"/>
    <w:rsid w:val="007B2F6A"/>
    <w:rsid w:val="007B339A"/>
    <w:rsid w:val="007B384B"/>
    <w:rsid w:val="007B3BAE"/>
    <w:rsid w:val="007B44AC"/>
    <w:rsid w:val="007B48A8"/>
    <w:rsid w:val="007B4944"/>
    <w:rsid w:val="007B4D93"/>
    <w:rsid w:val="007B5168"/>
    <w:rsid w:val="007B5682"/>
    <w:rsid w:val="007B5822"/>
    <w:rsid w:val="007B58B5"/>
    <w:rsid w:val="007B59C4"/>
    <w:rsid w:val="007B5B47"/>
    <w:rsid w:val="007B61AF"/>
    <w:rsid w:val="007B7236"/>
    <w:rsid w:val="007B7291"/>
    <w:rsid w:val="007B74A3"/>
    <w:rsid w:val="007B756D"/>
    <w:rsid w:val="007C0B0C"/>
    <w:rsid w:val="007C1D61"/>
    <w:rsid w:val="007C208F"/>
    <w:rsid w:val="007C230A"/>
    <w:rsid w:val="007C242C"/>
    <w:rsid w:val="007C2623"/>
    <w:rsid w:val="007C357F"/>
    <w:rsid w:val="007C3F4E"/>
    <w:rsid w:val="007C42CA"/>
    <w:rsid w:val="007C433A"/>
    <w:rsid w:val="007C4CA3"/>
    <w:rsid w:val="007C4ED1"/>
    <w:rsid w:val="007C5257"/>
    <w:rsid w:val="007C685A"/>
    <w:rsid w:val="007C6AA7"/>
    <w:rsid w:val="007C758D"/>
    <w:rsid w:val="007D0809"/>
    <w:rsid w:val="007D17B6"/>
    <w:rsid w:val="007D1ADE"/>
    <w:rsid w:val="007D1D0E"/>
    <w:rsid w:val="007D1F78"/>
    <w:rsid w:val="007D1FEF"/>
    <w:rsid w:val="007D204C"/>
    <w:rsid w:val="007D230A"/>
    <w:rsid w:val="007D238C"/>
    <w:rsid w:val="007D23C0"/>
    <w:rsid w:val="007D28F6"/>
    <w:rsid w:val="007D3498"/>
    <w:rsid w:val="007D368D"/>
    <w:rsid w:val="007D3D37"/>
    <w:rsid w:val="007D4323"/>
    <w:rsid w:val="007D4331"/>
    <w:rsid w:val="007D44EA"/>
    <w:rsid w:val="007D4626"/>
    <w:rsid w:val="007D4657"/>
    <w:rsid w:val="007D482B"/>
    <w:rsid w:val="007D4A6A"/>
    <w:rsid w:val="007D4D21"/>
    <w:rsid w:val="007D4DEA"/>
    <w:rsid w:val="007D51F2"/>
    <w:rsid w:val="007D5575"/>
    <w:rsid w:val="007D561F"/>
    <w:rsid w:val="007D5AD8"/>
    <w:rsid w:val="007D5F18"/>
    <w:rsid w:val="007D61CD"/>
    <w:rsid w:val="007D65D4"/>
    <w:rsid w:val="007D73CE"/>
    <w:rsid w:val="007D75F6"/>
    <w:rsid w:val="007D76F1"/>
    <w:rsid w:val="007D7D0E"/>
    <w:rsid w:val="007E06DB"/>
    <w:rsid w:val="007E0897"/>
    <w:rsid w:val="007E0B99"/>
    <w:rsid w:val="007E0C45"/>
    <w:rsid w:val="007E1783"/>
    <w:rsid w:val="007E194A"/>
    <w:rsid w:val="007E19B9"/>
    <w:rsid w:val="007E1FDE"/>
    <w:rsid w:val="007E290A"/>
    <w:rsid w:val="007E2CE0"/>
    <w:rsid w:val="007E2FBC"/>
    <w:rsid w:val="007E3000"/>
    <w:rsid w:val="007E3780"/>
    <w:rsid w:val="007E3DBC"/>
    <w:rsid w:val="007E41A7"/>
    <w:rsid w:val="007E4A39"/>
    <w:rsid w:val="007E57D2"/>
    <w:rsid w:val="007E5CA4"/>
    <w:rsid w:val="007E66BC"/>
    <w:rsid w:val="007E6857"/>
    <w:rsid w:val="007E6BF6"/>
    <w:rsid w:val="007E6D4D"/>
    <w:rsid w:val="007E7198"/>
    <w:rsid w:val="007E7560"/>
    <w:rsid w:val="007E7D8F"/>
    <w:rsid w:val="007E7ED1"/>
    <w:rsid w:val="007F0921"/>
    <w:rsid w:val="007F1079"/>
    <w:rsid w:val="007F13DF"/>
    <w:rsid w:val="007F16F9"/>
    <w:rsid w:val="007F23F0"/>
    <w:rsid w:val="007F253B"/>
    <w:rsid w:val="007F2FCA"/>
    <w:rsid w:val="007F314D"/>
    <w:rsid w:val="007F34D6"/>
    <w:rsid w:val="007F34EB"/>
    <w:rsid w:val="007F371A"/>
    <w:rsid w:val="007F3F0C"/>
    <w:rsid w:val="007F4383"/>
    <w:rsid w:val="007F4982"/>
    <w:rsid w:val="007F4E2B"/>
    <w:rsid w:val="007F58BC"/>
    <w:rsid w:val="007F5942"/>
    <w:rsid w:val="007F5B5B"/>
    <w:rsid w:val="007F657C"/>
    <w:rsid w:val="007F6692"/>
    <w:rsid w:val="007F75BE"/>
    <w:rsid w:val="007F7986"/>
    <w:rsid w:val="00800B2C"/>
    <w:rsid w:val="00800B5F"/>
    <w:rsid w:val="00801942"/>
    <w:rsid w:val="0080196D"/>
    <w:rsid w:val="00801DCA"/>
    <w:rsid w:val="00801EE9"/>
    <w:rsid w:val="00802902"/>
    <w:rsid w:val="008033E5"/>
    <w:rsid w:val="0080430B"/>
    <w:rsid w:val="0080492C"/>
    <w:rsid w:val="0080561E"/>
    <w:rsid w:val="0080579A"/>
    <w:rsid w:val="00805B71"/>
    <w:rsid w:val="00805EE5"/>
    <w:rsid w:val="00805F2F"/>
    <w:rsid w:val="00806460"/>
    <w:rsid w:val="00806DEC"/>
    <w:rsid w:val="00807441"/>
    <w:rsid w:val="008076A6"/>
    <w:rsid w:val="00807738"/>
    <w:rsid w:val="00807AD4"/>
    <w:rsid w:val="008101BC"/>
    <w:rsid w:val="00810307"/>
    <w:rsid w:val="00810725"/>
    <w:rsid w:val="00811480"/>
    <w:rsid w:val="00811CC4"/>
    <w:rsid w:val="0081216F"/>
    <w:rsid w:val="0081245E"/>
    <w:rsid w:val="00812959"/>
    <w:rsid w:val="00812BC6"/>
    <w:rsid w:val="00813B4B"/>
    <w:rsid w:val="00814164"/>
    <w:rsid w:val="00814776"/>
    <w:rsid w:val="00814C65"/>
    <w:rsid w:val="00814F5A"/>
    <w:rsid w:val="0081619B"/>
    <w:rsid w:val="00816A49"/>
    <w:rsid w:val="008173B7"/>
    <w:rsid w:val="008175AF"/>
    <w:rsid w:val="008177DB"/>
    <w:rsid w:val="008206DB"/>
    <w:rsid w:val="00820B01"/>
    <w:rsid w:val="00821713"/>
    <w:rsid w:val="00821BD1"/>
    <w:rsid w:val="00821C94"/>
    <w:rsid w:val="00821DF3"/>
    <w:rsid w:val="00822193"/>
    <w:rsid w:val="008224D9"/>
    <w:rsid w:val="008225D4"/>
    <w:rsid w:val="008227AF"/>
    <w:rsid w:val="008228C5"/>
    <w:rsid w:val="008238FA"/>
    <w:rsid w:val="00823F0B"/>
    <w:rsid w:val="00824524"/>
    <w:rsid w:val="00824850"/>
    <w:rsid w:val="00825262"/>
    <w:rsid w:val="008252EC"/>
    <w:rsid w:val="00825660"/>
    <w:rsid w:val="00825AAB"/>
    <w:rsid w:val="008261A8"/>
    <w:rsid w:val="008271C9"/>
    <w:rsid w:val="00831491"/>
    <w:rsid w:val="00831498"/>
    <w:rsid w:val="00831D36"/>
    <w:rsid w:val="00831DEF"/>
    <w:rsid w:val="00831E96"/>
    <w:rsid w:val="00832289"/>
    <w:rsid w:val="008323C2"/>
    <w:rsid w:val="0083243B"/>
    <w:rsid w:val="00832E4E"/>
    <w:rsid w:val="0083355E"/>
    <w:rsid w:val="008336A5"/>
    <w:rsid w:val="00833A3C"/>
    <w:rsid w:val="00834C46"/>
    <w:rsid w:val="0083608C"/>
    <w:rsid w:val="008365DF"/>
    <w:rsid w:val="0083735E"/>
    <w:rsid w:val="008378C6"/>
    <w:rsid w:val="00837E55"/>
    <w:rsid w:val="00840775"/>
    <w:rsid w:val="0084145E"/>
    <w:rsid w:val="00841E4E"/>
    <w:rsid w:val="0084246A"/>
    <w:rsid w:val="00842A12"/>
    <w:rsid w:val="00842E65"/>
    <w:rsid w:val="0084337E"/>
    <w:rsid w:val="00843CE0"/>
    <w:rsid w:val="00845585"/>
    <w:rsid w:val="00846014"/>
    <w:rsid w:val="00846F22"/>
    <w:rsid w:val="008477A3"/>
    <w:rsid w:val="00847871"/>
    <w:rsid w:val="00850056"/>
    <w:rsid w:val="0085038B"/>
    <w:rsid w:val="00850F87"/>
    <w:rsid w:val="008513C8"/>
    <w:rsid w:val="0085161E"/>
    <w:rsid w:val="008516A5"/>
    <w:rsid w:val="0085198D"/>
    <w:rsid w:val="00851A03"/>
    <w:rsid w:val="00851E5B"/>
    <w:rsid w:val="00852120"/>
    <w:rsid w:val="00852301"/>
    <w:rsid w:val="0085235D"/>
    <w:rsid w:val="0085239C"/>
    <w:rsid w:val="008524C4"/>
    <w:rsid w:val="008525B6"/>
    <w:rsid w:val="008527BB"/>
    <w:rsid w:val="00852ABB"/>
    <w:rsid w:val="00853908"/>
    <w:rsid w:val="00853ACF"/>
    <w:rsid w:val="00853E5C"/>
    <w:rsid w:val="00853F5F"/>
    <w:rsid w:val="008542B5"/>
    <w:rsid w:val="00855389"/>
    <w:rsid w:val="0085539D"/>
    <w:rsid w:val="008556A0"/>
    <w:rsid w:val="008559CE"/>
    <w:rsid w:val="00855AA3"/>
    <w:rsid w:val="00855C74"/>
    <w:rsid w:val="00856704"/>
    <w:rsid w:val="00856CF8"/>
    <w:rsid w:val="008573FF"/>
    <w:rsid w:val="00857753"/>
    <w:rsid w:val="00857FCF"/>
    <w:rsid w:val="00860145"/>
    <w:rsid w:val="00860601"/>
    <w:rsid w:val="00860915"/>
    <w:rsid w:val="00860A72"/>
    <w:rsid w:val="00860D9C"/>
    <w:rsid w:val="008612E0"/>
    <w:rsid w:val="008613A0"/>
    <w:rsid w:val="00861989"/>
    <w:rsid w:val="008621A0"/>
    <w:rsid w:val="008624BA"/>
    <w:rsid w:val="008627AF"/>
    <w:rsid w:val="00862B68"/>
    <w:rsid w:val="0086325B"/>
    <w:rsid w:val="008637EE"/>
    <w:rsid w:val="00863901"/>
    <w:rsid w:val="00863A51"/>
    <w:rsid w:val="00863BA0"/>
    <w:rsid w:val="0086400C"/>
    <w:rsid w:val="00864243"/>
    <w:rsid w:val="0086479F"/>
    <w:rsid w:val="00864A1A"/>
    <w:rsid w:val="00865174"/>
    <w:rsid w:val="008657CE"/>
    <w:rsid w:val="00865C66"/>
    <w:rsid w:val="00865DCC"/>
    <w:rsid w:val="00865EF4"/>
    <w:rsid w:val="00866D1B"/>
    <w:rsid w:val="0086702C"/>
    <w:rsid w:val="008671C2"/>
    <w:rsid w:val="008673FF"/>
    <w:rsid w:val="008674C4"/>
    <w:rsid w:val="00867963"/>
    <w:rsid w:val="008704C4"/>
    <w:rsid w:val="00871B58"/>
    <w:rsid w:val="00872849"/>
    <w:rsid w:val="008728BE"/>
    <w:rsid w:val="008735F0"/>
    <w:rsid w:val="00873A29"/>
    <w:rsid w:val="008747D2"/>
    <w:rsid w:val="00874C1F"/>
    <w:rsid w:val="00875836"/>
    <w:rsid w:val="00875B88"/>
    <w:rsid w:val="00875CA2"/>
    <w:rsid w:val="00875DC4"/>
    <w:rsid w:val="00876599"/>
    <w:rsid w:val="00877415"/>
    <w:rsid w:val="00877841"/>
    <w:rsid w:val="0088089F"/>
    <w:rsid w:val="00880B11"/>
    <w:rsid w:val="00880F95"/>
    <w:rsid w:val="008810EF"/>
    <w:rsid w:val="008818D6"/>
    <w:rsid w:val="00882208"/>
    <w:rsid w:val="00882719"/>
    <w:rsid w:val="0088322E"/>
    <w:rsid w:val="0088337A"/>
    <w:rsid w:val="00883D23"/>
    <w:rsid w:val="00884C56"/>
    <w:rsid w:val="008854E2"/>
    <w:rsid w:val="008866D7"/>
    <w:rsid w:val="008867E7"/>
    <w:rsid w:val="00886F21"/>
    <w:rsid w:val="00890015"/>
    <w:rsid w:val="0089136A"/>
    <w:rsid w:val="0089146A"/>
    <w:rsid w:val="00891847"/>
    <w:rsid w:val="008919D1"/>
    <w:rsid w:val="00891B98"/>
    <w:rsid w:val="00891BC5"/>
    <w:rsid w:val="00891FA6"/>
    <w:rsid w:val="008920A8"/>
    <w:rsid w:val="008922FB"/>
    <w:rsid w:val="0089284F"/>
    <w:rsid w:val="0089299F"/>
    <w:rsid w:val="00892C00"/>
    <w:rsid w:val="00892F25"/>
    <w:rsid w:val="00893027"/>
    <w:rsid w:val="0089516A"/>
    <w:rsid w:val="00895324"/>
    <w:rsid w:val="00895FFC"/>
    <w:rsid w:val="0089611E"/>
    <w:rsid w:val="008966C4"/>
    <w:rsid w:val="00896C6C"/>
    <w:rsid w:val="00896D0E"/>
    <w:rsid w:val="00896E8A"/>
    <w:rsid w:val="008970BB"/>
    <w:rsid w:val="00897197"/>
    <w:rsid w:val="00897D8E"/>
    <w:rsid w:val="00897F42"/>
    <w:rsid w:val="008A01EF"/>
    <w:rsid w:val="008A06A8"/>
    <w:rsid w:val="008A0736"/>
    <w:rsid w:val="008A19D8"/>
    <w:rsid w:val="008A1F67"/>
    <w:rsid w:val="008A216B"/>
    <w:rsid w:val="008A272F"/>
    <w:rsid w:val="008A2A66"/>
    <w:rsid w:val="008A36FF"/>
    <w:rsid w:val="008A383E"/>
    <w:rsid w:val="008A4A13"/>
    <w:rsid w:val="008A4E5C"/>
    <w:rsid w:val="008A4EB1"/>
    <w:rsid w:val="008A55B4"/>
    <w:rsid w:val="008A5961"/>
    <w:rsid w:val="008A61E8"/>
    <w:rsid w:val="008A6FF5"/>
    <w:rsid w:val="008A7221"/>
    <w:rsid w:val="008A79CA"/>
    <w:rsid w:val="008A7F43"/>
    <w:rsid w:val="008B0A53"/>
    <w:rsid w:val="008B0B2F"/>
    <w:rsid w:val="008B0DC3"/>
    <w:rsid w:val="008B159C"/>
    <w:rsid w:val="008B17C1"/>
    <w:rsid w:val="008B1B5F"/>
    <w:rsid w:val="008B2131"/>
    <w:rsid w:val="008B21A1"/>
    <w:rsid w:val="008B2411"/>
    <w:rsid w:val="008B2954"/>
    <w:rsid w:val="008B2E75"/>
    <w:rsid w:val="008B3285"/>
    <w:rsid w:val="008B331B"/>
    <w:rsid w:val="008B385B"/>
    <w:rsid w:val="008B3A22"/>
    <w:rsid w:val="008B4276"/>
    <w:rsid w:val="008B4470"/>
    <w:rsid w:val="008B495D"/>
    <w:rsid w:val="008B4C3C"/>
    <w:rsid w:val="008B4FD9"/>
    <w:rsid w:val="008B5365"/>
    <w:rsid w:val="008B5452"/>
    <w:rsid w:val="008B57A5"/>
    <w:rsid w:val="008B5998"/>
    <w:rsid w:val="008B5A27"/>
    <w:rsid w:val="008B6BBC"/>
    <w:rsid w:val="008B6D8F"/>
    <w:rsid w:val="008B6DB5"/>
    <w:rsid w:val="008B7307"/>
    <w:rsid w:val="008B760C"/>
    <w:rsid w:val="008B7A43"/>
    <w:rsid w:val="008C060D"/>
    <w:rsid w:val="008C0793"/>
    <w:rsid w:val="008C0996"/>
    <w:rsid w:val="008C0A87"/>
    <w:rsid w:val="008C0D17"/>
    <w:rsid w:val="008C1982"/>
    <w:rsid w:val="008C1FBD"/>
    <w:rsid w:val="008C20A0"/>
    <w:rsid w:val="008C22E7"/>
    <w:rsid w:val="008C26C7"/>
    <w:rsid w:val="008C3304"/>
    <w:rsid w:val="008C3398"/>
    <w:rsid w:val="008C3718"/>
    <w:rsid w:val="008C3AF0"/>
    <w:rsid w:val="008C3E50"/>
    <w:rsid w:val="008C41B9"/>
    <w:rsid w:val="008C45A5"/>
    <w:rsid w:val="008C48CC"/>
    <w:rsid w:val="008C5194"/>
    <w:rsid w:val="008C5238"/>
    <w:rsid w:val="008C5288"/>
    <w:rsid w:val="008C57D2"/>
    <w:rsid w:val="008C592B"/>
    <w:rsid w:val="008C6665"/>
    <w:rsid w:val="008C70D2"/>
    <w:rsid w:val="008C7269"/>
    <w:rsid w:val="008C7361"/>
    <w:rsid w:val="008C7C14"/>
    <w:rsid w:val="008C7DF8"/>
    <w:rsid w:val="008D04E3"/>
    <w:rsid w:val="008D0836"/>
    <w:rsid w:val="008D1A32"/>
    <w:rsid w:val="008D1E01"/>
    <w:rsid w:val="008D22AB"/>
    <w:rsid w:val="008D2648"/>
    <w:rsid w:val="008D2700"/>
    <w:rsid w:val="008D27E7"/>
    <w:rsid w:val="008D3342"/>
    <w:rsid w:val="008D3C9D"/>
    <w:rsid w:val="008D3CCC"/>
    <w:rsid w:val="008D3D54"/>
    <w:rsid w:val="008D4097"/>
    <w:rsid w:val="008D46DA"/>
    <w:rsid w:val="008D563E"/>
    <w:rsid w:val="008D5CA7"/>
    <w:rsid w:val="008D5D49"/>
    <w:rsid w:val="008D6AD4"/>
    <w:rsid w:val="008D6CA3"/>
    <w:rsid w:val="008D6E61"/>
    <w:rsid w:val="008D78F8"/>
    <w:rsid w:val="008D7A85"/>
    <w:rsid w:val="008E0663"/>
    <w:rsid w:val="008E0E73"/>
    <w:rsid w:val="008E160D"/>
    <w:rsid w:val="008E19BF"/>
    <w:rsid w:val="008E26C6"/>
    <w:rsid w:val="008E2D06"/>
    <w:rsid w:val="008E3EC0"/>
    <w:rsid w:val="008E5ECB"/>
    <w:rsid w:val="008E609A"/>
    <w:rsid w:val="008E6179"/>
    <w:rsid w:val="008E6C77"/>
    <w:rsid w:val="008E72C2"/>
    <w:rsid w:val="008E7F31"/>
    <w:rsid w:val="008F015F"/>
    <w:rsid w:val="008F0BE2"/>
    <w:rsid w:val="008F13F5"/>
    <w:rsid w:val="008F157A"/>
    <w:rsid w:val="008F27EC"/>
    <w:rsid w:val="008F2D15"/>
    <w:rsid w:val="008F2D17"/>
    <w:rsid w:val="008F322A"/>
    <w:rsid w:val="008F3349"/>
    <w:rsid w:val="008F33B6"/>
    <w:rsid w:val="008F3944"/>
    <w:rsid w:val="008F3E76"/>
    <w:rsid w:val="008F3FA2"/>
    <w:rsid w:val="008F41FD"/>
    <w:rsid w:val="008F5538"/>
    <w:rsid w:val="008F55DB"/>
    <w:rsid w:val="008F57B1"/>
    <w:rsid w:val="008F5C95"/>
    <w:rsid w:val="008F5ED1"/>
    <w:rsid w:val="008F63AF"/>
    <w:rsid w:val="008F6433"/>
    <w:rsid w:val="008F651F"/>
    <w:rsid w:val="008F690E"/>
    <w:rsid w:val="008F6DAE"/>
    <w:rsid w:val="008F75E7"/>
    <w:rsid w:val="008F76AF"/>
    <w:rsid w:val="008F76DB"/>
    <w:rsid w:val="008F7B56"/>
    <w:rsid w:val="009000B9"/>
    <w:rsid w:val="009004B1"/>
    <w:rsid w:val="009007DC"/>
    <w:rsid w:val="0090114C"/>
    <w:rsid w:val="00902073"/>
    <w:rsid w:val="0090264E"/>
    <w:rsid w:val="009027B1"/>
    <w:rsid w:val="00902ABC"/>
    <w:rsid w:val="00902E20"/>
    <w:rsid w:val="00902F98"/>
    <w:rsid w:val="00902FA4"/>
    <w:rsid w:val="00903541"/>
    <w:rsid w:val="0090509E"/>
    <w:rsid w:val="009066D3"/>
    <w:rsid w:val="00906DBC"/>
    <w:rsid w:val="00907517"/>
    <w:rsid w:val="00910054"/>
    <w:rsid w:val="009110F9"/>
    <w:rsid w:val="00911717"/>
    <w:rsid w:val="00911829"/>
    <w:rsid w:val="00911862"/>
    <w:rsid w:val="009118EE"/>
    <w:rsid w:val="00911E77"/>
    <w:rsid w:val="00911FEB"/>
    <w:rsid w:val="00912186"/>
    <w:rsid w:val="00912C78"/>
    <w:rsid w:val="00913A14"/>
    <w:rsid w:val="00913E5F"/>
    <w:rsid w:val="00914C9B"/>
    <w:rsid w:val="00915013"/>
    <w:rsid w:val="00915302"/>
    <w:rsid w:val="00915425"/>
    <w:rsid w:val="0091585A"/>
    <w:rsid w:val="00915AAE"/>
    <w:rsid w:val="00915C13"/>
    <w:rsid w:val="00915EFB"/>
    <w:rsid w:val="00916A66"/>
    <w:rsid w:val="00916B4B"/>
    <w:rsid w:val="009170E5"/>
    <w:rsid w:val="00917E44"/>
    <w:rsid w:val="00917F5F"/>
    <w:rsid w:val="009202E2"/>
    <w:rsid w:val="009202E8"/>
    <w:rsid w:val="00920372"/>
    <w:rsid w:val="009206BC"/>
    <w:rsid w:val="00920B8F"/>
    <w:rsid w:val="00920D41"/>
    <w:rsid w:val="009214E4"/>
    <w:rsid w:val="00921541"/>
    <w:rsid w:val="00922042"/>
    <w:rsid w:val="00922C04"/>
    <w:rsid w:val="00922C57"/>
    <w:rsid w:val="00922DAD"/>
    <w:rsid w:val="009246E8"/>
    <w:rsid w:val="00924A8C"/>
    <w:rsid w:val="00924A97"/>
    <w:rsid w:val="00924CDF"/>
    <w:rsid w:val="00924D1C"/>
    <w:rsid w:val="00925D72"/>
    <w:rsid w:val="00925F96"/>
    <w:rsid w:val="0092631A"/>
    <w:rsid w:val="009265B6"/>
    <w:rsid w:val="00926C93"/>
    <w:rsid w:val="00927323"/>
    <w:rsid w:val="009275AF"/>
    <w:rsid w:val="009279D7"/>
    <w:rsid w:val="00927B09"/>
    <w:rsid w:val="00927CAA"/>
    <w:rsid w:val="0093007F"/>
    <w:rsid w:val="009300E2"/>
    <w:rsid w:val="0093064D"/>
    <w:rsid w:val="00931402"/>
    <w:rsid w:val="009318BF"/>
    <w:rsid w:val="00931D35"/>
    <w:rsid w:val="00931F17"/>
    <w:rsid w:val="009325AE"/>
    <w:rsid w:val="009325ED"/>
    <w:rsid w:val="00932E1C"/>
    <w:rsid w:val="00933A85"/>
    <w:rsid w:val="0093411B"/>
    <w:rsid w:val="00934401"/>
    <w:rsid w:val="00934765"/>
    <w:rsid w:val="00934E29"/>
    <w:rsid w:val="00934E68"/>
    <w:rsid w:val="009354DE"/>
    <w:rsid w:val="00935B1B"/>
    <w:rsid w:val="00935B43"/>
    <w:rsid w:val="009360E1"/>
    <w:rsid w:val="00936393"/>
    <w:rsid w:val="00936C7D"/>
    <w:rsid w:val="0093736F"/>
    <w:rsid w:val="0093793F"/>
    <w:rsid w:val="009400C5"/>
    <w:rsid w:val="009400D8"/>
    <w:rsid w:val="009406D2"/>
    <w:rsid w:val="00940908"/>
    <w:rsid w:val="00941602"/>
    <w:rsid w:val="00942B3C"/>
    <w:rsid w:val="00942CFD"/>
    <w:rsid w:val="00942EE1"/>
    <w:rsid w:val="00943A6D"/>
    <w:rsid w:val="0094433D"/>
    <w:rsid w:val="0094484D"/>
    <w:rsid w:val="0094489D"/>
    <w:rsid w:val="00944B13"/>
    <w:rsid w:val="00944D58"/>
    <w:rsid w:val="00945593"/>
    <w:rsid w:val="009465B4"/>
    <w:rsid w:val="00946722"/>
    <w:rsid w:val="00946742"/>
    <w:rsid w:val="00947060"/>
    <w:rsid w:val="00947463"/>
    <w:rsid w:val="00947B04"/>
    <w:rsid w:val="00947EDE"/>
    <w:rsid w:val="00951068"/>
    <w:rsid w:val="0095112E"/>
    <w:rsid w:val="00951589"/>
    <w:rsid w:val="009534F5"/>
    <w:rsid w:val="00953BC9"/>
    <w:rsid w:val="00953D31"/>
    <w:rsid w:val="00953D64"/>
    <w:rsid w:val="00953DB8"/>
    <w:rsid w:val="009540F3"/>
    <w:rsid w:val="009541B4"/>
    <w:rsid w:val="0095471B"/>
    <w:rsid w:val="00955012"/>
    <w:rsid w:val="0095509B"/>
    <w:rsid w:val="0095513C"/>
    <w:rsid w:val="00956BD3"/>
    <w:rsid w:val="00956D71"/>
    <w:rsid w:val="009574C2"/>
    <w:rsid w:val="00957535"/>
    <w:rsid w:val="00957605"/>
    <w:rsid w:val="009577EA"/>
    <w:rsid w:val="00957D10"/>
    <w:rsid w:val="00957DBD"/>
    <w:rsid w:val="00960D8E"/>
    <w:rsid w:val="00961189"/>
    <w:rsid w:val="00961997"/>
    <w:rsid w:val="00961BAF"/>
    <w:rsid w:val="0096239F"/>
    <w:rsid w:val="00962AC5"/>
    <w:rsid w:val="00963264"/>
    <w:rsid w:val="00965F59"/>
    <w:rsid w:val="00965F9A"/>
    <w:rsid w:val="00966029"/>
    <w:rsid w:val="00966299"/>
    <w:rsid w:val="00966463"/>
    <w:rsid w:val="009669B4"/>
    <w:rsid w:val="00967074"/>
    <w:rsid w:val="009672FF"/>
    <w:rsid w:val="0096741E"/>
    <w:rsid w:val="0096742F"/>
    <w:rsid w:val="00967984"/>
    <w:rsid w:val="00967ABF"/>
    <w:rsid w:val="0097027C"/>
    <w:rsid w:val="009707A3"/>
    <w:rsid w:val="00971216"/>
    <w:rsid w:val="009717E1"/>
    <w:rsid w:val="00972668"/>
    <w:rsid w:val="00972D95"/>
    <w:rsid w:val="00972F26"/>
    <w:rsid w:val="009731A9"/>
    <w:rsid w:val="00975D12"/>
    <w:rsid w:val="009764A4"/>
    <w:rsid w:val="00976904"/>
    <w:rsid w:val="00976F32"/>
    <w:rsid w:val="009775D9"/>
    <w:rsid w:val="00977822"/>
    <w:rsid w:val="00980059"/>
    <w:rsid w:val="009816F6"/>
    <w:rsid w:val="00981716"/>
    <w:rsid w:val="0098186F"/>
    <w:rsid w:val="009818B1"/>
    <w:rsid w:val="00981AB0"/>
    <w:rsid w:val="00982300"/>
    <w:rsid w:val="00983300"/>
    <w:rsid w:val="00983C4C"/>
    <w:rsid w:val="00983ECC"/>
    <w:rsid w:val="00984419"/>
    <w:rsid w:val="00984DE0"/>
    <w:rsid w:val="009850F8"/>
    <w:rsid w:val="009851A4"/>
    <w:rsid w:val="0098624A"/>
    <w:rsid w:val="00986C26"/>
    <w:rsid w:val="009872D4"/>
    <w:rsid w:val="0098756C"/>
    <w:rsid w:val="00987908"/>
    <w:rsid w:val="009903D0"/>
    <w:rsid w:val="009912BB"/>
    <w:rsid w:val="009915AE"/>
    <w:rsid w:val="0099190F"/>
    <w:rsid w:val="009919CE"/>
    <w:rsid w:val="00991CBC"/>
    <w:rsid w:val="009924A4"/>
    <w:rsid w:val="00992A68"/>
    <w:rsid w:val="00993880"/>
    <w:rsid w:val="0099393F"/>
    <w:rsid w:val="0099399B"/>
    <w:rsid w:val="00993EE4"/>
    <w:rsid w:val="0099437F"/>
    <w:rsid w:val="00994854"/>
    <w:rsid w:val="0099492D"/>
    <w:rsid w:val="0099519C"/>
    <w:rsid w:val="0099570A"/>
    <w:rsid w:val="00995C58"/>
    <w:rsid w:val="009963EF"/>
    <w:rsid w:val="009968E4"/>
    <w:rsid w:val="00996AA2"/>
    <w:rsid w:val="009974F7"/>
    <w:rsid w:val="009978D6"/>
    <w:rsid w:val="00997FD6"/>
    <w:rsid w:val="009A0634"/>
    <w:rsid w:val="009A0B33"/>
    <w:rsid w:val="009A0DC9"/>
    <w:rsid w:val="009A0EBC"/>
    <w:rsid w:val="009A0F6B"/>
    <w:rsid w:val="009A1B01"/>
    <w:rsid w:val="009A1E7C"/>
    <w:rsid w:val="009A1F58"/>
    <w:rsid w:val="009A2E33"/>
    <w:rsid w:val="009A30CE"/>
    <w:rsid w:val="009A31C0"/>
    <w:rsid w:val="009A3459"/>
    <w:rsid w:val="009A367C"/>
    <w:rsid w:val="009A3C20"/>
    <w:rsid w:val="009A3F19"/>
    <w:rsid w:val="009A45A0"/>
    <w:rsid w:val="009A487F"/>
    <w:rsid w:val="009A578C"/>
    <w:rsid w:val="009A57D2"/>
    <w:rsid w:val="009A59F1"/>
    <w:rsid w:val="009A61E8"/>
    <w:rsid w:val="009B0097"/>
    <w:rsid w:val="009B0850"/>
    <w:rsid w:val="009B0BEC"/>
    <w:rsid w:val="009B1CF3"/>
    <w:rsid w:val="009B1D9D"/>
    <w:rsid w:val="009B226B"/>
    <w:rsid w:val="009B293B"/>
    <w:rsid w:val="009B29F8"/>
    <w:rsid w:val="009B3788"/>
    <w:rsid w:val="009B3A96"/>
    <w:rsid w:val="009B46FE"/>
    <w:rsid w:val="009B4C23"/>
    <w:rsid w:val="009B563F"/>
    <w:rsid w:val="009B566C"/>
    <w:rsid w:val="009B5876"/>
    <w:rsid w:val="009B5ECC"/>
    <w:rsid w:val="009B6145"/>
    <w:rsid w:val="009B6B1B"/>
    <w:rsid w:val="009B7778"/>
    <w:rsid w:val="009B7E14"/>
    <w:rsid w:val="009C0393"/>
    <w:rsid w:val="009C09C1"/>
    <w:rsid w:val="009C106A"/>
    <w:rsid w:val="009C12EA"/>
    <w:rsid w:val="009C17CD"/>
    <w:rsid w:val="009C1C49"/>
    <w:rsid w:val="009C249E"/>
    <w:rsid w:val="009C2910"/>
    <w:rsid w:val="009C2D64"/>
    <w:rsid w:val="009C2F08"/>
    <w:rsid w:val="009C2F34"/>
    <w:rsid w:val="009C32E3"/>
    <w:rsid w:val="009C3FDC"/>
    <w:rsid w:val="009C4AC7"/>
    <w:rsid w:val="009C4C20"/>
    <w:rsid w:val="009C5136"/>
    <w:rsid w:val="009C58EE"/>
    <w:rsid w:val="009C6132"/>
    <w:rsid w:val="009C6933"/>
    <w:rsid w:val="009C6CB7"/>
    <w:rsid w:val="009C6D52"/>
    <w:rsid w:val="009C7179"/>
    <w:rsid w:val="009C7565"/>
    <w:rsid w:val="009C7B28"/>
    <w:rsid w:val="009D04C5"/>
    <w:rsid w:val="009D0ABA"/>
    <w:rsid w:val="009D0FA4"/>
    <w:rsid w:val="009D12B5"/>
    <w:rsid w:val="009D1A14"/>
    <w:rsid w:val="009D220A"/>
    <w:rsid w:val="009D2511"/>
    <w:rsid w:val="009D3136"/>
    <w:rsid w:val="009D3B86"/>
    <w:rsid w:val="009D4429"/>
    <w:rsid w:val="009D49EA"/>
    <w:rsid w:val="009D4A6B"/>
    <w:rsid w:val="009D4D05"/>
    <w:rsid w:val="009D543B"/>
    <w:rsid w:val="009D5C43"/>
    <w:rsid w:val="009D66EF"/>
    <w:rsid w:val="009D6835"/>
    <w:rsid w:val="009D6841"/>
    <w:rsid w:val="009D6AF0"/>
    <w:rsid w:val="009D6E5F"/>
    <w:rsid w:val="009D6E9F"/>
    <w:rsid w:val="009D7372"/>
    <w:rsid w:val="009D7C1F"/>
    <w:rsid w:val="009D7FA5"/>
    <w:rsid w:val="009E0904"/>
    <w:rsid w:val="009E0F82"/>
    <w:rsid w:val="009E211F"/>
    <w:rsid w:val="009E237F"/>
    <w:rsid w:val="009E2471"/>
    <w:rsid w:val="009E2B55"/>
    <w:rsid w:val="009E318C"/>
    <w:rsid w:val="009E39DD"/>
    <w:rsid w:val="009E3C69"/>
    <w:rsid w:val="009E3C6C"/>
    <w:rsid w:val="009E4807"/>
    <w:rsid w:val="009E52D4"/>
    <w:rsid w:val="009E5B99"/>
    <w:rsid w:val="009E5E61"/>
    <w:rsid w:val="009E6859"/>
    <w:rsid w:val="009E6D83"/>
    <w:rsid w:val="009E6E80"/>
    <w:rsid w:val="009E7AE9"/>
    <w:rsid w:val="009E7C44"/>
    <w:rsid w:val="009E7CA9"/>
    <w:rsid w:val="009E7F54"/>
    <w:rsid w:val="009F13D3"/>
    <w:rsid w:val="009F2386"/>
    <w:rsid w:val="009F239D"/>
    <w:rsid w:val="009F2766"/>
    <w:rsid w:val="009F396F"/>
    <w:rsid w:val="009F3CAC"/>
    <w:rsid w:val="009F3CD1"/>
    <w:rsid w:val="009F4478"/>
    <w:rsid w:val="009F4749"/>
    <w:rsid w:val="009F4AC9"/>
    <w:rsid w:val="009F4B83"/>
    <w:rsid w:val="009F4C7C"/>
    <w:rsid w:val="009F513A"/>
    <w:rsid w:val="009F5588"/>
    <w:rsid w:val="009F58CD"/>
    <w:rsid w:val="009F62A3"/>
    <w:rsid w:val="009F656B"/>
    <w:rsid w:val="009F6B45"/>
    <w:rsid w:val="009F6DF0"/>
    <w:rsid w:val="009F7575"/>
    <w:rsid w:val="009F78E8"/>
    <w:rsid w:val="009F7B94"/>
    <w:rsid w:val="009F7CE7"/>
    <w:rsid w:val="00A001FC"/>
    <w:rsid w:val="00A0062D"/>
    <w:rsid w:val="00A0087B"/>
    <w:rsid w:val="00A00B92"/>
    <w:rsid w:val="00A00CAC"/>
    <w:rsid w:val="00A0196D"/>
    <w:rsid w:val="00A01C15"/>
    <w:rsid w:val="00A02513"/>
    <w:rsid w:val="00A02D90"/>
    <w:rsid w:val="00A02F71"/>
    <w:rsid w:val="00A032D9"/>
    <w:rsid w:val="00A03386"/>
    <w:rsid w:val="00A036FB"/>
    <w:rsid w:val="00A03DFC"/>
    <w:rsid w:val="00A04060"/>
    <w:rsid w:val="00A04283"/>
    <w:rsid w:val="00A043DF"/>
    <w:rsid w:val="00A0460E"/>
    <w:rsid w:val="00A052AE"/>
    <w:rsid w:val="00A05587"/>
    <w:rsid w:val="00A05B52"/>
    <w:rsid w:val="00A05FEF"/>
    <w:rsid w:val="00A060C8"/>
    <w:rsid w:val="00A061C2"/>
    <w:rsid w:val="00A0640D"/>
    <w:rsid w:val="00A067C3"/>
    <w:rsid w:val="00A06D24"/>
    <w:rsid w:val="00A07583"/>
    <w:rsid w:val="00A07D78"/>
    <w:rsid w:val="00A10A49"/>
    <w:rsid w:val="00A10D2D"/>
    <w:rsid w:val="00A10F6F"/>
    <w:rsid w:val="00A111A8"/>
    <w:rsid w:val="00A116FF"/>
    <w:rsid w:val="00A117F6"/>
    <w:rsid w:val="00A1226F"/>
    <w:rsid w:val="00A12860"/>
    <w:rsid w:val="00A12FB4"/>
    <w:rsid w:val="00A1495B"/>
    <w:rsid w:val="00A14A2E"/>
    <w:rsid w:val="00A14ECE"/>
    <w:rsid w:val="00A14FB1"/>
    <w:rsid w:val="00A14FD6"/>
    <w:rsid w:val="00A152E8"/>
    <w:rsid w:val="00A15334"/>
    <w:rsid w:val="00A171C0"/>
    <w:rsid w:val="00A17C86"/>
    <w:rsid w:val="00A17EE6"/>
    <w:rsid w:val="00A201D1"/>
    <w:rsid w:val="00A204EE"/>
    <w:rsid w:val="00A2061B"/>
    <w:rsid w:val="00A20E14"/>
    <w:rsid w:val="00A2182E"/>
    <w:rsid w:val="00A22705"/>
    <w:rsid w:val="00A22735"/>
    <w:rsid w:val="00A22AA8"/>
    <w:rsid w:val="00A22AA9"/>
    <w:rsid w:val="00A22DC1"/>
    <w:rsid w:val="00A23229"/>
    <w:rsid w:val="00A23ACB"/>
    <w:rsid w:val="00A240C7"/>
    <w:rsid w:val="00A248FD"/>
    <w:rsid w:val="00A24D6A"/>
    <w:rsid w:val="00A250E2"/>
    <w:rsid w:val="00A2516E"/>
    <w:rsid w:val="00A2699B"/>
    <w:rsid w:val="00A27331"/>
    <w:rsid w:val="00A27351"/>
    <w:rsid w:val="00A27736"/>
    <w:rsid w:val="00A2782B"/>
    <w:rsid w:val="00A27A09"/>
    <w:rsid w:val="00A27CFB"/>
    <w:rsid w:val="00A30B88"/>
    <w:rsid w:val="00A31092"/>
    <w:rsid w:val="00A318E3"/>
    <w:rsid w:val="00A319C9"/>
    <w:rsid w:val="00A31A2C"/>
    <w:rsid w:val="00A322EC"/>
    <w:rsid w:val="00A3285E"/>
    <w:rsid w:val="00A3337D"/>
    <w:rsid w:val="00A33897"/>
    <w:rsid w:val="00A3426E"/>
    <w:rsid w:val="00A345FF"/>
    <w:rsid w:val="00A34E92"/>
    <w:rsid w:val="00A358B9"/>
    <w:rsid w:val="00A35A04"/>
    <w:rsid w:val="00A35A77"/>
    <w:rsid w:val="00A35AE4"/>
    <w:rsid w:val="00A35E1C"/>
    <w:rsid w:val="00A36237"/>
    <w:rsid w:val="00A3672F"/>
    <w:rsid w:val="00A36BCC"/>
    <w:rsid w:val="00A370E2"/>
    <w:rsid w:val="00A37C0E"/>
    <w:rsid w:val="00A402A2"/>
    <w:rsid w:val="00A4041A"/>
    <w:rsid w:val="00A40529"/>
    <w:rsid w:val="00A4173C"/>
    <w:rsid w:val="00A41CBA"/>
    <w:rsid w:val="00A42A24"/>
    <w:rsid w:val="00A42EDE"/>
    <w:rsid w:val="00A44234"/>
    <w:rsid w:val="00A4596F"/>
    <w:rsid w:val="00A45B79"/>
    <w:rsid w:val="00A45E07"/>
    <w:rsid w:val="00A462E7"/>
    <w:rsid w:val="00A46C50"/>
    <w:rsid w:val="00A46FC3"/>
    <w:rsid w:val="00A47A75"/>
    <w:rsid w:val="00A47F33"/>
    <w:rsid w:val="00A50B4C"/>
    <w:rsid w:val="00A5112F"/>
    <w:rsid w:val="00A5142B"/>
    <w:rsid w:val="00A517DF"/>
    <w:rsid w:val="00A52B8E"/>
    <w:rsid w:val="00A532F9"/>
    <w:rsid w:val="00A53CFA"/>
    <w:rsid w:val="00A53D76"/>
    <w:rsid w:val="00A54A8F"/>
    <w:rsid w:val="00A55163"/>
    <w:rsid w:val="00A551BB"/>
    <w:rsid w:val="00A5533D"/>
    <w:rsid w:val="00A55A10"/>
    <w:rsid w:val="00A55D0C"/>
    <w:rsid w:val="00A56553"/>
    <w:rsid w:val="00A56902"/>
    <w:rsid w:val="00A56DD2"/>
    <w:rsid w:val="00A574D3"/>
    <w:rsid w:val="00A578A3"/>
    <w:rsid w:val="00A57CF8"/>
    <w:rsid w:val="00A60246"/>
    <w:rsid w:val="00A602C8"/>
    <w:rsid w:val="00A60C42"/>
    <w:rsid w:val="00A60E76"/>
    <w:rsid w:val="00A6296E"/>
    <w:rsid w:val="00A62A15"/>
    <w:rsid w:val="00A62A72"/>
    <w:rsid w:val="00A630BD"/>
    <w:rsid w:val="00A635A3"/>
    <w:rsid w:val="00A641C9"/>
    <w:rsid w:val="00A648C5"/>
    <w:rsid w:val="00A6495A"/>
    <w:rsid w:val="00A6542A"/>
    <w:rsid w:val="00A65676"/>
    <w:rsid w:val="00A65B12"/>
    <w:rsid w:val="00A65B83"/>
    <w:rsid w:val="00A66C07"/>
    <w:rsid w:val="00A67024"/>
    <w:rsid w:val="00A67D69"/>
    <w:rsid w:val="00A67EBD"/>
    <w:rsid w:val="00A7055A"/>
    <w:rsid w:val="00A7096D"/>
    <w:rsid w:val="00A70EB0"/>
    <w:rsid w:val="00A718B5"/>
    <w:rsid w:val="00A71910"/>
    <w:rsid w:val="00A71D41"/>
    <w:rsid w:val="00A72214"/>
    <w:rsid w:val="00A7240A"/>
    <w:rsid w:val="00A72756"/>
    <w:rsid w:val="00A729EC"/>
    <w:rsid w:val="00A7302D"/>
    <w:rsid w:val="00A73030"/>
    <w:rsid w:val="00A738E8"/>
    <w:rsid w:val="00A73A05"/>
    <w:rsid w:val="00A73AFE"/>
    <w:rsid w:val="00A73EC2"/>
    <w:rsid w:val="00A7485B"/>
    <w:rsid w:val="00A748CB"/>
    <w:rsid w:val="00A74C5C"/>
    <w:rsid w:val="00A75101"/>
    <w:rsid w:val="00A755BE"/>
    <w:rsid w:val="00A7683A"/>
    <w:rsid w:val="00A76ACA"/>
    <w:rsid w:val="00A76BD2"/>
    <w:rsid w:val="00A77795"/>
    <w:rsid w:val="00A80670"/>
    <w:rsid w:val="00A806D8"/>
    <w:rsid w:val="00A80C17"/>
    <w:rsid w:val="00A8123E"/>
    <w:rsid w:val="00A82244"/>
    <w:rsid w:val="00A83272"/>
    <w:rsid w:val="00A835BD"/>
    <w:rsid w:val="00A83782"/>
    <w:rsid w:val="00A83DBA"/>
    <w:rsid w:val="00A83F8C"/>
    <w:rsid w:val="00A853BB"/>
    <w:rsid w:val="00A85B20"/>
    <w:rsid w:val="00A85C2F"/>
    <w:rsid w:val="00A86065"/>
    <w:rsid w:val="00A86311"/>
    <w:rsid w:val="00A86868"/>
    <w:rsid w:val="00A86CD7"/>
    <w:rsid w:val="00A87345"/>
    <w:rsid w:val="00A8769C"/>
    <w:rsid w:val="00A87A49"/>
    <w:rsid w:val="00A87CA2"/>
    <w:rsid w:val="00A87F87"/>
    <w:rsid w:val="00A87FCC"/>
    <w:rsid w:val="00A904F3"/>
    <w:rsid w:val="00A9069B"/>
    <w:rsid w:val="00A90922"/>
    <w:rsid w:val="00A91D0A"/>
    <w:rsid w:val="00A91E6F"/>
    <w:rsid w:val="00A92E2E"/>
    <w:rsid w:val="00A93250"/>
    <w:rsid w:val="00A93A37"/>
    <w:rsid w:val="00A950E6"/>
    <w:rsid w:val="00A95A5D"/>
    <w:rsid w:val="00A95D5A"/>
    <w:rsid w:val="00A96152"/>
    <w:rsid w:val="00A96BDF"/>
    <w:rsid w:val="00A970D9"/>
    <w:rsid w:val="00A97322"/>
    <w:rsid w:val="00AA04B0"/>
    <w:rsid w:val="00AA0973"/>
    <w:rsid w:val="00AA0AD9"/>
    <w:rsid w:val="00AA0C5D"/>
    <w:rsid w:val="00AA0CA3"/>
    <w:rsid w:val="00AA1B1A"/>
    <w:rsid w:val="00AA26E2"/>
    <w:rsid w:val="00AA4084"/>
    <w:rsid w:val="00AA46CA"/>
    <w:rsid w:val="00AA4A42"/>
    <w:rsid w:val="00AA5C1D"/>
    <w:rsid w:val="00AA66F2"/>
    <w:rsid w:val="00AA6734"/>
    <w:rsid w:val="00AA716D"/>
    <w:rsid w:val="00AA7843"/>
    <w:rsid w:val="00AB0173"/>
    <w:rsid w:val="00AB01C5"/>
    <w:rsid w:val="00AB0480"/>
    <w:rsid w:val="00AB06AC"/>
    <w:rsid w:val="00AB0DE6"/>
    <w:rsid w:val="00AB2F1E"/>
    <w:rsid w:val="00AB3015"/>
    <w:rsid w:val="00AB32E9"/>
    <w:rsid w:val="00AB341D"/>
    <w:rsid w:val="00AB34E4"/>
    <w:rsid w:val="00AB4061"/>
    <w:rsid w:val="00AB40D1"/>
    <w:rsid w:val="00AB51F4"/>
    <w:rsid w:val="00AB5331"/>
    <w:rsid w:val="00AB53CA"/>
    <w:rsid w:val="00AB6692"/>
    <w:rsid w:val="00AB6833"/>
    <w:rsid w:val="00AB6E16"/>
    <w:rsid w:val="00AB6E9A"/>
    <w:rsid w:val="00AB734A"/>
    <w:rsid w:val="00AB7517"/>
    <w:rsid w:val="00AB77CA"/>
    <w:rsid w:val="00AB797B"/>
    <w:rsid w:val="00AB7A76"/>
    <w:rsid w:val="00AB7F0B"/>
    <w:rsid w:val="00AC0370"/>
    <w:rsid w:val="00AC097B"/>
    <w:rsid w:val="00AC12A2"/>
    <w:rsid w:val="00AC1554"/>
    <w:rsid w:val="00AC1BC7"/>
    <w:rsid w:val="00AC1C9F"/>
    <w:rsid w:val="00AC1E01"/>
    <w:rsid w:val="00AC2063"/>
    <w:rsid w:val="00AC264F"/>
    <w:rsid w:val="00AC31BC"/>
    <w:rsid w:val="00AC3896"/>
    <w:rsid w:val="00AC3F29"/>
    <w:rsid w:val="00AC47D7"/>
    <w:rsid w:val="00AC4CD2"/>
    <w:rsid w:val="00AC4D03"/>
    <w:rsid w:val="00AC6018"/>
    <w:rsid w:val="00AC7238"/>
    <w:rsid w:val="00AD0A3C"/>
    <w:rsid w:val="00AD1D0E"/>
    <w:rsid w:val="00AD2B46"/>
    <w:rsid w:val="00AD3043"/>
    <w:rsid w:val="00AD4282"/>
    <w:rsid w:val="00AD43B2"/>
    <w:rsid w:val="00AD4894"/>
    <w:rsid w:val="00AD4ADD"/>
    <w:rsid w:val="00AD526C"/>
    <w:rsid w:val="00AD57E5"/>
    <w:rsid w:val="00AD5DC0"/>
    <w:rsid w:val="00AD5EEA"/>
    <w:rsid w:val="00AD60C1"/>
    <w:rsid w:val="00AD651B"/>
    <w:rsid w:val="00AD75B7"/>
    <w:rsid w:val="00AD7CA9"/>
    <w:rsid w:val="00AD7E96"/>
    <w:rsid w:val="00AE018E"/>
    <w:rsid w:val="00AE0E0B"/>
    <w:rsid w:val="00AE13BF"/>
    <w:rsid w:val="00AE1FA8"/>
    <w:rsid w:val="00AE20A7"/>
    <w:rsid w:val="00AE2433"/>
    <w:rsid w:val="00AE2663"/>
    <w:rsid w:val="00AE2B78"/>
    <w:rsid w:val="00AE43B0"/>
    <w:rsid w:val="00AE5D89"/>
    <w:rsid w:val="00AE6003"/>
    <w:rsid w:val="00AE65D4"/>
    <w:rsid w:val="00AE7364"/>
    <w:rsid w:val="00AE745C"/>
    <w:rsid w:val="00AE7DE3"/>
    <w:rsid w:val="00AE7F2C"/>
    <w:rsid w:val="00AF054E"/>
    <w:rsid w:val="00AF067E"/>
    <w:rsid w:val="00AF190A"/>
    <w:rsid w:val="00AF1FE3"/>
    <w:rsid w:val="00AF255B"/>
    <w:rsid w:val="00AF2E05"/>
    <w:rsid w:val="00AF2F5E"/>
    <w:rsid w:val="00AF34AC"/>
    <w:rsid w:val="00AF4081"/>
    <w:rsid w:val="00AF49D2"/>
    <w:rsid w:val="00AF4A18"/>
    <w:rsid w:val="00AF4A25"/>
    <w:rsid w:val="00AF4B6B"/>
    <w:rsid w:val="00AF4C7C"/>
    <w:rsid w:val="00AF5052"/>
    <w:rsid w:val="00AF58C9"/>
    <w:rsid w:val="00AF5A09"/>
    <w:rsid w:val="00AF603E"/>
    <w:rsid w:val="00AF6075"/>
    <w:rsid w:val="00AF695E"/>
    <w:rsid w:val="00AF6B80"/>
    <w:rsid w:val="00AF7805"/>
    <w:rsid w:val="00AF7C37"/>
    <w:rsid w:val="00B007AF"/>
    <w:rsid w:val="00B00A06"/>
    <w:rsid w:val="00B00B79"/>
    <w:rsid w:val="00B0149B"/>
    <w:rsid w:val="00B01B71"/>
    <w:rsid w:val="00B01BE1"/>
    <w:rsid w:val="00B0256B"/>
    <w:rsid w:val="00B02B8A"/>
    <w:rsid w:val="00B03290"/>
    <w:rsid w:val="00B034D2"/>
    <w:rsid w:val="00B050AC"/>
    <w:rsid w:val="00B05E22"/>
    <w:rsid w:val="00B060BF"/>
    <w:rsid w:val="00B066BF"/>
    <w:rsid w:val="00B06717"/>
    <w:rsid w:val="00B06ECC"/>
    <w:rsid w:val="00B076F5"/>
    <w:rsid w:val="00B078DD"/>
    <w:rsid w:val="00B07916"/>
    <w:rsid w:val="00B07BEF"/>
    <w:rsid w:val="00B07EF7"/>
    <w:rsid w:val="00B1006E"/>
    <w:rsid w:val="00B10671"/>
    <w:rsid w:val="00B10AEB"/>
    <w:rsid w:val="00B10BED"/>
    <w:rsid w:val="00B10C0B"/>
    <w:rsid w:val="00B1131D"/>
    <w:rsid w:val="00B11420"/>
    <w:rsid w:val="00B11BFE"/>
    <w:rsid w:val="00B11C9D"/>
    <w:rsid w:val="00B11DD2"/>
    <w:rsid w:val="00B12049"/>
    <w:rsid w:val="00B12363"/>
    <w:rsid w:val="00B131D0"/>
    <w:rsid w:val="00B1331B"/>
    <w:rsid w:val="00B1460D"/>
    <w:rsid w:val="00B14717"/>
    <w:rsid w:val="00B151DD"/>
    <w:rsid w:val="00B15296"/>
    <w:rsid w:val="00B15C15"/>
    <w:rsid w:val="00B15CA7"/>
    <w:rsid w:val="00B1618C"/>
    <w:rsid w:val="00B16346"/>
    <w:rsid w:val="00B16527"/>
    <w:rsid w:val="00B1700D"/>
    <w:rsid w:val="00B177CF"/>
    <w:rsid w:val="00B20091"/>
    <w:rsid w:val="00B201DF"/>
    <w:rsid w:val="00B20C91"/>
    <w:rsid w:val="00B20E3D"/>
    <w:rsid w:val="00B21B68"/>
    <w:rsid w:val="00B21C4C"/>
    <w:rsid w:val="00B22D0B"/>
    <w:rsid w:val="00B2312F"/>
    <w:rsid w:val="00B23721"/>
    <w:rsid w:val="00B250F5"/>
    <w:rsid w:val="00B254E6"/>
    <w:rsid w:val="00B25BF1"/>
    <w:rsid w:val="00B25D33"/>
    <w:rsid w:val="00B25E6F"/>
    <w:rsid w:val="00B278FD"/>
    <w:rsid w:val="00B30AE9"/>
    <w:rsid w:val="00B311CA"/>
    <w:rsid w:val="00B3127D"/>
    <w:rsid w:val="00B31CB2"/>
    <w:rsid w:val="00B32631"/>
    <w:rsid w:val="00B336A2"/>
    <w:rsid w:val="00B337D2"/>
    <w:rsid w:val="00B344F0"/>
    <w:rsid w:val="00B34BAC"/>
    <w:rsid w:val="00B34DB7"/>
    <w:rsid w:val="00B35BCE"/>
    <w:rsid w:val="00B3623F"/>
    <w:rsid w:val="00B363B3"/>
    <w:rsid w:val="00B36400"/>
    <w:rsid w:val="00B37C45"/>
    <w:rsid w:val="00B404A9"/>
    <w:rsid w:val="00B41215"/>
    <w:rsid w:val="00B4169B"/>
    <w:rsid w:val="00B43248"/>
    <w:rsid w:val="00B45D2A"/>
    <w:rsid w:val="00B45F0C"/>
    <w:rsid w:val="00B465EB"/>
    <w:rsid w:val="00B468D4"/>
    <w:rsid w:val="00B46981"/>
    <w:rsid w:val="00B46A9A"/>
    <w:rsid w:val="00B47020"/>
    <w:rsid w:val="00B47E7D"/>
    <w:rsid w:val="00B502AA"/>
    <w:rsid w:val="00B5057C"/>
    <w:rsid w:val="00B50890"/>
    <w:rsid w:val="00B51639"/>
    <w:rsid w:val="00B5172C"/>
    <w:rsid w:val="00B51DDA"/>
    <w:rsid w:val="00B51E8E"/>
    <w:rsid w:val="00B51F0A"/>
    <w:rsid w:val="00B5211F"/>
    <w:rsid w:val="00B52BEB"/>
    <w:rsid w:val="00B52DB8"/>
    <w:rsid w:val="00B53D83"/>
    <w:rsid w:val="00B54707"/>
    <w:rsid w:val="00B54ED2"/>
    <w:rsid w:val="00B551A9"/>
    <w:rsid w:val="00B552A7"/>
    <w:rsid w:val="00B558F6"/>
    <w:rsid w:val="00B564D6"/>
    <w:rsid w:val="00B569B8"/>
    <w:rsid w:val="00B56F46"/>
    <w:rsid w:val="00B5750E"/>
    <w:rsid w:val="00B610A4"/>
    <w:rsid w:val="00B611B9"/>
    <w:rsid w:val="00B61334"/>
    <w:rsid w:val="00B626B9"/>
    <w:rsid w:val="00B62FFB"/>
    <w:rsid w:val="00B6333F"/>
    <w:rsid w:val="00B6363D"/>
    <w:rsid w:val="00B6403C"/>
    <w:rsid w:val="00B643EE"/>
    <w:rsid w:val="00B65380"/>
    <w:rsid w:val="00B66495"/>
    <w:rsid w:val="00B668FD"/>
    <w:rsid w:val="00B66C5A"/>
    <w:rsid w:val="00B66ECA"/>
    <w:rsid w:val="00B672BF"/>
    <w:rsid w:val="00B67D66"/>
    <w:rsid w:val="00B70ADD"/>
    <w:rsid w:val="00B71436"/>
    <w:rsid w:val="00B71849"/>
    <w:rsid w:val="00B72C15"/>
    <w:rsid w:val="00B72C7A"/>
    <w:rsid w:val="00B73909"/>
    <w:rsid w:val="00B73971"/>
    <w:rsid w:val="00B73D66"/>
    <w:rsid w:val="00B74B0C"/>
    <w:rsid w:val="00B750C9"/>
    <w:rsid w:val="00B75B67"/>
    <w:rsid w:val="00B76369"/>
    <w:rsid w:val="00B76392"/>
    <w:rsid w:val="00B763E5"/>
    <w:rsid w:val="00B76A5B"/>
    <w:rsid w:val="00B76F2E"/>
    <w:rsid w:val="00B76F73"/>
    <w:rsid w:val="00B7754B"/>
    <w:rsid w:val="00B807F0"/>
    <w:rsid w:val="00B81461"/>
    <w:rsid w:val="00B8160B"/>
    <w:rsid w:val="00B8176B"/>
    <w:rsid w:val="00B81A5B"/>
    <w:rsid w:val="00B82216"/>
    <w:rsid w:val="00B823AA"/>
    <w:rsid w:val="00B82489"/>
    <w:rsid w:val="00B827FF"/>
    <w:rsid w:val="00B829E3"/>
    <w:rsid w:val="00B82B21"/>
    <w:rsid w:val="00B82EE8"/>
    <w:rsid w:val="00B83A11"/>
    <w:rsid w:val="00B83A31"/>
    <w:rsid w:val="00B8402F"/>
    <w:rsid w:val="00B8454F"/>
    <w:rsid w:val="00B85337"/>
    <w:rsid w:val="00B854AC"/>
    <w:rsid w:val="00B85B21"/>
    <w:rsid w:val="00B85EC9"/>
    <w:rsid w:val="00B85F42"/>
    <w:rsid w:val="00B861A2"/>
    <w:rsid w:val="00B86353"/>
    <w:rsid w:val="00B866B0"/>
    <w:rsid w:val="00B8692F"/>
    <w:rsid w:val="00B869EE"/>
    <w:rsid w:val="00B87280"/>
    <w:rsid w:val="00B87C7A"/>
    <w:rsid w:val="00B90171"/>
    <w:rsid w:val="00B90220"/>
    <w:rsid w:val="00B909CD"/>
    <w:rsid w:val="00B91656"/>
    <w:rsid w:val="00B91D20"/>
    <w:rsid w:val="00B91ECF"/>
    <w:rsid w:val="00B92408"/>
    <w:rsid w:val="00B9279B"/>
    <w:rsid w:val="00B928BD"/>
    <w:rsid w:val="00B929E6"/>
    <w:rsid w:val="00B92F36"/>
    <w:rsid w:val="00B93F42"/>
    <w:rsid w:val="00B94FE9"/>
    <w:rsid w:val="00B94FF3"/>
    <w:rsid w:val="00B95078"/>
    <w:rsid w:val="00B95215"/>
    <w:rsid w:val="00B95C2E"/>
    <w:rsid w:val="00B95C32"/>
    <w:rsid w:val="00B95D15"/>
    <w:rsid w:val="00B96102"/>
    <w:rsid w:val="00B961D5"/>
    <w:rsid w:val="00B96210"/>
    <w:rsid w:val="00B96E7D"/>
    <w:rsid w:val="00B96F36"/>
    <w:rsid w:val="00B97106"/>
    <w:rsid w:val="00B975EA"/>
    <w:rsid w:val="00B979FF"/>
    <w:rsid w:val="00B97C2C"/>
    <w:rsid w:val="00B97C7E"/>
    <w:rsid w:val="00BA01F3"/>
    <w:rsid w:val="00BA0432"/>
    <w:rsid w:val="00BA065D"/>
    <w:rsid w:val="00BA117B"/>
    <w:rsid w:val="00BA1365"/>
    <w:rsid w:val="00BA20DB"/>
    <w:rsid w:val="00BA2D08"/>
    <w:rsid w:val="00BA30C1"/>
    <w:rsid w:val="00BA36BB"/>
    <w:rsid w:val="00BA47C6"/>
    <w:rsid w:val="00BA6274"/>
    <w:rsid w:val="00BA6759"/>
    <w:rsid w:val="00BA6A30"/>
    <w:rsid w:val="00BA6B45"/>
    <w:rsid w:val="00BA716C"/>
    <w:rsid w:val="00BA7673"/>
    <w:rsid w:val="00BA7AF7"/>
    <w:rsid w:val="00BA7E02"/>
    <w:rsid w:val="00BA7E12"/>
    <w:rsid w:val="00BB0493"/>
    <w:rsid w:val="00BB078D"/>
    <w:rsid w:val="00BB0973"/>
    <w:rsid w:val="00BB120C"/>
    <w:rsid w:val="00BB13BC"/>
    <w:rsid w:val="00BB1901"/>
    <w:rsid w:val="00BB1D37"/>
    <w:rsid w:val="00BB1FD6"/>
    <w:rsid w:val="00BB21C2"/>
    <w:rsid w:val="00BB2351"/>
    <w:rsid w:val="00BB26B9"/>
    <w:rsid w:val="00BB4AF2"/>
    <w:rsid w:val="00BB4B0F"/>
    <w:rsid w:val="00BB5058"/>
    <w:rsid w:val="00BB50A2"/>
    <w:rsid w:val="00BB5110"/>
    <w:rsid w:val="00BB5605"/>
    <w:rsid w:val="00BB639E"/>
    <w:rsid w:val="00BB7117"/>
    <w:rsid w:val="00BB7184"/>
    <w:rsid w:val="00BB75B2"/>
    <w:rsid w:val="00BB7A6A"/>
    <w:rsid w:val="00BC04B8"/>
    <w:rsid w:val="00BC075A"/>
    <w:rsid w:val="00BC0B5F"/>
    <w:rsid w:val="00BC0F3C"/>
    <w:rsid w:val="00BC1558"/>
    <w:rsid w:val="00BC407E"/>
    <w:rsid w:val="00BC563D"/>
    <w:rsid w:val="00BC59B2"/>
    <w:rsid w:val="00BC5D2B"/>
    <w:rsid w:val="00BC64D8"/>
    <w:rsid w:val="00BC68CC"/>
    <w:rsid w:val="00BC7564"/>
    <w:rsid w:val="00BC75B6"/>
    <w:rsid w:val="00BC7C0E"/>
    <w:rsid w:val="00BC7C6E"/>
    <w:rsid w:val="00BD120D"/>
    <w:rsid w:val="00BD141E"/>
    <w:rsid w:val="00BD14D3"/>
    <w:rsid w:val="00BD2023"/>
    <w:rsid w:val="00BD2B7E"/>
    <w:rsid w:val="00BD3028"/>
    <w:rsid w:val="00BD4442"/>
    <w:rsid w:val="00BD4E95"/>
    <w:rsid w:val="00BD503F"/>
    <w:rsid w:val="00BD58F2"/>
    <w:rsid w:val="00BD5C5E"/>
    <w:rsid w:val="00BD5DF7"/>
    <w:rsid w:val="00BD6405"/>
    <w:rsid w:val="00BD6698"/>
    <w:rsid w:val="00BD7872"/>
    <w:rsid w:val="00BD7BFB"/>
    <w:rsid w:val="00BE005C"/>
    <w:rsid w:val="00BE0193"/>
    <w:rsid w:val="00BE086E"/>
    <w:rsid w:val="00BE0A29"/>
    <w:rsid w:val="00BE0AB2"/>
    <w:rsid w:val="00BE0DA8"/>
    <w:rsid w:val="00BE2843"/>
    <w:rsid w:val="00BE293B"/>
    <w:rsid w:val="00BE32C6"/>
    <w:rsid w:val="00BE331E"/>
    <w:rsid w:val="00BE3750"/>
    <w:rsid w:val="00BE3F10"/>
    <w:rsid w:val="00BE5D77"/>
    <w:rsid w:val="00BE5F5D"/>
    <w:rsid w:val="00BE5F8D"/>
    <w:rsid w:val="00BE7259"/>
    <w:rsid w:val="00BE7F4F"/>
    <w:rsid w:val="00BF010E"/>
    <w:rsid w:val="00BF0210"/>
    <w:rsid w:val="00BF07D5"/>
    <w:rsid w:val="00BF13C7"/>
    <w:rsid w:val="00BF1608"/>
    <w:rsid w:val="00BF1C31"/>
    <w:rsid w:val="00BF22E9"/>
    <w:rsid w:val="00BF268E"/>
    <w:rsid w:val="00BF32C4"/>
    <w:rsid w:val="00BF353C"/>
    <w:rsid w:val="00BF38B6"/>
    <w:rsid w:val="00BF40E4"/>
    <w:rsid w:val="00BF413F"/>
    <w:rsid w:val="00BF4C7F"/>
    <w:rsid w:val="00BF4E60"/>
    <w:rsid w:val="00BF547B"/>
    <w:rsid w:val="00BF680C"/>
    <w:rsid w:val="00BF7053"/>
    <w:rsid w:val="00BF7089"/>
    <w:rsid w:val="00BF786A"/>
    <w:rsid w:val="00C00D86"/>
    <w:rsid w:val="00C01CD3"/>
    <w:rsid w:val="00C02198"/>
    <w:rsid w:val="00C02587"/>
    <w:rsid w:val="00C02E59"/>
    <w:rsid w:val="00C02EAE"/>
    <w:rsid w:val="00C02FE9"/>
    <w:rsid w:val="00C03AED"/>
    <w:rsid w:val="00C0429F"/>
    <w:rsid w:val="00C0493F"/>
    <w:rsid w:val="00C05176"/>
    <w:rsid w:val="00C05262"/>
    <w:rsid w:val="00C0545F"/>
    <w:rsid w:val="00C06234"/>
    <w:rsid w:val="00C06247"/>
    <w:rsid w:val="00C06490"/>
    <w:rsid w:val="00C065AA"/>
    <w:rsid w:val="00C07047"/>
    <w:rsid w:val="00C07D84"/>
    <w:rsid w:val="00C07FD7"/>
    <w:rsid w:val="00C10302"/>
    <w:rsid w:val="00C104AC"/>
    <w:rsid w:val="00C106B9"/>
    <w:rsid w:val="00C11055"/>
    <w:rsid w:val="00C11273"/>
    <w:rsid w:val="00C11964"/>
    <w:rsid w:val="00C11BDC"/>
    <w:rsid w:val="00C11EE5"/>
    <w:rsid w:val="00C125BD"/>
    <w:rsid w:val="00C137B4"/>
    <w:rsid w:val="00C1398D"/>
    <w:rsid w:val="00C13D61"/>
    <w:rsid w:val="00C1450C"/>
    <w:rsid w:val="00C150C5"/>
    <w:rsid w:val="00C15BD4"/>
    <w:rsid w:val="00C15DA9"/>
    <w:rsid w:val="00C1676A"/>
    <w:rsid w:val="00C167AC"/>
    <w:rsid w:val="00C16BC5"/>
    <w:rsid w:val="00C17D83"/>
    <w:rsid w:val="00C17F73"/>
    <w:rsid w:val="00C20085"/>
    <w:rsid w:val="00C20BBD"/>
    <w:rsid w:val="00C2163C"/>
    <w:rsid w:val="00C21A1E"/>
    <w:rsid w:val="00C21CDB"/>
    <w:rsid w:val="00C227AC"/>
    <w:rsid w:val="00C22DBD"/>
    <w:rsid w:val="00C22E91"/>
    <w:rsid w:val="00C22FF8"/>
    <w:rsid w:val="00C2336B"/>
    <w:rsid w:val="00C23498"/>
    <w:rsid w:val="00C252DB"/>
    <w:rsid w:val="00C253E7"/>
    <w:rsid w:val="00C2553D"/>
    <w:rsid w:val="00C25A50"/>
    <w:rsid w:val="00C25E58"/>
    <w:rsid w:val="00C263F6"/>
    <w:rsid w:val="00C26923"/>
    <w:rsid w:val="00C26AC1"/>
    <w:rsid w:val="00C27294"/>
    <w:rsid w:val="00C2761F"/>
    <w:rsid w:val="00C2773B"/>
    <w:rsid w:val="00C30219"/>
    <w:rsid w:val="00C3198A"/>
    <w:rsid w:val="00C31BCE"/>
    <w:rsid w:val="00C32113"/>
    <w:rsid w:val="00C32828"/>
    <w:rsid w:val="00C32A91"/>
    <w:rsid w:val="00C32AE6"/>
    <w:rsid w:val="00C32E0D"/>
    <w:rsid w:val="00C33E61"/>
    <w:rsid w:val="00C3423A"/>
    <w:rsid w:val="00C34372"/>
    <w:rsid w:val="00C352CD"/>
    <w:rsid w:val="00C35308"/>
    <w:rsid w:val="00C3568A"/>
    <w:rsid w:val="00C356F8"/>
    <w:rsid w:val="00C35887"/>
    <w:rsid w:val="00C35B50"/>
    <w:rsid w:val="00C35D27"/>
    <w:rsid w:val="00C3607A"/>
    <w:rsid w:val="00C36080"/>
    <w:rsid w:val="00C3620A"/>
    <w:rsid w:val="00C362FB"/>
    <w:rsid w:val="00C367DA"/>
    <w:rsid w:val="00C370A1"/>
    <w:rsid w:val="00C37535"/>
    <w:rsid w:val="00C379D7"/>
    <w:rsid w:val="00C37F33"/>
    <w:rsid w:val="00C37F60"/>
    <w:rsid w:val="00C407D1"/>
    <w:rsid w:val="00C40C40"/>
    <w:rsid w:val="00C40D5A"/>
    <w:rsid w:val="00C411CF"/>
    <w:rsid w:val="00C412B5"/>
    <w:rsid w:val="00C41716"/>
    <w:rsid w:val="00C41A83"/>
    <w:rsid w:val="00C41EF2"/>
    <w:rsid w:val="00C41F73"/>
    <w:rsid w:val="00C4241B"/>
    <w:rsid w:val="00C42A1A"/>
    <w:rsid w:val="00C42D02"/>
    <w:rsid w:val="00C42E25"/>
    <w:rsid w:val="00C42E9E"/>
    <w:rsid w:val="00C437E0"/>
    <w:rsid w:val="00C43DF5"/>
    <w:rsid w:val="00C44344"/>
    <w:rsid w:val="00C44C62"/>
    <w:rsid w:val="00C451CD"/>
    <w:rsid w:val="00C45F92"/>
    <w:rsid w:val="00C4671F"/>
    <w:rsid w:val="00C468B5"/>
    <w:rsid w:val="00C468EC"/>
    <w:rsid w:val="00C47663"/>
    <w:rsid w:val="00C47C57"/>
    <w:rsid w:val="00C47D1D"/>
    <w:rsid w:val="00C512D6"/>
    <w:rsid w:val="00C5146B"/>
    <w:rsid w:val="00C52375"/>
    <w:rsid w:val="00C52CE5"/>
    <w:rsid w:val="00C5379C"/>
    <w:rsid w:val="00C53974"/>
    <w:rsid w:val="00C53D09"/>
    <w:rsid w:val="00C5429D"/>
    <w:rsid w:val="00C54467"/>
    <w:rsid w:val="00C54F74"/>
    <w:rsid w:val="00C55D6B"/>
    <w:rsid w:val="00C56364"/>
    <w:rsid w:val="00C56DC8"/>
    <w:rsid w:val="00C56F9F"/>
    <w:rsid w:val="00C57786"/>
    <w:rsid w:val="00C57857"/>
    <w:rsid w:val="00C57F5C"/>
    <w:rsid w:val="00C60742"/>
    <w:rsid w:val="00C60E79"/>
    <w:rsid w:val="00C62294"/>
    <w:rsid w:val="00C624C8"/>
    <w:rsid w:val="00C634BD"/>
    <w:rsid w:val="00C635E1"/>
    <w:rsid w:val="00C63AA9"/>
    <w:rsid w:val="00C6404F"/>
    <w:rsid w:val="00C64519"/>
    <w:rsid w:val="00C646F3"/>
    <w:rsid w:val="00C64F09"/>
    <w:rsid w:val="00C64F0A"/>
    <w:rsid w:val="00C65E97"/>
    <w:rsid w:val="00C66552"/>
    <w:rsid w:val="00C66612"/>
    <w:rsid w:val="00C66B37"/>
    <w:rsid w:val="00C6758B"/>
    <w:rsid w:val="00C6793B"/>
    <w:rsid w:val="00C70360"/>
    <w:rsid w:val="00C705AD"/>
    <w:rsid w:val="00C70D07"/>
    <w:rsid w:val="00C70DA4"/>
    <w:rsid w:val="00C71038"/>
    <w:rsid w:val="00C71DDF"/>
    <w:rsid w:val="00C72912"/>
    <w:rsid w:val="00C72B0D"/>
    <w:rsid w:val="00C737FE"/>
    <w:rsid w:val="00C73950"/>
    <w:rsid w:val="00C745BF"/>
    <w:rsid w:val="00C74874"/>
    <w:rsid w:val="00C75164"/>
    <w:rsid w:val="00C75A21"/>
    <w:rsid w:val="00C760E8"/>
    <w:rsid w:val="00C76169"/>
    <w:rsid w:val="00C7660A"/>
    <w:rsid w:val="00C7725B"/>
    <w:rsid w:val="00C77330"/>
    <w:rsid w:val="00C80E69"/>
    <w:rsid w:val="00C81301"/>
    <w:rsid w:val="00C81ACA"/>
    <w:rsid w:val="00C82C6D"/>
    <w:rsid w:val="00C82F44"/>
    <w:rsid w:val="00C843B1"/>
    <w:rsid w:val="00C849CD"/>
    <w:rsid w:val="00C84B7B"/>
    <w:rsid w:val="00C84EFD"/>
    <w:rsid w:val="00C85289"/>
    <w:rsid w:val="00C85499"/>
    <w:rsid w:val="00C85AD2"/>
    <w:rsid w:val="00C85E97"/>
    <w:rsid w:val="00C866E5"/>
    <w:rsid w:val="00C86A6C"/>
    <w:rsid w:val="00C87610"/>
    <w:rsid w:val="00C876DA"/>
    <w:rsid w:val="00C91017"/>
    <w:rsid w:val="00C914E6"/>
    <w:rsid w:val="00C9198A"/>
    <w:rsid w:val="00C91A39"/>
    <w:rsid w:val="00C92430"/>
    <w:rsid w:val="00C92B0B"/>
    <w:rsid w:val="00C93367"/>
    <w:rsid w:val="00C93A62"/>
    <w:rsid w:val="00C93E57"/>
    <w:rsid w:val="00C94773"/>
    <w:rsid w:val="00C94FF8"/>
    <w:rsid w:val="00C95CE6"/>
    <w:rsid w:val="00C95F50"/>
    <w:rsid w:val="00C9601B"/>
    <w:rsid w:val="00C962EA"/>
    <w:rsid w:val="00C96962"/>
    <w:rsid w:val="00C969EE"/>
    <w:rsid w:val="00C96C49"/>
    <w:rsid w:val="00C97969"/>
    <w:rsid w:val="00C97A5B"/>
    <w:rsid w:val="00C97C81"/>
    <w:rsid w:val="00C97DF3"/>
    <w:rsid w:val="00CA00B8"/>
    <w:rsid w:val="00CA0E56"/>
    <w:rsid w:val="00CA149A"/>
    <w:rsid w:val="00CA1A04"/>
    <w:rsid w:val="00CA3613"/>
    <w:rsid w:val="00CA3622"/>
    <w:rsid w:val="00CA4521"/>
    <w:rsid w:val="00CA45D7"/>
    <w:rsid w:val="00CA4623"/>
    <w:rsid w:val="00CA554B"/>
    <w:rsid w:val="00CA60B2"/>
    <w:rsid w:val="00CA60B7"/>
    <w:rsid w:val="00CA6BCD"/>
    <w:rsid w:val="00CA6E44"/>
    <w:rsid w:val="00CA7630"/>
    <w:rsid w:val="00CA78D6"/>
    <w:rsid w:val="00CA7E04"/>
    <w:rsid w:val="00CB1825"/>
    <w:rsid w:val="00CB1F86"/>
    <w:rsid w:val="00CB3368"/>
    <w:rsid w:val="00CB350A"/>
    <w:rsid w:val="00CB42EB"/>
    <w:rsid w:val="00CB4CDC"/>
    <w:rsid w:val="00CB4FE7"/>
    <w:rsid w:val="00CB61C6"/>
    <w:rsid w:val="00CB6F25"/>
    <w:rsid w:val="00CB6FC8"/>
    <w:rsid w:val="00CB76D0"/>
    <w:rsid w:val="00CB7F6F"/>
    <w:rsid w:val="00CC03DA"/>
    <w:rsid w:val="00CC143D"/>
    <w:rsid w:val="00CC2EC1"/>
    <w:rsid w:val="00CC3083"/>
    <w:rsid w:val="00CC343E"/>
    <w:rsid w:val="00CC3453"/>
    <w:rsid w:val="00CC3B05"/>
    <w:rsid w:val="00CC3BAB"/>
    <w:rsid w:val="00CC3ECA"/>
    <w:rsid w:val="00CC4843"/>
    <w:rsid w:val="00CC530E"/>
    <w:rsid w:val="00CC642A"/>
    <w:rsid w:val="00CC7F53"/>
    <w:rsid w:val="00CD0015"/>
    <w:rsid w:val="00CD0049"/>
    <w:rsid w:val="00CD052F"/>
    <w:rsid w:val="00CD0BBF"/>
    <w:rsid w:val="00CD0C29"/>
    <w:rsid w:val="00CD109F"/>
    <w:rsid w:val="00CD2402"/>
    <w:rsid w:val="00CD2AB1"/>
    <w:rsid w:val="00CD325A"/>
    <w:rsid w:val="00CD415D"/>
    <w:rsid w:val="00CD4BB2"/>
    <w:rsid w:val="00CD54FC"/>
    <w:rsid w:val="00CD6F11"/>
    <w:rsid w:val="00CD7BE5"/>
    <w:rsid w:val="00CE006F"/>
    <w:rsid w:val="00CE05CA"/>
    <w:rsid w:val="00CE1057"/>
    <w:rsid w:val="00CE1B71"/>
    <w:rsid w:val="00CE21FB"/>
    <w:rsid w:val="00CE25D3"/>
    <w:rsid w:val="00CE2878"/>
    <w:rsid w:val="00CE382C"/>
    <w:rsid w:val="00CE47DB"/>
    <w:rsid w:val="00CE5291"/>
    <w:rsid w:val="00CE5A11"/>
    <w:rsid w:val="00CE6066"/>
    <w:rsid w:val="00CE6801"/>
    <w:rsid w:val="00CE6A17"/>
    <w:rsid w:val="00CE6A67"/>
    <w:rsid w:val="00CE6F75"/>
    <w:rsid w:val="00CE7526"/>
    <w:rsid w:val="00CE76F7"/>
    <w:rsid w:val="00CE78E5"/>
    <w:rsid w:val="00CE7C5F"/>
    <w:rsid w:val="00CF0480"/>
    <w:rsid w:val="00CF1671"/>
    <w:rsid w:val="00CF18BB"/>
    <w:rsid w:val="00CF2385"/>
    <w:rsid w:val="00CF26E7"/>
    <w:rsid w:val="00CF2711"/>
    <w:rsid w:val="00CF33F5"/>
    <w:rsid w:val="00CF4696"/>
    <w:rsid w:val="00CF484B"/>
    <w:rsid w:val="00CF4C9D"/>
    <w:rsid w:val="00CF5D25"/>
    <w:rsid w:val="00CF623A"/>
    <w:rsid w:val="00CF62C1"/>
    <w:rsid w:val="00CF7F7B"/>
    <w:rsid w:val="00D00049"/>
    <w:rsid w:val="00D0005A"/>
    <w:rsid w:val="00D003F3"/>
    <w:rsid w:val="00D00712"/>
    <w:rsid w:val="00D00A20"/>
    <w:rsid w:val="00D0107A"/>
    <w:rsid w:val="00D01A7A"/>
    <w:rsid w:val="00D01CB4"/>
    <w:rsid w:val="00D024C7"/>
    <w:rsid w:val="00D02584"/>
    <w:rsid w:val="00D025F5"/>
    <w:rsid w:val="00D0339B"/>
    <w:rsid w:val="00D038DF"/>
    <w:rsid w:val="00D038FC"/>
    <w:rsid w:val="00D03C11"/>
    <w:rsid w:val="00D03D22"/>
    <w:rsid w:val="00D04F19"/>
    <w:rsid w:val="00D05753"/>
    <w:rsid w:val="00D06755"/>
    <w:rsid w:val="00D07D69"/>
    <w:rsid w:val="00D07F86"/>
    <w:rsid w:val="00D10976"/>
    <w:rsid w:val="00D11288"/>
    <w:rsid w:val="00D1165E"/>
    <w:rsid w:val="00D12122"/>
    <w:rsid w:val="00D12831"/>
    <w:rsid w:val="00D14D47"/>
    <w:rsid w:val="00D1563D"/>
    <w:rsid w:val="00D16273"/>
    <w:rsid w:val="00D16528"/>
    <w:rsid w:val="00D16B48"/>
    <w:rsid w:val="00D16D53"/>
    <w:rsid w:val="00D17449"/>
    <w:rsid w:val="00D206BC"/>
    <w:rsid w:val="00D20CAF"/>
    <w:rsid w:val="00D21903"/>
    <w:rsid w:val="00D21D11"/>
    <w:rsid w:val="00D22351"/>
    <w:rsid w:val="00D22361"/>
    <w:rsid w:val="00D22C37"/>
    <w:rsid w:val="00D232C4"/>
    <w:rsid w:val="00D23C49"/>
    <w:rsid w:val="00D23E3B"/>
    <w:rsid w:val="00D247CC"/>
    <w:rsid w:val="00D25409"/>
    <w:rsid w:val="00D25A4C"/>
    <w:rsid w:val="00D25DCF"/>
    <w:rsid w:val="00D26241"/>
    <w:rsid w:val="00D267C1"/>
    <w:rsid w:val="00D27327"/>
    <w:rsid w:val="00D2791C"/>
    <w:rsid w:val="00D27CC2"/>
    <w:rsid w:val="00D31F2A"/>
    <w:rsid w:val="00D32BAC"/>
    <w:rsid w:val="00D33F00"/>
    <w:rsid w:val="00D34865"/>
    <w:rsid w:val="00D34874"/>
    <w:rsid w:val="00D34ABD"/>
    <w:rsid w:val="00D34B2E"/>
    <w:rsid w:val="00D3505D"/>
    <w:rsid w:val="00D366AF"/>
    <w:rsid w:val="00D36E44"/>
    <w:rsid w:val="00D37730"/>
    <w:rsid w:val="00D400AF"/>
    <w:rsid w:val="00D40665"/>
    <w:rsid w:val="00D407EF"/>
    <w:rsid w:val="00D40C39"/>
    <w:rsid w:val="00D40FA0"/>
    <w:rsid w:val="00D414A1"/>
    <w:rsid w:val="00D42169"/>
    <w:rsid w:val="00D423FE"/>
    <w:rsid w:val="00D42F01"/>
    <w:rsid w:val="00D43E1D"/>
    <w:rsid w:val="00D444DE"/>
    <w:rsid w:val="00D44558"/>
    <w:rsid w:val="00D4456E"/>
    <w:rsid w:val="00D45060"/>
    <w:rsid w:val="00D45167"/>
    <w:rsid w:val="00D45396"/>
    <w:rsid w:val="00D45835"/>
    <w:rsid w:val="00D45B61"/>
    <w:rsid w:val="00D462EE"/>
    <w:rsid w:val="00D465EB"/>
    <w:rsid w:val="00D46909"/>
    <w:rsid w:val="00D47836"/>
    <w:rsid w:val="00D47C3C"/>
    <w:rsid w:val="00D50523"/>
    <w:rsid w:val="00D5070E"/>
    <w:rsid w:val="00D50849"/>
    <w:rsid w:val="00D50A42"/>
    <w:rsid w:val="00D51006"/>
    <w:rsid w:val="00D51D5E"/>
    <w:rsid w:val="00D51E36"/>
    <w:rsid w:val="00D51FE7"/>
    <w:rsid w:val="00D529B0"/>
    <w:rsid w:val="00D530AB"/>
    <w:rsid w:val="00D537B9"/>
    <w:rsid w:val="00D538F3"/>
    <w:rsid w:val="00D53FF0"/>
    <w:rsid w:val="00D54F0C"/>
    <w:rsid w:val="00D5514A"/>
    <w:rsid w:val="00D560C1"/>
    <w:rsid w:val="00D56156"/>
    <w:rsid w:val="00D56B49"/>
    <w:rsid w:val="00D57BFC"/>
    <w:rsid w:val="00D57CE3"/>
    <w:rsid w:val="00D60279"/>
    <w:rsid w:val="00D60287"/>
    <w:rsid w:val="00D613A6"/>
    <w:rsid w:val="00D6174C"/>
    <w:rsid w:val="00D61ED0"/>
    <w:rsid w:val="00D621D7"/>
    <w:rsid w:val="00D62530"/>
    <w:rsid w:val="00D62B6B"/>
    <w:rsid w:val="00D640D9"/>
    <w:rsid w:val="00D648E8"/>
    <w:rsid w:val="00D649C8"/>
    <w:rsid w:val="00D649CE"/>
    <w:rsid w:val="00D64D0F"/>
    <w:rsid w:val="00D65325"/>
    <w:rsid w:val="00D65BA3"/>
    <w:rsid w:val="00D65CBC"/>
    <w:rsid w:val="00D65EC6"/>
    <w:rsid w:val="00D66087"/>
    <w:rsid w:val="00D66199"/>
    <w:rsid w:val="00D6651E"/>
    <w:rsid w:val="00D665BC"/>
    <w:rsid w:val="00D667DF"/>
    <w:rsid w:val="00D6793A"/>
    <w:rsid w:val="00D67BD5"/>
    <w:rsid w:val="00D70476"/>
    <w:rsid w:val="00D70D4B"/>
    <w:rsid w:val="00D719C6"/>
    <w:rsid w:val="00D71CC5"/>
    <w:rsid w:val="00D72C52"/>
    <w:rsid w:val="00D731BA"/>
    <w:rsid w:val="00D73BEB"/>
    <w:rsid w:val="00D744F3"/>
    <w:rsid w:val="00D7458E"/>
    <w:rsid w:val="00D75CAE"/>
    <w:rsid w:val="00D761B7"/>
    <w:rsid w:val="00D7741B"/>
    <w:rsid w:val="00D77BA4"/>
    <w:rsid w:val="00D80525"/>
    <w:rsid w:val="00D80596"/>
    <w:rsid w:val="00D80988"/>
    <w:rsid w:val="00D81D27"/>
    <w:rsid w:val="00D81E00"/>
    <w:rsid w:val="00D81E81"/>
    <w:rsid w:val="00D8299B"/>
    <w:rsid w:val="00D82A0B"/>
    <w:rsid w:val="00D82B67"/>
    <w:rsid w:val="00D82ED2"/>
    <w:rsid w:val="00D838AD"/>
    <w:rsid w:val="00D8437B"/>
    <w:rsid w:val="00D84BA1"/>
    <w:rsid w:val="00D84BD0"/>
    <w:rsid w:val="00D85011"/>
    <w:rsid w:val="00D854E6"/>
    <w:rsid w:val="00D855D7"/>
    <w:rsid w:val="00D85F66"/>
    <w:rsid w:val="00D85FCC"/>
    <w:rsid w:val="00D860FF"/>
    <w:rsid w:val="00D86339"/>
    <w:rsid w:val="00D86B9C"/>
    <w:rsid w:val="00D90302"/>
    <w:rsid w:val="00D91554"/>
    <w:rsid w:val="00D917C6"/>
    <w:rsid w:val="00D92990"/>
    <w:rsid w:val="00D93137"/>
    <w:rsid w:val="00D932B7"/>
    <w:rsid w:val="00D934AF"/>
    <w:rsid w:val="00D93659"/>
    <w:rsid w:val="00D9368F"/>
    <w:rsid w:val="00D94574"/>
    <w:rsid w:val="00D94589"/>
    <w:rsid w:val="00D960CE"/>
    <w:rsid w:val="00D96B21"/>
    <w:rsid w:val="00D96B9B"/>
    <w:rsid w:val="00D96DAB"/>
    <w:rsid w:val="00D973E0"/>
    <w:rsid w:val="00D9745B"/>
    <w:rsid w:val="00D97753"/>
    <w:rsid w:val="00D97853"/>
    <w:rsid w:val="00D97A0E"/>
    <w:rsid w:val="00D97B91"/>
    <w:rsid w:val="00DA015C"/>
    <w:rsid w:val="00DA09A8"/>
    <w:rsid w:val="00DA0B59"/>
    <w:rsid w:val="00DA109A"/>
    <w:rsid w:val="00DA18B3"/>
    <w:rsid w:val="00DA1D60"/>
    <w:rsid w:val="00DA224D"/>
    <w:rsid w:val="00DA3F75"/>
    <w:rsid w:val="00DA4048"/>
    <w:rsid w:val="00DA4321"/>
    <w:rsid w:val="00DA43F0"/>
    <w:rsid w:val="00DA4462"/>
    <w:rsid w:val="00DA45B5"/>
    <w:rsid w:val="00DA4B0D"/>
    <w:rsid w:val="00DA5892"/>
    <w:rsid w:val="00DA5E6C"/>
    <w:rsid w:val="00DA6813"/>
    <w:rsid w:val="00DA6A59"/>
    <w:rsid w:val="00DA70B4"/>
    <w:rsid w:val="00DA7206"/>
    <w:rsid w:val="00DA7DBB"/>
    <w:rsid w:val="00DB05B1"/>
    <w:rsid w:val="00DB0743"/>
    <w:rsid w:val="00DB0955"/>
    <w:rsid w:val="00DB0B15"/>
    <w:rsid w:val="00DB1231"/>
    <w:rsid w:val="00DB1352"/>
    <w:rsid w:val="00DB21D4"/>
    <w:rsid w:val="00DB24B3"/>
    <w:rsid w:val="00DB2549"/>
    <w:rsid w:val="00DB2BB6"/>
    <w:rsid w:val="00DB2FAE"/>
    <w:rsid w:val="00DB3571"/>
    <w:rsid w:val="00DB3D61"/>
    <w:rsid w:val="00DB4D37"/>
    <w:rsid w:val="00DB4E2F"/>
    <w:rsid w:val="00DB5CA2"/>
    <w:rsid w:val="00DB6D44"/>
    <w:rsid w:val="00DB7110"/>
    <w:rsid w:val="00DB712C"/>
    <w:rsid w:val="00DB7914"/>
    <w:rsid w:val="00DC0E76"/>
    <w:rsid w:val="00DC11B6"/>
    <w:rsid w:val="00DC1B7D"/>
    <w:rsid w:val="00DC21F4"/>
    <w:rsid w:val="00DC2548"/>
    <w:rsid w:val="00DC2F3E"/>
    <w:rsid w:val="00DC2FA8"/>
    <w:rsid w:val="00DC348C"/>
    <w:rsid w:val="00DC386A"/>
    <w:rsid w:val="00DC39E9"/>
    <w:rsid w:val="00DC3A80"/>
    <w:rsid w:val="00DC3B42"/>
    <w:rsid w:val="00DC3D87"/>
    <w:rsid w:val="00DC412C"/>
    <w:rsid w:val="00DC4993"/>
    <w:rsid w:val="00DC4B8F"/>
    <w:rsid w:val="00DC4C02"/>
    <w:rsid w:val="00DC5F44"/>
    <w:rsid w:val="00DC6510"/>
    <w:rsid w:val="00DC6B14"/>
    <w:rsid w:val="00DC76E7"/>
    <w:rsid w:val="00DD038E"/>
    <w:rsid w:val="00DD07F6"/>
    <w:rsid w:val="00DD0A45"/>
    <w:rsid w:val="00DD0B06"/>
    <w:rsid w:val="00DD12DC"/>
    <w:rsid w:val="00DD146D"/>
    <w:rsid w:val="00DD1683"/>
    <w:rsid w:val="00DD3AEE"/>
    <w:rsid w:val="00DD3CBA"/>
    <w:rsid w:val="00DD3E1E"/>
    <w:rsid w:val="00DD4919"/>
    <w:rsid w:val="00DD4B57"/>
    <w:rsid w:val="00DD518B"/>
    <w:rsid w:val="00DD553D"/>
    <w:rsid w:val="00DD57D1"/>
    <w:rsid w:val="00DD65CE"/>
    <w:rsid w:val="00DD6866"/>
    <w:rsid w:val="00DD6BB1"/>
    <w:rsid w:val="00DD6CA4"/>
    <w:rsid w:val="00DD6F61"/>
    <w:rsid w:val="00DD7D7C"/>
    <w:rsid w:val="00DE02DD"/>
    <w:rsid w:val="00DE0B7E"/>
    <w:rsid w:val="00DE0DCC"/>
    <w:rsid w:val="00DE1114"/>
    <w:rsid w:val="00DE1221"/>
    <w:rsid w:val="00DE1BF8"/>
    <w:rsid w:val="00DE1C88"/>
    <w:rsid w:val="00DE1D7F"/>
    <w:rsid w:val="00DE251B"/>
    <w:rsid w:val="00DE25B9"/>
    <w:rsid w:val="00DE27F6"/>
    <w:rsid w:val="00DE2F03"/>
    <w:rsid w:val="00DE31D9"/>
    <w:rsid w:val="00DE381D"/>
    <w:rsid w:val="00DE3AFF"/>
    <w:rsid w:val="00DE3CFC"/>
    <w:rsid w:val="00DE428D"/>
    <w:rsid w:val="00DE4F79"/>
    <w:rsid w:val="00DE5584"/>
    <w:rsid w:val="00DE56B2"/>
    <w:rsid w:val="00DE57BD"/>
    <w:rsid w:val="00DE5AC8"/>
    <w:rsid w:val="00DE5AF2"/>
    <w:rsid w:val="00DE5BBE"/>
    <w:rsid w:val="00DE5D41"/>
    <w:rsid w:val="00DE619A"/>
    <w:rsid w:val="00DE6550"/>
    <w:rsid w:val="00DE699F"/>
    <w:rsid w:val="00DE6D63"/>
    <w:rsid w:val="00DE75AD"/>
    <w:rsid w:val="00DE75D3"/>
    <w:rsid w:val="00DE7ED4"/>
    <w:rsid w:val="00DF05EB"/>
    <w:rsid w:val="00DF0EB2"/>
    <w:rsid w:val="00DF176C"/>
    <w:rsid w:val="00DF1778"/>
    <w:rsid w:val="00DF1DA3"/>
    <w:rsid w:val="00DF20F9"/>
    <w:rsid w:val="00DF25C2"/>
    <w:rsid w:val="00DF2A29"/>
    <w:rsid w:val="00DF2CA7"/>
    <w:rsid w:val="00DF31D9"/>
    <w:rsid w:val="00DF3D9E"/>
    <w:rsid w:val="00DF42BD"/>
    <w:rsid w:val="00DF4420"/>
    <w:rsid w:val="00DF48BA"/>
    <w:rsid w:val="00DF4925"/>
    <w:rsid w:val="00DF4A95"/>
    <w:rsid w:val="00DF508C"/>
    <w:rsid w:val="00DF56E8"/>
    <w:rsid w:val="00DF59C0"/>
    <w:rsid w:val="00DF6A52"/>
    <w:rsid w:val="00DF6CBE"/>
    <w:rsid w:val="00DF70BC"/>
    <w:rsid w:val="00DF70FE"/>
    <w:rsid w:val="00DF74A3"/>
    <w:rsid w:val="00DF74F0"/>
    <w:rsid w:val="00DF76CE"/>
    <w:rsid w:val="00DF7885"/>
    <w:rsid w:val="00E00548"/>
    <w:rsid w:val="00E00581"/>
    <w:rsid w:val="00E00591"/>
    <w:rsid w:val="00E0077D"/>
    <w:rsid w:val="00E00B27"/>
    <w:rsid w:val="00E00CA8"/>
    <w:rsid w:val="00E00F0C"/>
    <w:rsid w:val="00E00F28"/>
    <w:rsid w:val="00E01419"/>
    <w:rsid w:val="00E01461"/>
    <w:rsid w:val="00E01D6E"/>
    <w:rsid w:val="00E0203D"/>
    <w:rsid w:val="00E02667"/>
    <w:rsid w:val="00E02681"/>
    <w:rsid w:val="00E02854"/>
    <w:rsid w:val="00E02F6F"/>
    <w:rsid w:val="00E02FB9"/>
    <w:rsid w:val="00E03501"/>
    <w:rsid w:val="00E04AC5"/>
    <w:rsid w:val="00E04C0D"/>
    <w:rsid w:val="00E04F46"/>
    <w:rsid w:val="00E066EA"/>
    <w:rsid w:val="00E06B94"/>
    <w:rsid w:val="00E07745"/>
    <w:rsid w:val="00E07F47"/>
    <w:rsid w:val="00E1053C"/>
    <w:rsid w:val="00E12153"/>
    <w:rsid w:val="00E12238"/>
    <w:rsid w:val="00E12F72"/>
    <w:rsid w:val="00E13140"/>
    <w:rsid w:val="00E1335A"/>
    <w:rsid w:val="00E13ED7"/>
    <w:rsid w:val="00E1438B"/>
    <w:rsid w:val="00E14A39"/>
    <w:rsid w:val="00E14F3C"/>
    <w:rsid w:val="00E151B7"/>
    <w:rsid w:val="00E15D28"/>
    <w:rsid w:val="00E16DCE"/>
    <w:rsid w:val="00E17416"/>
    <w:rsid w:val="00E1790D"/>
    <w:rsid w:val="00E17A75"/>
    <w:rsid w:val="00E17AAE"/>
    <w:rsid w:val="00E17CEA"/>
    <w:rsid w:val="00E17F20"/>
    <w:rsid w:val="00E209E8"/>
    <w:rsid w:val="00E20BC4"/>
    <w:rsid w:val="00E2178B"/>
    <w:rsid w:val="00E21E25"/>
    <w:rsid w:val="00E236C7"/>
    <w:rsid w:val="00E244F5"/>
    <w:rsid w:val="00E2633F"/>
    <w:rsid w:val="00E265D9"/>
    <w:rsid w:val="00E26F8D"/>
    <w:rsid w:val="00E271C8"/>
    <w:rsid w:val="00E2725E"/>
    <w:rsid w:val="00E27AE6"/>
    <w:rsid w:val="00E300F9"/>
    <w:rsid w:val="00E305F0"/>
    <w:rsid w:val="00E308DB"/>
    <w:rsid w:val="00E30C13"/>
    <w:rsid w:val="00E30C49"/>
    <w:rsid w:val="00E31B77"/>
    <w:rsid w:val="00E32A10"/>
    <w:rsid w:val="00E3309B"/>
    <w:rsid w:val="00E33963"/>
    <w:rsid w:val="00E34966"/>
    <w:rsid w:val="00E34B71"/>
    <w:rsid w:val="00E35191"/>
    <w:rsid w:val="00E3525A"/>
    <w:rsid w:val="00E35842"/>
    <w:rsid w:val="00E35969"/>
    <w:rsid w:val="00E35B0F"/>
    <w:rsid w:val="00E35FE9"/>
    <w:rsid w:val="00E3647B"/>
    <w:rsid w:val="00E36F36"/>
    <w:rsid w:val="00E3722C"/>
    <w:rsid w:val="00E405B3"/>
    <w:rsid w:val="00E40E3E"/>
    <w:rsid w:val="00E40F72"/>
    <w:rsid w:val="00E40F74"/>
    <w:rsid w:val="00E41221"/>
    <w:rsid w:val="00E412F1"/>
    <w:rsid w:val="00E41667"/>
    <w:rsid w:val="00E41DE9"/>
    <w:rsid w:val="00E42379"/>
    <w:rsid w:val="00E42495"/>
    <w:rsid w:val="00E424DA"/>
    <w:rsid w:val="00E42518"/>
    <w:rsid w:val="00E433EC"/>
    <w:rsid w:val="00E4369A"/>
    <w:rsid w:val="00E44020"/>
    <w:rsid w:val="00E44F9F"/>
    <w:rsid w:val="00E46116"/>
    <w:rsid w:val="00E46225"/>
    <w:rsid w:val="00E46C68"/>
    <w:rsid w:val="00E46FB2"/>
    <w:rsid w:val="00E4734E"/>
    <w:rsid w:val="00E4759D"/>
    <w:rsid w:val="00E4760D"/>
    <w:rsid w:val="00E500A4"/>
    <w:rsid w:val="00E507C0"/>
    <w:rsid w:val="00E50C55"/>
    <w:rsid w:val="00E511D5"/>
    <w:rsid w:val="00E5187F"/>
    <w:rsid w:val="00E53893"/>
    <w:rsid w:val="00E538B2"/>
    <w:rsid w:val="00E539D1"/>
    <w:rsid w:val="00E53FAC"/>
    <w:rsid w:val="00E540D8"/>
    <w:rsid w:val="00E541F2"/>
    <w:rsid w:val="00E54311"/>
    <w:rsid w:val="00E558D3"/>
    <w:rsid w:val="00E55F37"/>
    <w:rsid w:val="00E562F2"/>
    <w:rsid w:val="00E568E1"/>
    <w:rsid w:val="00E56C5F"/>
    <w:rsid w:val="00E57A80"/>
    <w:rsid w:val="00E57E15"/>
    <w:rsid w:val="00E602CA"/>
    <w:rsid w:val="00E603B5"/>
    <w:rsid w:val="00E607C5"/>
    <w:rsid w:val="00E60918"/>
    <w:rsid w:val="00E61193"/>
    <w:rsid w:val="00E6156D"/>
    <w:rsid w:val="00E61E03"/>
    <w:rsid w:val="00E6204F"/>
    <w:rsid w:val="00E62C9C"/>
    <w:rsid w:val="00E62E8F"/>
    <w:rsid w:val="00E62E9A"/>
    <w:rsid w:val="00E638D9"/>
    <w:rsid w:val="00E63B0F"/>
    <w:rsid w:val="00E64CE1"/>
    <w:rsid w:val="00E65FB2"/>
    <w:rsid w:val="00E66756"/>
    <w:rsid w:val="00E6676F"/>
    <w:rsid w:val="00E66880"/>
    <w:rsid w:val="00E676BA"/>
    <w:rsid w:val="00E67A0A"/>
    <w:rsid w:val="00E701BB"/>
    <w:rsid w:val="00E7153B"/>
    <w:rsid w:val="00E71B65"/>
    <w:rsid w:val="00E71F0A"/>
    <w:rsid w:val="00E724FC"/>
    <w:rsid w:val="00E7296D"/>
    <w:rsid w:val="00E739B2"/>
    <w:rsid w:val="00E73EA5"/>
    <w:rsid w:val="00E74100"/>
    <w:rsid w:val="00E74F07"/>
    <w:rsid w:val="00E75209"/>
    <w:rsid w:val="00E75210"/>
    <w:rsid w:val="00E75397"/>
    <w:rsid w:val="00E754DC"/>
    <w:rsid w:val="00E75D8B"/>
    <w:rsid w:val="00E760AA"/>
    <w:rsid w:val="00E765CC"/>
    <w:rsid w:val="00E76645"/>
    <w:rsid w:val="00E76A8C"/>
    <w:rsid w:val="00E77010"/>
    <w:rsid w:val="00E776B9"/>
    <w:rsid w:val="00E8001D"/>
    <w:rsid w:val="00E80826"/>
    <w:rsid w:val="00E81371"/>
    <w:rsid w:val="00E81572"/>
    <w:rsid w:val="00E8162E"/>
    <w:rsid w:val="00E81F30"/>
    <w:rsid w:val="00E82FB8"/>
    <w:rsid w:val="00E83AC8"/>
    <w:rsid w:val="00E84101"/>
    <w:rsid w:val="00E85158"/>
    <w:rsid w:val="00E859C8"/>
    <w:rsid w:val="00E8601D"/>
    <w:rsid w:val="00E86597"/>
    <w:rsid w:val="00E87996"/>
    <w:rsid w:val="00E9016A"/>
    <w:rsid w:val="00E903E1"/>
    <w:rsid w:val="00E90458"/>
    <w:rsid w:val="00E909B2"/>
    <w:rsid w:val="00E90B33"/>
    <w:rsid w:val="00E90C13"/>
    <w:rsid w:val="00E91BA1"/>
    <w:rsid w:val="00E92067"/>
    <w:rsid w:val="00E93092"/>
    <w:rsid w:val="00E9379F"/>
    <w:rsid w:val="00E93AF2"/>
    <w:rsid w:val="00E94C46"/>
    <w:rsid w:val="00E94DE8"/>
    <w:rsid w:val="00E95252"/>
    <w:rsid w:val="00E953CD"/>
    <w:rsid w:val="00E95643"/>
    <w:rsid w:val="00E9599E"/>
    <w:rsid w:val="00E95D08"/>
    <w:rsid w:val="00E96454"/>
    <w:rsid w:val="00E96601"/>
    <w:rsid w:val="00E96860"/>
    <w:rsid w:val="00E969DC"/>
    <w:rsid w:val="00E96B02"/>
    <w:rsid w:val="00E96C65"/>
    <w:rsid w:val="00E97A0B"/>
    <w:rsid w:val="00E97C5C"/>
    <w:rsid w:val="00EA059A"/>
    <w:rsid w:val="00EA0E51"/>
    <w:rsid w:val="00EA0ED6"/>
    <w:rsid w:val="00EA1076"/>
    <w:rsid w:val="00EA183A"/>
    <w:rsid w:val="00EA2C1F"/>
    <w:rsid w:val="00EA30B2"/>
    <w:rsid w:val="00EA374E"/>
    <w:rsid w:val="00EA3ABD"/>
    <w:rsid w:val="00EA45C6"/>
    <w:rsid w:val="00EA45D6"/>
    <w:rsid w:val="00EA4B23"/>
    <w:rsid w:val="00EA4E58"/>
    <w:rsid w:val="00EA5092"/>
    <w:rsid w:val="00EA603B"/>
    <w:rsid w:val="00EA625E"/>
    <w:rsid w:val="00EA746D"/>
    <w:rsid w:val="00EA7BE3"/>
    <w:rsid w:val="00EA7E16"/>
    <w:rsid w:val="00EA7FE2"/>
    <w:rsid w:val="00EB0396"/>
    <w:rsid w:val="00EB06D3"/>
    <w:rsid w:val="00EB2286"/>
    <w:rsid w:val="00EB3583"/>
    <w:rsid w:val="00EB46D5"/>
    <w:rsid w:val="00EB4710"/>
    <w:rsid w:val="00EB5297"/>
    <w:rsid w:val="00EB5405"/>
    <w:rsid w:val="00EB5EA7"/>
    <w:rsid w:val="00EB66CE"/>
    <w:rsid w:val="00EB6BE9"/>
    <w:rsid w:val="00EB7B08"/>
    <w:rsid w:val="00EC0061"/>
    <w:rsid w:val="00EC0140"/>
    <w:rsid w:val="00EC041B"/>
    <w:rsid w:val="00EC0E70"/>
    <w:rsid w:val="00EC12B5"/>
    <w:rsid w:val="00EC12EF"/>
    <w:rsid w:val="00EC1386"/>
    <w:rsid w:val="00EC1554"/>
    <w:rsid w:val="00EC1587"/>
    <w:rsid w:val="00EC224F"/>
    <w:rsid w:val="00EC25EE"/>
    <w:rsid w:val="00EC2D69"/>
    <w:rsid w:val="00EC3053"/>
    <w:rsid w:val="00EC37B7"/>
    <w:rsid w:val="00EC3C0C"/>
    <w:rsid w:val="00EC4971"/>
    <w:rsid w:val="00EC49A9"/>
    <w:rsid w:val="00EC4A62"/>
    <w:rsid w:val="00EC4CAE"/>
    <w:rsid w:val="00EC51A8"/>
    <w:rsid w:val="00EC51C6"/>
    <w:rsid w:val="00EC57BB"/>
    <w:rsid w:val="00EC5903"/>
    <w:rsid w:val="00EC5A8C"/>
    <w:rsid w:val="00EC5ADC"/>
    <w:rsid w:val="00EC6420"/>
    <w:rsid w:val="00EC65AD"/>
    <w:rsid w:val="00EC6980"/>
    <w:rsid w:val="00EC6D1C"/>
    <w:rsid w:val="00EC6F4C"/>
    <w:rsid w:val="00EC74F9"/>
    <w:rsid w:val="00EC7695"/>
    <w:rsid w:val="00EC7DBF"/>
    <w:rsid w:val="00ED0035"/>
    <w:rsid w:val="00ED024B"/>
    <w:rsid w:val="00ED2820"/>
    <w:rsid w:val="00ED313A"/>
    <w:rsid w:val="00ED31B5"/>
    <w:rsid w:val="00ED4862"/>
    <w:rsid w:val="00ED520A"/>
    <w:rsid w:val="00ED5386"/>
    <w:rsid w:val="00ED59DC"/>
    <w:rsid w:val="00ED6272"/>
    <w:rsid w:val="00ED66A7"/>
    <w:rsid w:val="00ED66AF"/>
    <w:rsid w:val="00ED6703"/>
    <w:rsid w:val="00ED71E3"/>
    <w:rsid w:val="00EE06FC"/>
    <w:rsid w:val="00EE12AF"/>
    <w:rsid w:val="00EE1C76"/>
    <w:rsid w:val="00EE202A"/>
    <w:rsid w:val="00EE32D1"/>
    <w:rsid w:val="00EE362A"/>
    <w:rsid w:val="00EE3B3E"/>
    <w:rsid w:val="00EE4722"/>
    <w:rsid w:val="00EE4C5D"/>
    <w:rsid w:val="00EE4D41"/>
    <w:rsid w:val="00EE4F80"/>
    <w:rsid w:val="00EE563F"/>
    <w:rsid w:val="00EE56FA"/>
    <w:rsid w:val="00EE587D"/>
    <w:rsid w:val="00EE5C1F"/>
    <w:rsid w:val="00EE68EB"/>
    <w:rsid w:val="00EE6A52"/>
    <w:rsid w:val="00EE6B3D"/>
    <w:rsid w:val="00EE6C35"/>
    <w:rsid w:val="00EE6CAC"/>
    <w:rsid w:val="00EE7408"/>
    <w:rsid w:val="00EE75F3"/>
    <w:rsid w:val="00EE7C92"/>
    <w:rsid w:val="00EE7F2D"/>
    <w:rsid w:val="00EF042D"/>
    <w:rsid w:val="00EF06E0"/>
    <w:rsid w:val="00EF0E51"/>
    <w:rsid w:val="00EF0EC8"/>
    <w:rsid w:val="00EF1D8C"/>
    <w:rsid w:val="00EF209D"/>
    <w:rsid w:val="00EF2BBE"/>
    <w:rsid w:val="00EF2BD2"/>
    <w:rsid w:val="00EF33F5"/>
    <w:rsid w:val="00EF394A"/>
    <w:rsid w:val="00EF3BF1"/>
    <w:rsid w:val="00EF4280"/>
    <w:rsid w:val="00EF43BE"/>
    <w:rsid w:val="00EF474F"/>
    <w:rsid w:val="00EF4808"/>
    <w:rsid w:val="00EF5B9E"/>
    <w:rsid w:val="00EF643B"/>
    <w:rsid w:val="00EF6C33"/>
    <w:rsid w:val="00EF6DAB"/>
    <w:rsid w:val="00EF7A37"/>
    <w:rsid w:val="00EF7B2B"/>
    <w:rsid w:val="00EF7EEF"/>
    <w:rsid w:val="00F009F6"/>
    <w:rsid w:val="00F0136B"/>
    <w:rsid w:val="00F01A89"/>
    <w:rsid w:val="00F01D78"/>
    <w:rsid w:val="00F0279B"/>
    <w:rsid w:val="00F02A4C"/>
    <w:rsid w:val="00F036A1"/>
    <w:rsid w:val="00F036C2"/>
    <w:rsid w:val="00F03B6E"/>
    <w:rsid w:val="00F03E4D"/>
    <w:rsid w:val="00F041B0"/>
    <w:rsid w:val="00F042F8"/>
    <w:rsid w:val="00F04E07"/>
    <w:rsid w:val="00F05D37"/>
    <w:rsid w:val="00F06284"/>
    <w:rsid w:val="00F0632E"/>
    <w:rsid w:val="00F069B6"/>
    <w:rsid w:val="00F06ACA"/>
    <w:rsid w:val="00F072D7"/>
    <w:rsid w:val="00F07368"/>
    <w:rsid w:val="00F07998"/>
    <w:rsid w:val="00F10896"/>
    <w:rsid w:val="00F122C7"/>
    <w:rsid w:val="00F139B9"/>
    <w:rsid w:val="00F13A64"/>
    <w:rsid w:val="00F13DB1"/>
    <w:rsid w:val="00F144C2"/>
    <w:rsid w:val="00F14A08"/>
    <w:rsid w:val="00F1659E"/>
    <w:rsid w:val="00F1664F"/>
    <w:rsid w:val="00F1743E"/>
    <w:rsid w:val="00F17461"/>
    <w:rsid w:val="00F175D2"/>
    <w:rsid w:val="00F176ED"/>
    <w:rsid w:val="00F17802"/>
    <w:rsid w:val="00F2036F"/>
    <w:rsid w:val="00F203EE"/>
    <w:rsid w:val="00F207E2"/>
    <w:rsid w:val="00F2083E"/>
    <w:rsid w:val="00F20F4B"/>
    <w:rsid w:val="00F20FC2"/>
    <w:rsid w:val="00F23D24"/>
    <w:rsid w:val="00F24264"/>
    <w:rsid w:val="00F248D2"/>
    <w:rsid w:val="00F24AE0"/>
    <w:rsid w:val="00F25144"/>
    <w:rsid w:val="00F25213"/>
    <w:rsid w:val="00F25670"/>
    <w:rsid w:val="00F25D70"/>
    <w:rsid w:val="00F25FF9"/>
    <w:rsid w:val="00F26A06"/>
    <w:rsid w:val="00F26DD1"/>
    <w:rsid w:val="00F26FFE"/>
    <w:rsid w:val="00F27080"/>
    <w:rsid w:val="00F27599"/>
    <w:rsid w:val="00F276D8"/>
    <w:rsid w:val="00F27A86"/>
    <w:rsid w:val="00F303A0"/>
    <w:rsid w:val="00F3054F"/>
    <w:rsid w:val="00F30882"/>
    <w:rsid w:val="00F30A82"/>
    <w:rsid w:val="00F30D69"/>
    <w:rsid w:val="00F3140B"/>
    <w:rsid w:val="00F3184E"/>
    <w:rsid w:val="00F31FE7"/>
    <w:rsid w:val="00F32222"/>
    <w:rsid w:val="00F3423B"/>
    <w:rsid w:val="00F345D4"/>
    <w:rsid w:val="00F34820"/>
    <w:rsid w:val="00F34A88"/>
    <w:rsid w:val="00F34D55"/>
    <w:rsid w:val="00F34F33"/>
    <w:rsid w:val="00F37087"/>
    <w:rsid w:val="00F3754A"/>
    <w:rsid w:val="00F40AA5"/>
    <w:rsid w:val="00F40E80"/>
    <w:rsid w:val="00F41571"/>
    <w:rsid w:val="00F41BFC"/>
    <w:rsid w:val="00F41C72"/>
    <w:rsid w:val="00F42742"/>
    <w:rsid w:val="00F4387B"/>
    <w:rsid w:val="00F43D00"/>
    <w:rsid w:val="00F445E3"/>
    <w:rsid w:val="00F44F0B"/>
    <w:rsid w:val="00F452C7"/>
    <w:rsid w:val="00F45579"/>
    <w:rsid w:val="00F45B92"/>
    <w:rsid w:val="00F46104"/>
    <w:rsid w:val="00F46736"/>
    <w:rsid w:val="00F4693C"/>
    <w:rsid w:val="00F46D47"/>
    <w:rsid w:val="00F46F60"/>
    <w:rsid w:val="00F478A1"/>
    <w:rsid w:val="00F500D3"/>
    <w:rsid w:val="00F503DB"/>
    <w:rsid w:val="00F508CD"/>
    <w:rsid w:val="00F50F54"/>
    <w:rsid w:val="00F51524"/>
    <w:rsid w:val="00F51C7F"/>
    <w:rsid w:val="00F51F58"/>
    <w:rsid w:val="00F51F8D"/>
    <w:rsid w:val="00F520F7"/>
    <w:rsid w:val="00F521AD"/>
    <w:rsid w:val="00F5287D"/>
    <w:rsid w:val="00F53C9A"/>
    <w:rsid w:val="00F53EB6"/>
    <w:rsid w:val="00F5459B"/>
    <w:rsid w:val="00F55F91"/>
    <w:rsid w:val="00F55FC8"/>
    <w:rsid w:val="00F56A19"/>
    <w:rsid w:val="00F56E99"/>
    <w:rsid w:val="00F5703D"/>
    <w:rsid w:val="00F575B8"/>
    <w:rsid w:val="00F577DE"/>
    <w:rsid w:val="00F57D9C"/>
    <w:rsid w:val="00F60715"/>
    <w:rsid w:val="00F611FF"/>
    <w:rsid w:val="00F613DB"/>
    <w:rsid w:val="00F61877"/>
    <w:rsid w:val="00F61B0E"/>
    <w:rsid w:val="00F62993"/>
    <w:rsid w:val="00F6399B"/>
    <w:rsid w:val="00F64381"/>
    <w:rsid w:val="00F65648"/>
    <w:rsid w:val="00F65D70"/>
    <w:rsid w:val="00F66475"/>
    <w:rsid w:val="00F6669A"/>
    <w:rsid w:val="00F66F32"/>
    <w:rsid w:val="00F67128"/>
    <w:rsid w:val="00F671EA"/>
    <w:rsid w:val="00F67A44"/>
    <w:rsid w:val="00F67DA1"/>
    <w:rsid w:val="00F70285"/>
    <w:rsid w:val="00F7060F"/>
    <w:rsid w:val="00F70684"/>
    <w:rsid w:val="00F70879"/>
    <w:rsid w:val="00F70BA4"/>
    <w:rsid w:val="00F71220"/>
    <w:rsid w:val="00F717C6"/>
    <w:rsid w:val="00F71A18"/>
    <w:rsid w:val="00F72D5D"/>
    <w:rsid w:val="00F73125"/>
    <w:rsid w:val="00F73DE1"/>
    <w:rsid w:val="00F73F48"/>
    <w:rsid w:val="00F74F57"/>
    <w:rsid w:val="00F761D3"/>
    <w:rsid w:val="00F76737"/>
    <w:rsid w:val="00F76EEA"/>
    <w:rsid w:val="00F7782A"/>
    <w:rsid w:val="00F77960"/>
    <w:rsid w:val="00F77991"/>
    <w:rsid w:val="00F77A82"/>
    <w:rsid w:val="00F77F06"/>
    <w:rsid w:val="00F802A3"/>
    <w:rsid w:val="00F8056B"/>
    <w:rsid w:val="00F80E59"/>
    <w:rsid w:val="00F810C0"/>
    <w:rsid w:val="00F8142D"/>
    <w:rsid w:val="00F8187F"/>
    <w:rsid w:val="00F81AA4"/>
    <w:rsid w:val="00F81DF4"/>
    <w:rsid w:val="00F82757"/>
    <w:rsid w:val="00F82847"/>
    <w:rsid w:val="00F84C83"/>
    <w:rsid w:val="00F85190"/>
    <w:rsid w:val="00F854CA"/>
    <w:rsid w:val="00F856DD"/>
    <w:rsid w:val="00F85B0D"/>
    <w:rsid w:val="00F85E69"/>
    <w:rsid w:val="00F864D4"/>
    <w:rsid w:val="00F8653F"/>
    <w:rsid w:val="00F8758C"/>
    <w:rsid w:val="00F87643"/>
    <w:rsid w:val="00F87CA6"/>
    <w:rsid w:val="00F909CE"/>
    <w:rsid w:val="00F90AEA"/>
    <w:rsid w:val="00F91474"/>
    <w:rsid w:val="00F9156B"/>
    <w:rsid w:val="00F918C7"/>
    <w:rsid w:val="00F92509"/>
    <w:rsid w:val="00F928D6"/>
    <w:rsid w:val="00F93124"/>
    <w:rsid w:val="00F9337C"/>
    <w:rsid w:val="00F93898"/>
    <w:rsid w:val="00F955FC"/>
    <w:rsid w:val="00F95F64"/>
    <w:rsid w:val="00F96387"/>
    <w:rsid w:val="00F9659A"/>
    <w:rsid w:val="00F96C73"/>
    <w:rsid w:val="00F96D00"/>
    <w:rsid w:val="00F9704B"/>
    <w:rsid w:val="00F97421"/>
    <w:rsid w:val="00F974AD"/>
    <w:rsid w:val="00F97B30"/>
    <w:rsid w:val="00F97C76"/>
    <w:rsid w:val="00FA0057"/>
    <w:rsid w:val="00FA02EB"/>
    <w:rsid w:val="00FA07C0"/>
    <w:rsid w:val="00FA1622"/>
    <w:rsid w:val="00FA1DDB"/>
    <w:rsid w:val="00FA2392"/>
    <w:rsid w:val="00FA23A7"/>
    <w:rsid w:val="00FA3993"/>
    <w:rsid w:val="00FA49F2"/>
    <w:rsid w:val="00FA4CF4"/>
    <w:rsid w:val="00FA4D56"/>
    <w:rsid w:val="00FA4DC2"/>
    <w:rsid w:val="00FA51C3"/>
    <w:rsid w:val="00FA5AAC"/>
    <w:rsid w:val="00FA61C8"/>
    <w:rsid w:val="00FA68F9"/>
    <w:rsid w:val="00FA6D06"/>
    <w:rsid w:val="00FA709A"/>
    <w:rsid w:val="00FA7128"/>
    <w:rsid w:val="00FB03F1"/>
    <w:rsid w:val="00FB0461"/>
    <w:rsid w:val="00FB086D"/>
    <w:rsid w:val="00FB0EE8"/>
    <w:rsid w:val="00FB18C0"/>
    <w:rsid w:val="00FB21A0"/>
    <w:rsid w:val="00FB269E"/>
    <w:rsid w:val="00FB2867"/>
    <w:rsid w:val="00FB28FB"/>
    <w:rsid w:val="00FB29A9"/>
    <w:rsid w:val="00FB3332"/>
    <w:rsid w:val="00FB3767"/>
    <w:rsid w:val="00FB5D99"/>
    <w:rsid w:val="00FB5F2B"/>
    <w:rsid w:val="00FB5F76"/>
    <w:rsid w:val="00FB604B"/>
    <w:rsid w:val="00FB6A35"/>
    <w:rsid w:val="00FB6EE5"/>
    <w:rsid w:val="00FB7C64"/>
    <w:rsid w:val="00FC0804"/>
    <w:rsid w:val="00FC15FF"/>
    <w:rsid w:val="00FC20DD"/>
    <w:rsid w:val="00FC21FC"/>
    <w:rsid w:val="00FC2604"/>
    <w:rsid w:val="00FC296E"/>
    <w:rsid w:val="00FC33D3"/>
    <w:rsid w:val="00FC3C38"/>
    <w:rsid w:val="00FC3F54"/>
    <w:rsid w:val="00FC4024"/>
    <w:rsid w:val="00FC41FB"/>
    <w:rsid w:val="00FC48D1"/>
    <w:rsid w:val="00FC4914"/>
    <w:rsid w:val="00FC4D8B"/>
    <w:rsid w:val="00FC591E"/>
    <w:rsid w:val="00FC5A68"/>
    <w:rsid w:val="00FC5B68"/>
    <w:rsid w:val="00FC6B8A"/>
    <w:rsid w:val="00FC716E"/>
    <w:rsid w:val="00FC7331"/>
    <w:rsid w:val="00FD0605"/>
    <w:rsid w:val="00FD0B52"/>
    <w:rsid w:val="00FD0DCA"/>
    <w:rsid w:val="00FD1535"/>
    <w:rsid w:val="00FD2032"/>
    <w:rsid w:val="00FD269A"/>
    <w:rsid w:val="00FD277D"/>
    <w:rsid w:val="00FD2DDB"/>
    <w:rsid w:val="00FD3889"/>
    <w:rsid w:val="00FD47B0"/>
    <w:rsid w:val="00FD4BFD"/>
    <w:rsid w:val="00FD4D73"/>
    <w:rsid w:val="00FD4E92"/>
    <w:rsid w:val="00FD5276"/>
    <w:rsid w:val="00FD5437"/>
    <w:rsid w:val="00FD5AF4"/>
    <w:rsid w:val="00FD5DF7"/>
    <w:rsid w:val="00FD5E94"/>
    <w:rsid w:val="00FD6357"/>
    <w:rsid w:val="00FD65EB"/>
    <w:rsid w:val="00FD6927"/>
    <w:rsid w:val="00FD6E29"/>
    <w:rsid w:val="00FD7416"/>
    <w:rsid w:val="00FE055C"/>
    <w:rsid w:val="00FE05C7"/>
    <w:rsid w:val="00FE062B"/>
    <w:rsid w:val="00FE0DF7"/>
    <w:rsid w:val="00FE1872"/>
    <w:rsid w:val="00FE26AD"/>
    <w:rsid w:val="00FE3A72"/>
    <w:rsid w:val="00FE3AD2"/>
    <w:rsid w:val="00FE43AD"/>
    <w:rsid w:val="00FE48AB"/>
    <w:rsid w:val="00FE48F9"/>
    <w:rsid w:val="00FE4CD2"/>
    <w:rsid w:val="00FE4D1E"/>
    <w:rsid w:val="00FE5B54"/>
    <w:rsid w:val="00FE5E08"/>
    <w:rsid w:val="00FE696E"/>
    <w:rsid w:val="00FE6DB1"/>
    <w:rsid w:val="00FE70E1"/>
    <w:rsid w:val="00FE73EF"/>
    <w:rsid w:val="00FE75D7"/>
    <w:rsid w:val="00FE7616"/>
    <w:rsid w:val="00FE76AD"/>
    <w:rsid w:val="00FE78C0"/>
    <w:rsid w:val="00FF1648"/>
    <w:rsid w:val="00FF165E"/>
    <w:rsid w:val="00FF1D39"/>
    <w:rsid w:val="00FF1E3A"/>
    <w:rsid w:val="00FF2362"/>
    <w:rsid w:val="00FF2A64"/>
    <w:rsid w:val="00FF2FF1"/>
    <w:rsid w:val="00FF3629"/>
    <w:rsid w:val="00FF3DD1"/>
    <w:rsid w:val="00FF47BA"/>
    <w:rsid w:val="00FF4CC6"/>
    <w:rsid w:val="00FF5457"/>
    <w:rsid w:val="00FF58FC"/>
    <w:rsid w:val="00FF5E30"/>
    <w:rsid w:val="00FF63E2"/>
    <w:rsid w:val="00FF6B07"/>
    <w:rsid w:val="00FF722C"/>
    <w:rsid w:val="00FF7B3B"/>
    <w:rsid w:val="014341BE"/>
    <w:rsid w:val="01846240"/>
    <w:rsid w:val="026B3786"/>
    <w:rsid w:val="027D18D7"/>
    <w:rsid w:val="02921F5A"/>
    <w:rsid w:val="03AA16A3"/>
    <w:rsid w:val="03FC4061"/>
    <w:rsid w:val="03FF1EDB"/>
    <w:rsid w:val="04556A14"/>
    <w:rsid w:val="04B37E71"/>
    <w:rsid w:val="054D2A80"/>
    <w:rsid w:val="057852FC"/>
    <w:rsid w:val="05CC6BEB"/>
    <w:rsid w:val="061B2EA7"/>
    <w:rsid w:val="06625D07"/>
    <w:rsid w:val="07D57C66"/>
    <w:rsid w:val="07E62868"/>
    <w:rsid w:val="0860355C"/>
    <w:rsid w:val="08941246"/>
    <w:rsid w:val="08B5775D"/>
    <w:rsid w:val="08BE4230"/>
    <w:rsid w:val="091B25A8"/>
    <w:rsid w:val="0A24454F"/>
    <w:rsid w:val="0A5D30DF"/>
    <w:rsid w:val="0A857E12"/>
    <w:rsid w:val="0A8E5115"/>
    <w:rsid w:val="0B244CE2"/>
    <w:rsid w:val="0C617A53"/>
    <w:rsid w:val="0C6A11D7"/>
    <w:rsid w:val="0CF644CC"/>
    <w:rsid w:val="0D4C7B5B"/>
    <w:rsid w:val="0D952BE2"/>
    <w:rsid w:val="0DCA5721"/>
    <w:rsid w:val="0E7B0690"/>
    <w:rsid w:val="0E876966"/>
    <w:rsid w:val="0EB276DC"/>
    <w:rsid w:val="0EB320C7"/>
    <w:rsid w:val="0F26190D"/>
    <w:rsid w:val="0F5F5018"/>
    <w:rsid w:val="10213481"/>
    <w:rsid w:val="10590C70"/>
    <w:rsid w:val="106651B2"/>
    <w:rsid w:val="10BA3F38"/>
    <w:rsid w:val="11207478"/>
    <w:rsid w:val="112D46F1"/>
    <w:rsid w:val="1165379D"/>
    <w:rsid w:val="11A6547D"/>
    <w:rsid w:val="12DF344D"/>
    <w:rsid w:val="131D5B56"/>
    <w:rsid w:val="141E673A"/>
    <w:rsid w:val="14D21B94"/>
    <w:rsid w:val="14ED2F00"/>
    <w:rsid w:val="1542203B"/>
    <w:rsid w:val="15D9606D"/>
    <w:rsid w:val="15E837B6"/>
    <w:rsid w:val="16121E63"/>
    <w:rsid w:val="167338D6"/>
    <w:rsid w:val="16C77F24"/>
    <w:rsid w:val="173F3464"/>
    <w:rsid w:val="17695898"/>
    <w:rsid w:val="17B93920"/>
    <w:rsid w:val="18753447"/>
    <w:rsid w:val="18CC52A8"/>
    <w:rsid w:val="18F51D17"/>
    <w:rsid w:val="1AD24BF8"/>
    <w:rsid w:val="1B440FF1"/>
    <w:rsid w:val="1B6C5839"/>
    <w:rsid w:val="1B75221D"/>
    <w:rsid w:val="1B8A749A"/>
    <w:rsid w:val="1C1770DC"/>
    <w:rsid w:val="1CC35270"/>
    <w:rsid w:val="1D340FC1"/>
    <w:rsid w:val="1DA27692"/>
    <w:rsid w:val="1E2056A1"/>
    <w:rsid w:val="1F0316EC"/>
    <w:rsid w:val="1F083713"/>
    <w:rsid w:val="1F9C0DCB"/>
    <w:rsid w:val="1FE25205"/>
    <w:rsid w:val="20112832"/>
    <w:rsid w:val="20AB6F3D"/>
    <w:rsid w:val="212E6DFF"/>
    <w:rsid w:val="216A2092"/>
    <w:rsid w:val="21822C34"/>
    <w:rsid w:val="21AC2DA1"/>
    <w:rsid w:val="23142512"/>
    <w:rsid w:val="248B2265"/>
    <w:rsid w:val="24B330BF"/>
    <w:rsid w:val="24CA0D21"/>
    <w:rsid w:val="24E651BC"/>
    <w:rsid w:val="24EC60A7"/>
    <w:rsid w:val="259221C2"/>
    <w:rsid w:val="25D848EB"/>
    <w:rsid w:val="27146AEB"/>
    <w:rsid w:val="272636E7"/>
    <w:rsid w:val="27CB3CFB"/>
    <w:rsid w:val="27F50430"/>
    <w:rsid w:val="28712311"/>
    <w:rsid w:val="28737728"/>
    <w:rsid w:val="28C94DCB"/>
    <w:rsid w:val="29057D5C"/>
    <w:rsid w:val="29A9614F"/>
    <w:rsid w:val="2A375673"/>
    <w:rsid w:val="2A6B4DE4"/>
    <w:rsid w:val="2A7E29DF"/>
    <w:rsid w:val="2ACD58D9"/>
    <w:rsid w:val="2ADC521B"/>
    <w:rsid w:val="2AF02CFB"/>
    <w:rsid w:val="2C183999"/>
    <w:rsid w:val="2C547967"/>
    <w:rsid w:val="2C7E653D"/>
    <w:rsid w:val="2CF66355"/>
    <w:rsid w:val="2D031CB5"/>
    <w:rsid w:val="2D033DF4"/>
    <w:rsid w:val="2DAA6A17"/>
    <w:rsid w:val="2DF33873"/>
    <w:rsid w:val="2DF60091"/>
    <w:rsid w:val="2EB94419"/>
    <w:rsid w:val="2EC508EB"/>
    <w:rsid w:val="2F2B7F83"/>
    <w:rsid w:val="2F653811"/>
    <w:rsid w:val="2F6E397C"/>
    <w:rsid w:val="2F856CD2"/>
    <w:rsid w:val="308F1B0F"/>
    <w:rsid w:val="30DA7758"/>
    <w:rsid w:val="31104C0A"/>
    <w:rsid w:val="311C4B16"/>
    <w:rsid w:val="31222C59"/>
    <w:rsid w:val="318701C6"/>
    <w:rsid w:val="31CF6C6E"/>
    <w:rsid w:val="31E1325A"/>
    <w:rsid w:val="31F82151"/>
    <w:rsid w:val="32304637"/>
    <w:rsid w:val="32D65947"/>
    <w:rsid w:val="32E15007"/>
    <w:rsid w:val="337D3010"/>
    <w:rsid w:val="33C02684"/>
    <w:rsid w:val="341C036A"/>
    <w:rsid w:val="348A2BC2"/>
    <w:rsid w:val="349F645E"/>
    <w:rsid w:val="3534666C"/>
    <w:rsid w:val="35491A6C"/>
    <w:rsid w:val="35637F87"/>
    <w:rsid w:val="36501BF2"/>
    <w:rsid w:val="36702CC4"/>
    <w:rsid w:val="36C66560"/>
    <w:rsid w:val="36EB5648"/>
    <w:rsid w:val="37DE0F5A"/>
    <w:rsid w:val="380A2AE7"/>
    <w:rsid w:val="380D4081"/>
    <w:rsid w:val="38952140"/>
    <w:rsid w:val="38A42E15"/>
    <w:rsid w:val="38A96F72"/>
    <w:rsid w:val="38C10D32"/>
    <w:rsid w:val="3944370B"/>
    <w:rsid w:val="39A84195"/>
    <w:rsid w:val="39D71642"/>
    <w:rsid w:val="3A013469"/>
    <w:rsid w:val="3A10177B"/>
    <w:rsid w:val="3B16278B"/>
    <w:rsid w:val="3B584E8F"/>
    <w:rsid w:val="3B90207D"/>
    <w:rsid w:val="3C3607A3"/>
    <w:rsid w:val="3D624B5B"/>
    <w:rsid w:val="3DEB5C55"/>
    <w:rsid w:val="3E337AE2"/>
    <w:rsid w:val="3EF33F1F"/>
    <w:rsid w:val="3F9E436B"/>
    <w:rsid w:val="40320058"/>
    <w:rsid w:val="40427419"/>
    <w:rsid w:val="40B650D1"/>
    <w:rsid w:val="40D23E0A"/>
    <w:rsid w:val="41232409"/>
    <w:rsid w:val="416B74C6"/>
    <w:rsid w:val="42216F53"/>
    <w:rsid w:val="42DA26B3"/>
    <w:rsid w:val="43AA22D1"/>
    <w:rsid w:val="443E3CCB"/>
    <w:rsid w:val="44E73C4B"/>
    <w:rsid w:val="45A06798"/>
    <w:rsid w:val="464C721C"/>
    <w:rsid w:val="46FD7912"/>
    <w:rsid w:val="47193D85"/>
    <w:rsid w:val="474E4A23"/>
    <w:rsid w:val="489C5B78"/>
    <w:rsid w:val="48EA4238"/>
    <w:rsid w:val="49020E71"/>
    <w:rsid w:val="492D68E0"/>
    <w:rsid w:val="493939AC"/>
    <w:rsid w:val="49B27277"/>
    <w:rsid w:val="4A4925CA"/>
    <w:rsid w:val="4A8D6C48"/>
    <w:rsid w:val="4B363BC4"/>
    <w:rsid w:val="4B3C5B13"/>
    <w:rsid w:val="4BBC7A0D"/>
    <w:rsid w:val="4C9B6ED9"/>
    <w:rsid w:val="4CE53AF9"/>
    <w:rsid w:val="4D22019C"/>
    <w:rsid w:val="4D34440E"/>
    <w:rsid w:val="4DF26AA4"/>
    <w:rsid w:val="4E4730C2"/>
    <w:rsid w:val="4F286D5C"/>
    <w:rsid w:val="4FD9795D"/>
    <w:rsid w:val="504714B6"/>
    <w:rsid w:val="510E61D8"/>
    <w:rsid w:val="51204A85"/>
    <w:rsid w:val="51CA5684"/>
    <w:rsid w:val="52A80052"/>
    <w:rsid w:val="52BB3512"/>
    <w:rsid w:val="53606002"/>
    <w:rsid w:val="53917C17"/>
    <w:rsid w:val="53B911AE"/>
    <w:rsid w:val="53CC38DA"/>
    <w:rsid w:val="53D83451"/>
    <w:rsid w:val="53E82531"/>
    <w:rsid w:val="54436A02"/>
    <w:rsid w:val="54862934"/>
    <w:rsid w:val="54D95DA7"/>
    <w:rsid w:val="554E0A39"/>
    <w:rsid w:val="555A0C79"/>
    <w:rsid w:val="57194738"/>
    <w:rsid w:val="578000D1"/>
    <w:rsid w:val="582A4F27"/>
    <w:rsid w:val="583B2F8B"/>
    <w:rsid w:val="585E0F58"/>
    <w:rsid w:val="58B44F93"/>
    <w:rsid w:val="58E17240"/>
    <w:rsid w:val="5A01149C"/>
    <w:rsid w:val="5A0A62B5"/>
    <w:rsid w:val="5A215CD2"/>
    <w:rsid w:val="5AA841B6"/>
    <w:rsid w:val="5AC04225"/>
    <w:rsid w:val="5AD65E48"/>
    <w:rsid w:val="5AE465C8"/>
    <w:rsid w:val="5B0B14AE"/>
    <w:rsid w:val="5B6E0FA5"/>
    <w:rsid w:val="5BE0625F"/>
    <w:rsid w:val="5BEE0533"/>
    <w:rsid w:val="5BF2617F"/>
    <w:rsid w:val="5C0C094D"/>
    <w:rsid w:val="5C936A1C"/>
    <w:rsid w:val="5CAB0F3C"/>
    <w:rsid w:val="5CB41849"/>
    <w:rsid w:val="5DB72FB3"/>
    <w:rsid w:val="5DDA3376"/>
    <w:rsid w:val="5DF855F8"/>
    <w:rsid w:val="5E166067"/>
    <w:rsid w:val="5E3C3150"/>
    <w:rsid w:val="5E44155F"/>
    <w:rsid w:val="5E6332E6"/>
    <w:rsid w:val="5EE676EF"/>
    <w:rsid w:val="5EFB5AC6"/>
    <w:rsid w:val="5F34484B"/>
    <w:rsid w:val="5FA94633"/>
    <w:rsid w:val="5FAE7C49"/>
    <w:rsid w:val="600A3130"/>
    <w:rsid w:val="60D776C0"/>
    <w:rsid w:val="612A4834"/>
    <w:rsid w:val="61663B46"/>
    <w:rsid w:val="61EE4EDD"/>
    <w:rsid w:val="62AF33BC"/>
    <w:rsid w:val="6306794D"/>
    <w:rsid w:val="630D33A2"/>
    <w:rsid w:val="63780F87"/>
    <w:rsid w:val="63A50A3A"/>
    <w:rsid w:val="63D50687"/>
    <w:rsid w:val="65094C2F"/>
    <w:rsid w:val="650B4382"/>
    <w:rsid w:val="654263B4"/>
    <w:rsid w:val="65520A0B"/>
    <w:rsid w:val="65877D0C"/>
    <w:rsid w:val="659B4958"/>
    <w:rsid w:val="66501B28"/>
    <w:rsid w:val="66B83134"/>
    <w:rsid w:val="66C01DF7"/>
    <w:rsid w:val="675C4BDB"/>
    <w:rsid w:val="67CE10D2"/>
    <w:rsid w:val="68783D6D"/>
    <w:rsid w:val="6942281D"/>
    <w:rsid w:val="69436C43"/>
    <w:rsid w:val="69863BF7"/>
    <w:rsid w:val="699626A1"/>
    <w:rsid w:val="6A2E2523"/>
    <w:rsid w:val="6AC01BDC"/>
    <w:rsid w:val="6B3160CE"/>
    <w:rsid w:val="6B435DB8"/>
    <w:rsid w:val="6B7E321F"/>
    <w:rsid w:val="6BE0190F"/>
    <w:rsid w:val="6C1B2F56"/>
    <w:rsid w:val="6CBE1194"/>
    <w:rsid w:val="6D266C47"/>
    <w:rsid w:val="6D624D48"/>
    <w:rsid w:val="6DAD6D99"/>
    <w:rsid w:val="6E640EEC"/>
    <w:rsid w:val="6F752823"/>
    <w:rsid w:val="70165570"/>
    <w:rsid w:val="70363C6A"/>
    <w:rsid w:val="70B05132"/>
    <w:rsid w:val="70F41806"/>
    <w:rsid w:val="70F9380A"/>
    <w:rsid w:val="710243A6"/>
    <w:rsid w:val="71726C11"/>
    <w:rsid w:val="71D71E48"/>
    <w:rsid w:val="728E00C1"/>
    <w:rsid w:val="72C904D6"/>
    <w:rsid w:val="72CC3877"/>
    <w:rsid w:val="74263871"/>
    <w:rsid w:val="749F1CE5"/>
    <w:rsid w:val="74A04920"/>
    <w:rsid w:val="74AD4123"/>
    <w:rsid w:val="751327F2"/>
    <w:rsid w:val="756E5FAE"/>
    <w:rsid w:val="758763E9"/>
    <w:rsid w:val="75DE5969"/>
    <w:rsid w:val="762C4167"/>
    <w:rsid w:val="77A53D6F"/>
    <w:rsid w:val="79194E76"/>
    <w:rsid w:val="794277D9"/>
    <w:rsid w:val="795B4232"/>
    <w:rsid w:val="7A450172"/>
    <w:rsid w:val="7A8A052B"/>
    <w:rsid w:val="7BDB64D8"/>
    <w:rsid w:val="7C0C4B26"/>
    <w:rsid w:val="7C3D3700"/>
    <w:rsid w:val="7C8B54A2"/>
    <w:rsid w:val="7CE0523B"/>
    <w:rsid w:val="7D3B690E"/>
    <w:rsid w:val="7D86700F"/>
    <w:rsid w:val="7DDC735D"/>
    <w:rsid w:val="7E661A0C"/>
    <w:rsid w:val="7E7B3B01"/>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259"/>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nhideWhenUsed="0" w:uiPriority="0"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0" w:semiHidden="0" w:name="annotation text"/>
    <w:lsdException w:qFormat="1" w:uiPriority="99"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qFormat="1" w:unhideWhenUsed="0" w:uiPriority="0" w:semiHidden="0" w:name="envelope return"/>
    <w:lsdException w:uiPriority="99" w:name="footnote reference"/>
    <w:lsdException w:qFormat="1" w:unhideWhenUsed="0" w:uiPriority="0"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qFormat="1" w:uiPriority="99" w:name="Body Text First Indent"/>
    <w:lsdException w:qFormat="1" w:uiPriority="99" w:name="Body Text First Indent 2"/>
    <w:lsdException w:uiPriority="99" w:name="Note Heading"/>
    <w:lsdException w:qFormat="1" w:uiPriority="99" w:semiHidden="0" w:name="Body Text 2"/>
    <w:lsdException w:uiPriority="99" w:name="Body Text 3"/>
    <w:lsdException w:qFormat="1" w:unhideWhenUsed="0" w:uiPriority="0" w:semiHidden="0" w:name="Body Text Indent 2"/>
    <w:lsdException w:uiPriority="99" w:name="Body Text Indent 3"/>
    <w:lsdException w:uiPriority="99" w:name="Block Text"/>
    <w:lsdException w:qFormat="1" w:unhideWhenUsed="0"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semiHidden="0"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qFormat="1" w:unhideWhenUsed="0" w:uiPriority="0"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5">
    <w:name w:val="heading 1"/>
    <w:basedOn w:val="1"/>
    <w:next w:val="1"/>
    <w:link w:val="36"/>
    <w:qFormat/>
    <w:uiPriority w:val="9"/>
    <w:pPr>
      <w:keepNext/>
      <w:keepLines/>
      <w:spacing w:beforeLines="50" w:afterLines="50" w:line="520" w:lineRule="exact"/>
      <w:outlineLvl w:val="0"/>
    </w:pPr>
    <w:rPr>
      <w:rFonts w:ascii="Times New Roman" w:hAnsi="Times New Roman"/>
      <w:b/>
      <w:bCs/>
      <w:kern w:val="44"/>
      <w:sz w:val="32"/>
      <w:szCs w:val="44"/>
    </w:rPr>
  </w:style>
  <w:style w:type="paragraph" w:styleId="6">
    <w:name w:val="heading 2"/>
    <w:basedOn w:val="1"/>
    <w:next w:val="1"/>
    <w:link w:val="37"/>
    <w:unhideWhenUsed/>
    <w:qFormat/>
    <w:uiPriority w:val="9"/>
    <w:pPr>
      <w:keepNext/>
      <w:keepLines/>
      <w:spacing w:before="260" w:after="260" w:line="416" w:lineRule="auto"/>
      <w:outlineLvl w:val="1"/>
    </w:pPr>
    <w:rPr>
      <w:rFonts w:asciiTheme="majorHAnsi" w:hAnsiTheme="majorHAnsi" w:eastAsiaTheme="majorEastAsia" w:cstheme="majorBidi"/>
      <w:b/>
      <w:bCs/>
      <w:sz w:val="30"/>
      <w:szCs w:val="32"/>
    </w:rPr>
  </w:style>
  <w:style w:type="paragraph" w:styleId="7">
    <w:name w:val="heading 3"/>
    <w:basedOn w:val="1"/>
    <w:next w:val="1"/>
    <w:link w:val="38"/>
    <w:qFormat/>
    <w:uiPriority w:val="0"/>
    <w:pPr>
      <w:keepNext/>
      <w:keepLines/>
      <w:outlineLvl w:val="2"/>
    </w:pPr>
    <w:rPr>
      <w:rFonts w:ascii="Times New Roman" w:hAnsi="Times New Roman" w:eastAsia="宋体" w:cs="Times New Roman"/>
      <w:b/>
      <w:bCs/>
      <w:spacing w:val="10"/>
      <w:sz w:val="28"/>
      <w:szCs w:val="32"/>
    </w:rPr>
  </w:style>
  <w:style w:type="paragraph" w:styleId="8">
    <w:name w:val="heading 4"/>
    <w:basedOn w:val="1"/>
    <w:next w:val="1"/>
    <w:link w:val="39"/>
    <w:semiHidden/>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32">
    <w:name w:val="Default Paragraph Font"/>
    <w:semiHidden/>
    <w:unhideWhenUsed/>
    <w:qFormat/>
    <w:uiPriority w:val="1"/>
  </w:style>
  <w:style w:type="table" w:default="1" w:styleId="29">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next w:val="1"/>
    <w:link w:val="139"/>
    <w:semiHidden/>
    <w:unhideWhenUsed/>
    <w:qFormat/>
    <w:uiPriority w:val="99"/>
    <w:pPr>
      <w:spacing w:line="240" w:lineRule="auto"/>
      <w:ind w:firstLine="420"/>
    </w:pPr>
    <w:rPr>
      <w:rFonts w:asciiTheme="minorHAnsi" w:hAnsiTheme="minorHAnsi" w:eastAsiaTheme="minorEastAsia" w:cstheme="minorBidi"/>
      <w:sz w:val="21"/>
      <w:szCs w:val="22"/>
    </w:rPr>
  </w:style>
  <w:style w:type="paragraph" w:styleId="3">
    <w:name w:val="Body Text Indent"/>
    <w:basedOn w:val="1"/>
    <w:next w:val="4"/>
    <w:link w:val="45"/>
    <w:qFormat/>
    <w:uiPriority w:val="0"/>
    <w:pPr>
      <w:spacing w:after="120" w:line="360" w:lineRule="auto"/>
      <w:ind w:left="420" w:leftChars="200" w:firstLine="200" w:firstLineChars="200"/>
    </w:pPr>
    <w:rPr>
      <w:rFonts w:ascii="Times New Roman" w:hAnsi="Times New Roman" w:eastAsia="宋体" w:cs="Times New Roman"/>
      <w:sz w:val="24"/>
      <w:szCs w:val="24"/>
    </w:rPr>
  </w:style>
  <w:style w:type="paragraph" w:styleId="4">
    <w:name w:val="envelope return"/>
    <w:basedOn w:val="1"/>
    <w:qFormat/>
    <w:uiPriority w:val="0"/>
    <w:pPr>
      <w:tabs>
        <w:tab w:val="left" w:pos="180"/>
        <w:tab w:val="left" w:pos="360"/>
        <w:tab w:val="left" w:pos="540"/>
      </w:tabs>
      <w:snapToGrid w:val="0"/>
    </w:pPr>
    <w:rPr>
      <w:rFonts w:ascii="Arial" w:hAnsi="Arial"/>
    </w:rPr>
  </w:style>
  <w:style w:type="paragraph" w:styleId="9">
    <w:name w:val="Normal Indent"/>
    <w:basedOn w:val="1"/>
    <w:link w:val="42"/>
    <w:qFormat/>
    <w:uiPriority w:val="0"/>
    <w:pPr>
      <w:spacing w:line="500" w:lineRule="exact"/>
      <w:ind w:firstLine="200" w:firstLineChars="200"/>
    </w:pPr>
    <w:rPr>
      <w:rFonts w:ascii="宋体" w:hAnsi="Times New Roman" w:eastAsia="宋体" w:cs="Times New Roman"/>
      <w:sz w:val="28"/>
      <w:szCs w:val="20"/>
    </w:rPr>
  </w:style>
  <w:style w:type="paragraph" w:styleId="10">
    <w:name w:val="caption"/>
    <w:basedOn w:val="1"/>
    <w:next w:val="1"/>
    <w:link w:val="43"/>
    <w:qFormat/>
    <w:uiPriority w:val="0"/>
    <w:rPr>
      <w:rFonts w:ascii="Cambria" w:hAnsi="Cambria" w:eastAsia="黑体" w:cs="Times New Roman"/>
      <w:sz w:val="20"/>
      <w:szCs w:val="20"/>
    </w:rPr>
  </w:style>
  <w:style w:type="paragraph" w:styleId="11">
    <w:name w:val="annotation text"/>
    <w:basedOn w:val="1"/>
    <w:link w:val="40"/>
    <w:unhideWhenUsed/>
    <w:qFormat/>
    <w:uiPriority w:val="0"/>
    <w:pPr>
      <w:jc w:val="left"/>
    </w:pPr>
    <w:rPr>
      <w:szCs w:val="24"/>
    </w:rPr>
  </w:style>
  <w:style w:type="paragraph" w:styleId="12">
    <w:name w:val="Body Text"/>
    <w:basedOn w:val="1"/>
    <w:next w:val="1"/>
    <w:link w:val="44"/>
    <w:unhideWhenUsed/>
    <w:qFormat/>
    <w:uiPriority w:val="0"/>
    <w:pPr>
      <w:spacing w:after="120"/>
    </w:pPr>
  </w:style>
  <w:style w:type="paragraph" w:styleId="13">
    <w:name w:val="toc 3"/>
    <w:basedOn w:val="1"/>
    <w:next w:val="1"/>
    <w:unhideWhenUsed/>
    <w:qFormat/>
    <w:uiPriority w:val="39"/>
    <w:pPr>
      <w:ind w:left="840" w:leftChars="400"/>
    </w:pPr>
  </w:style>
  <w:style w:type="paragraph" w:styleId="14">
    <w:name w:val="Plain Text"/>
    <w:basedOn w:val="1"/>
    <w:link w:val="46"/>
    <w:qFormat/>
    <w:uiPriority w:val="0"/>
    <w:pPr>
      <w:snapToGrid w:val="0"/>
      <w:spacing w:line="320" w:lineRule="atLeast"/>
    </w:pPr>
    <w:rPr>
      <w:rFonts w:ascii="宋体" w:hAnsi="Courier New" w:eastAsia="宋体" w:cs="Times New Roman"/>
      <w:szCs w:val="20"/>
    </w:rPr>
  </w:style>
  <w:style w:type="paragraph" w:styleId="15">
    <w:name w:val="Date"/>
    <w:basedOn w:val="1"/>
    <w:next w:val="1"/>
    <w:link w:val="47"/>
    <w:semiHidden/>
    <w:unhideWhenUsed/>
    <w:qFormat/>
    <w:uiPriority w:val="99"/>
    <w:pPr>
      <w:ind w:left="100" w:leftChars="2500"/>
    </w:pPr>
  </w:style>
  <w:style w:type="paragraph" w:styleId="16">
    <w:name w:val="Body Text Indent 2"/>
    <w:basedOn w:val="1"/>
    <w:link w:val="96"/>
    <w:qFormat/>
    <w:uiPriority w:val="0"/>
    <w:pPr>
      <w:widowControl/>
      <w:spacing w:after="120" w:line="480" w:lineRule="auto"/>
      <w:ind w:left="420" w:leftChars="200"/>
      <w:jc w:val="left"/>
    </w:pPr>
    <w:rPr>
      <w:kern w:val="0"/>
      <w:sz w:val="20"/>
      <w:szCs w:val="20"/>
    </w:rPr>
  </w:style>
  <w:style w:type="paragraph" w:styleId="17">
    <w:name w:val="Balloon Text"/>
    <w:basedOn w:val="1"/>
    <w:link w:val="48"/>
    <w:unhideWhenUsed/>
    <w:qFormat/>
    <w:uiPriority w:val="0"/>
    <w:rPr>
      <w:sz w:val="18"/>
      <w:szCs w:val="18"/>
    </w:rPr>
  </w:style>
  <w:style w:type="paragraph" w:styleId="18">
    <w:name w:val="footer"/>
    <w:basedOn w:val="1"/>
    <w:link w:val="49"/>
    <w:unhideWhenUsed/>
    <w:qFormat/>
    <w:uiPriority w:val="99"/>
    <w:pPr>
      <w:tabs>
        <w:tab w:val="center" w:pos="4153"/>
        <w:tab w:val="right" w:pos="8306"/>
      </w:tabs>
      <w:snapToGrid w:val="0"/>
      <w:jc w:val="left"/>
    </w:pPr>
    <w:rPr>
      <w:sz w:val="18"/>
      <w:szCs w:val="18"/>
    </w:rPr>
  </w:style>
  <w:style w:type="paragraph" w:styleId="19">
    <w:name w:val="header"/>
    <w:basedOn w:val="1"/>
    <w:link w:val="50"/>
    <w:unhideWhenUsed/>
    <w:qFormat/>
    <w:uiPriority w:val="99"/>
    <w:pPr>
      <w:pBdr>
        <w:bottom w:val="single" w:color="auto" w:sz="6" w:space="1"/>
      </w:pBdr>
      <w:tabs>
        <w:tab w:val="center" w:pos="4153"/>
        <w:tab w:val="right" w:pos="8306"/>
      </w:tabs>
      <w:snapToGrid w:val="0"/>
      <w:jc w:val="center"/>
    </w:pPr>
    <w:rPr>
      <w:sz w:val="18"/>
      <w:szCs w:val="18"/>
    </w:rPr>
  </w:style>
  <w:style w:type="paragraph" w:styleId="20">
    <w:name w:val="toc 1"/>
    <w:basedOn w:val="1"/>
    <w:next w:val="1"/>
    <w:unhideWhenUsed/>
    <w:qFormat/>
    <w:uiPriority w:val="39"/>
  </w:style>
  <w:style w:type="paragraph" w:styleId="21">
    <w:name w:val="List"/>
    <w:basedOn w:val="1"/>
    <w:qFormat/>
    <w:uiPriority w:val="0"/>
    <w:pPr>
      <w:ind w:left="200" w:hanging="200" w:hangingChars="200"/>
      <w:contextualSpacing/>
    </w:pPr>
    <w:rPr>
      <w:rFonts w:ascii="Times New Roman" w:hAnsi="Times New Roman" w:eastAsia="宋体" w:cs="Times New Roman"/>
      <w:szCs w:val="20"/>
    </w:rPr>
  </w:style>
  <w:style w:type="paragraph" w:styleId="22">
    <w:name w:val="toc 2"/>
    <w:basedOn w:val="1"/>
    <w:next w:val="1"/>
    <w:unhideWhenUsed/>
    <w:qFormat/>
    <w:uiPriority w:val="39"/>
    <w:pPr>
      <w:ind w:left="420" w:leftChars="200"/>
    </w:pPr>
  </w:style>
  <w:style w:type="paragraph" w:styleId="23">
    <w:name w:val="Body Text 2"/>
    <w:basedOn w:val="1"/>
    <w:link w:val="51"/>
    <w:unhideWhenUsed/>
    <w:qFormat/>
    <w:uiPriority w:val="99"/>
    <w:pPr>
      <w:spacing w:after="120" w:line="480" w:lineRule="auto"/>
    </w:pPr>
  </w:style>
  <w:style w:type="paragraph" w:styleId="24">
    <w:name w:val="HTML Preformatted"/>
    <w:basedOn w:val="1"/>
    <w:link w:val="52"/>
    <w:unhideWhenUsed/>
    <w:qFormat/>
    <w:uiPriority w:val="99"/>
    <w:rPr>
      <w:rFonts w:ascii="Courier New" w:hAnsi="Courier New" w:cs="Courier New"/>
      <w:sz w:val="20"/>
      <w:szCs w:val="20"/>
    </w:rPr>
  </w:style>
  <w:style w:type="paragraph" w:styleId="25">
    <w:name w:val="Normal (Web)"/>
    <w:basedOn w:val="1"/>
    <w:link w:val="53"/>
    <w:unhideWhenUsed/>
    <w:qFormat/>
    <w:uiPriority w:val="99"/>
    <w:rPr>
      <w:rFonts w:ascii="Times New Roman" w:hAnsi="Times New Roman" w:eastAsia="宋体" w:cs="Times New Roman"/>
      <w:sz w:val="24"/>
      <w:szCs w:val="24"/>
    </w:rPr>
  </w:style>
  <w:style w:type="paragraph" w:styleId="26">
    <w:name w:val="Title"/>
    <w:basedOn w:val="1"/>
    <w:next w:val="1"/>
    <w:link w:val="54"/>
    <w:qFormat/>
    <w:uiPriority w:val="0"/>
    <w:pPr>
      <w:spacing w:before="240" w:after="60"/>
      <w:jc w:val="center"/>
      <w:outlineLvl w:val="0"/>
    </w:pPr>
    <w:rPr>
      <w:rFonts w:ascii="Cambria" w:hAnsi="Cambria" w:cs="Times New Roman"/>
      <w:b/>
      <w:bCs/>
      <w:sz w:val="32"/>
      <w:szCs w:val="32"/>
    </w:rPr>
  </w:style>
  <w:style w:type="paragraph" w:styleId="27">
    <w:name w:val="annotation subject"/>
    <w:basedOn w:val="11"/>
    <w:next w:val="11"/>
    <w:link w:val="41"/>
    <w:semiHidden/>
    <w:unhideWhenUsed/>
    <w:qFormat/>
    <w:uiPriority w:val="99"/>
    <w:rPr>
      <w:b/>
      <w:bCs/>
      <w:szCs w:val="22"/>
    </w:rPr>
  </w:style>
  <w:style w:type="paragraph" w:styleId="28">
    <w:name w:val="Body Text First Indent"/>
    <w:basedOn w:val="12"/>
    <w:link w:val="133"/>
    <w:semiHidden/>
    <w:unhideWhenUsed/>
    <w:qFormat/>
    <w:uiPriority w:val="99"/>
    <w:pPr>
      <w:ind w:firstLine="420" w:firstLineChars="100"/>
    </w:pPr>
  </w:style>
  <w:style w:type="table" w:styleId="30">
    <w:name w:val="Table Grid"/>
    <w:basedOn w:val="29"/>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31">
    <w:name w:val="Table Columns 5"/>
    <w:basedOn w:val="29"/>
    <w:semiHidden/>
    <w:qFormat/>
    <w:uiPriority w:val="0"/>
    <w:pPr>
      <w:widowControl w:val="0"/>
      <w:spacing w:line="500" w:lineRule="exact"/>
      <w:jc w:val="both"/>
    </w:pPr>
    <w:tblPr>
      <w:tblBorders>
        <w:top w:val="single" w:color="808080" w:sz="12" w:space="0"/>
        <w:left w:val="single" w:color="808080" w:sz="12" w:space="0"/>
        <w:bottom w:val="single" w:color="808080" w:sz="12" w:space="0"/>
        <w:right w:val="single" w:color="808080" w:sz="12" w:space="0"/>
        <w:insideV w:val="single" w:color="C0C0C0" w:sz="6" w:space="0"/>
      </w:tblBorders>
      <w:tblCellMar>
        <w:top w:w="0" w:type="dxa"/>
        <w:left w:w="108" w:type="dxa"/>
        <w:bottom w:w="0" w:type="dxa"/>
        <w:right w:w="108" w:type="dxa"/>
      </w:tblCellMar>
    </w:tblPr>
    <w:tblStylePr w:type="firstRow">
      <w:rPr>
        <w:b/>
        <w:bCs/>
        <w:i/>
        <w:iCs/>
      </w:rPr>
      <w:tblPr/>
      <w:tcPr>
        <w:tcBorders>
          <w:bottom w:val="single" w:color="808080" w:sz="6" w:space="0"/>
          <w:tl2br w:val="nil"/>
          <w:tr2bl w:val="nil"/>
        </w:tcBorders>
      </w:tcPr>
    </w:tblStylePr>
    <w:tblStylePr w:type="lastRow">
      <w:rPr>
        <w:b/>
        <w:bCs/>
      </w:rPr>
      <w:tblPr/>
      <w:tcPr>
        <w:tcBorders>
          <w:top w:val="single" w:color="80808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solid" w:color="C0C0C0" w:fill="FFFFFF"/>
      </w:tcPr>
    </w:tblStylePr>
    <w:tblStylePr w:type="band2Vert">
      <w:rPr>
        <w:color w:val="auto"/>
      </w:rPr>
    </w:tblStylePr>
  </w:style>
  <w:style w:type="character" w:styleId="33">
    <w:name w:val="Strong"/>
    <w:basedOn w:val="32"/>
    <w:qFormat/>
    <w:uiPriority w:val="22"/>
    <w:rPr>
      <w:b/>
      <w:bCs/>
    </w:rPr>
  </w:style>
  <w:style w:type="character" w:styleId="34">
    <w:name w:val="Hyperlink"/>
    <w:basedOn w:val="32"/>
    <w:qFormat/>
    <w:uiPriority w:val="99"/>
    <w:rPr>
      <w:color w:val="333333"/>
      <w:u w:val="none"/>
    </w:rPr>
  </w:style>
  <w:style w:type="character" w:styleId="35">
    <w:name w:val="annotation reference"/>
    <w:qFormat/>
    <w:uiPriority w:val="0"/>
    <w:rPr>
      <w:sz w:val="21"/>
      <w:szCs w:val="21"/>
    </w:rPr>
  </w:style>
  <w:style w:type="character" w:customStyle="1" w:styleId="36">
    <w:name w:val="标题 1 Char"/>
    <w:basedOn w:val="32"/>
    <w:link w:val="5"/>
    <w:qFormat/>
    <w:uiPriority w:val="9"/>
    <w:rPr>
      <w:rFonts w:eastAsiaTheme="minorEastAsia" w:cstheme="minorBidi"/>
      <w:b/>
      <w:bCs/>
      <w:kern w:val="44"/>
      <w:sz w:val="32"/>
      <w:szCs w:val="44"/>
    </w:rPr>
  </w:style>
  <w:style w:type="character" w:customStyle="1" w:styleId="37">
    <w:name w:val="标题 2 Char"/>
    <w:basedOn w:val="32"/>
    <w:link w:val="6"/>
    <w:qFormat/>
    <w:uiPriority w:val="9"/>
    <w:rPr>
      <w:rFonts w:asciiTheme="majorHAnsi" w:hAnsiTheme="majorHAnsi" w:eastAsiaTheme="majorEastAsia" w:cstheme="majorBidi"/>
      <w:b/>
      <w:bCs/>
      <w:kern w:val="2"/>
      <w:sz w:val="30"/>
      <w:szCs w:val="32"/>
    </w:rPr>
  </w:style>
  <w:style w:type="character" w:customStyle="1" w:styleId="38">
    <w:name w:val="标题 3 Char"/>
    <w:basedOn w:val="32"/>
    <w:link w:val="7"/>
    <w:qFormat/>
    <w:uiPriority w:val="0"/>
    <w:rPr>
      <w:b/>
      <w:bCs/>
      <w:spacing w:val="10"/>
      <w:kern w:val="2"/>
      <w:sz w:val="28"/>
      <w:szCs w:val="32"/>
    </w:rPr>
  </w:style>
  <w:style w:type="character" w:customStyle="1" w:styleId="39">
    <w:name w:val="标题 4 Char"/>
    <w:basedOn w:val="32"/>
    <w:link w:val="8"/>
    <w:semiHidden/>
    <w:qFormat/>
    <w:uiPriority w:val="9"/>
    <w:rPr>
      <w:rFonts w:asciiTheme="majorHAnsi" w:hAnsiTheme="majorHAnsi" w:eastAsiaTheme="majorEastAsia" w:cstheme="majorBidi"/>
      <w:b/>
      <w:bCs/>
      <w:kern w:val="2"/>
      <w:sz w:val="28"/>
      <w:szCs w:val="28"/>
    </w:rPr>
  </w:style>
  <w:style w:type="character" w:customStyle="1" w:styleId="40">
    <w:name w:val="批注文字 Char1"/>
    <w:basedOn w:val="32"/>
    <w:link w:val="11"/>
    <w:semiHidden/>
    <w:qFormat/>
    <w:uiPriority w:val="99"/>
  </w:style>
  <w:style w:type="character" w:customStyle="1" w:styleId="41">
    <w:name w:val="批注主题 Char"/>
    <w:basedOn w:val="40"/>
    <w:link w:val="27"/>
    <w:semiHidden/>
    <w:qFormat/>
    <w:uiPriority w:val="99"/>
    <w:rPr>
      <w:b/>
      <w:bCs/>
      <w:kern w:val="2"/>
      <w:sz w:val="21"/>
      <w:szCs w:val="22"/>
    </w:rPr>
  </w:style>
  <w:style w:type="character" w:customStyle="1" w:styleId="42">
    <w:name w:val="正文缩进 Char"/>
    <w:basedOn w:val="32"/>
    <w:link w:val="9"/>
    <w:qFormat/>
    <w:uiPriority w:val="0"/>
    <w:rPr>
      <w:rFonts w:ascii="宋体" w:hAnsi="Times New Roman" w:eastAsia="宋体" w:cs="Times New Roman"/>
      <w:kern w:val="2"/>
      <w:sz w:val="28"/>
    </w:rPr>
  </w:style>
  <w:style w:type="character" w:customStyle="1" w:styleId="43">
    <w:name w:val="题注 Char"/>
    <w:link w:val="10"/>
    <w:qFormat/>
    <w:uiPriority w:val="0"/>
    <w:rPr>
      <w:rFonts w:ascii="Cambria" w:hAnsi="Cambria" w:eastAsia="黑体" w:cs="Times New Roman"/>
      <w:kern w:val="2"/>
    </w:rPr>
  </w:style>
  <w:style w:type="character" w:customStyle="1" w:styleId="44">
    <w:name w:val="正文文本 Char"/>
    <w:basedOn w:val="32"/>
    <w:link w:val="12"/>
    <w:qFormat/>
    <w:uiPriority w:val="0"/>
  </w:style>
  <w:style w:type="character" w:customStyle="1" w:styleId="45">
    <w:name w:val="正文文本缩进 Char"/>
    <w:basedOn w:val="32"/>
    <w:link w:val="3"/>
    <w:qFormat/>
    <w:uiPriority w:val="0"/>
    <w:rPr>
      <w:rFonts w:ascii="Times New Roman" w:hAnsi="Times New Roman" w:eastAsia="宋体" w:cs="Times New Roman"/>
      <w:sz w:val="24"/>
      <w:szCs w:val="24"/>
    </w:rPr>
  </w:style>
  <w:style w:type="character" w:customStyle="1" w:styleId="46">
    <w:name w:val="纯文本 Char1"/>
    <w:basedOn w:val="32"/>
    <w:link w:val="14"/>
    <w:qFormat/>
    <w:uiPriority w:val="0"/>
    <w:rPr>
      <w:rFonts w:ascii="宋体" w:hAnsi="Courier New" w:eastAsia="宋体" w:cs="Times New Roman"/>
      <w:szCs w:val="20"/>
    </w:rPr>
  </w:style>
  <w:style w:type="character" w:customStyle="1" w:styleId="47">
    <w:name w:val="日期 Char"/>
    <w:basedOn w:val="32"/>
    <w:link w:val="15"/>
    <w:semiHidden/>
    <w:qFormat/>
    <w:uiPriority w:val="99"/>
    <w:rPr>
      <w:kern w:val="2"/>
      <w:sz w:val="21"/>
      <w:szCs w:val="22"/>
    </w:rPr>
  </w:style>
  <w:style w:type="character" w:customStyle="1" w:styleId="48">
    <w:name w:val="批注框文本 Char"/>
    <w:basedOn w:val="32"/>
    <w:link w:val="17"/>
    <w:semiHidden/>
    <w:qFormat/>
    <w:uiPriority w:val="99"/>
    <w:rPr>
      <w:sz w:val="18"/>
      <w:szCs w:val="18"/>
    </w:rPr>
  </w:style>
  <w:style w:type="character" w:customStyle="1" w:styleId="49">
    <w:name w:val="页脚 Char"/>
    <w:basedOn w:val="32"/>
    <w:link w:val="18"/>
    <w:qFormat/>
    <w:uiPriority w:val="99"/>
    <w:rPr>
      <w:sz w:val="18"/>
      <w:szCs w:val="18"/>
    </w:rPr>
  </w:style>
  <w:style w:type="character" w:customStyle="1" w:styleId="50">
    <w:name w:val="页眉 Char"/>
    <w:basedOn w:val="32"/>
    <w:link w:val="19"/>
    <w:qFormat/>
    <w:uiPriority w:val="99"/>
    <w:rPr>
      <w:sz w:val="18"/>
      <w:szCs w:val="18"/>
    </w:rPr>
  </w:style>
  <w:style w:type="character" w:customStyle="1" w:styleId="51">
    <w:name w:val="正文文本 2 Char"/>
    <w:basedOn w:val="32"/>
    <w:link w:val="23"/>
    <w:qFormat/>
    <w:uiPriority w:val="99"/>
    <w:rPr>
      <w:kern w:val="2"/>
      <w:sz w:val="21"/>
      <w:szCs w:val="22"/>
    </w:rPr>
  </w:style>
  <w:style w:type="character" w:customStyle="1" w:styleId="52">
    <w:name w:val="HTML 预设格式 Char"/>
    <w:basedOn w:val="32"/>
    <w:link w:val="24"/>
    <w:qFormat/>
    <w:uiPriority w:val="99"/>
    <w:rPr>
      <w:rFonts w:ascii="Courier New" w:hAnsi="Courier New" w:cs="Courier New"/>
      <w:kern w:val="2"/>
    </w:rPr>
  </w:style>
  <w:style w:type="character" w:customStyle="1" w:styleId="53">
    <w:name w:val="普通(网站) Char"/>
    <w:link w:val="25"/>
    <w:qFormat/>
    <w:uiPriority w:val="99"/>
    <w:rPr>
      <w:rFonts w:ascii="Times New Roman" w:hAnsi="Times New Roman" w:eastAsia="宋体" w:cs="Times New Roman"/>
      <w:kern w:val="2"/>
      <w:sz w:val="24"/>
      <w:szCs w:val="24"/>
    </w:rPr>
  </w:style>
  <w:style w:type="character" w:customStyle="1" w:styleId="54">
    <w:name w:val="标题 Char1"/>
    <w:basedOn w:val="32"/>
    <w:link w:val="26"/>
    <w:qFormat/>
    <w:uiPriority w:val="10"/>
    <w:rPr>
      <w:rFonts w:eastAsia="宋体" w:asciiTheme="majorHAnsi" w:hAnsiTheme="majorHAnsi" w:cstheme="majorBidi"/>
      <w:b/>
      <w:bCs/>
      <w:sz w:val="32"/>
      <w:szCs w:val="32"/>
    </w:rPr>
  </w:style>
  <w:style w:type="character" w:customStyle="1" w:styleId="55">
    <w:name w:val="纯文本 Char"/>
    <w:basedOn w:val="32"/>
    <w:qFormat/>
    <w:uiPriority w:val="0"/>
    <w:rPr>
      <w:rFonts w:ascii="宋体" w:hAnsi="Courier New" w:eastAsia="宋体" w:cs="Courier New"/>
      <w:szCs w:val="21"/>
    </w:rPr>
  </w:style>
  <w:style w:type="paragraph" w:customStyle="1" w:styleId="56">
    <w:name w:val="新表"/>
    <w:basedOn w:val="1"/>
    <w:qFormat/>
    <w:uiPriority w:val="0"/>
    <w:pPr>
      <w:spacing w:line="360" w:lineRule="exact"/>
    </w:pPr>
    <w:rPr>
      <w:rFonts w:ascii="Times New Roman" w:hAnsi="Times New Roman" w:eastAsia="FangSong_GB2312" w:cs="Times New Roman"/>
      <w:bCs/>
      <w:kern w:val="0"/>
      <w:sz w:val="24"/>
      <w:szCs w:val="20"/>
    </w:rPr>
  </w:style>
  <w:style w:type="paragraph" w:customStyle="1" w:styleId="57">
    <w:name w:val="表格文字"/>
    <w:basedOn w:val="1"/>
    <w:next w:val="14"/>
    <w:link w:val="58"/>
    <w:qFormat/>
    <w:uiPriority w:val="0"/>
    <w:pPr>
      <w:widowControl/>
      <w:jc w:val="left"/>
    </w:pPr>
    <w:rPr>
      <w:rFonts w:ascii="宋体" w:hAnsi="Courier New" w:eastAsia="宋体" w:cs="Times New Roman"/>
      <w:kern w:val="0"/>
      <w:sz w:val="24"/>
      <w:szCs w:val="20"/>
    </w:rPr>
  </w:style>
  <w:style w:type="character" w:customStyle="1" w:styleId="58">
    <w:name w:val="表格文字 Char"/>
    <w:link w:val="57"/>
    <w:qFormat/>
    <w:uiPriority w:val="0"/>
    <w:rPr>
      <w:rFonts w:ascii="宋体" w:hAnsi="Courier New" w:eastAsia="宋体" w:cs="Times New Roman"/>
      <w:kern w:val="0"/>
      <w:sz w:val="24"/>
      <w:szCs w:val="20"/>
    </w:rPr>
  </w:style>
  <w:style w:type="paragraph" w:customStyle="1" w:styleId="59">
    <w:name w:val="五号表格"/>
    <w:next w:val="1"/>
    <w:qFormat/>
    <w:uiPriority w:val="0"/>
    <w:pPr>
      <w:widowControl w:val="0"/>
      <w:spacing w:line="360" w:lineRule="auto"/>
      <w:ind w:firstLine="200" w:firstLineChars="200"/>
      <w:jc w:val="center"/>
    </w:pPr>
    <w:rPr>
      <w:rFonts w:ascii="Times New Roman" w:hAnsi="Times New Roman" w:eastAsia="宋体" w:cs="Times New Roman"/>
      <w:color w:val="000000"/>
      <w:spacing w:val="10"/>
      <w:kern w:val="2"/>
      <w:sz w:val="21"/>
      <w:szCs w:val="24"/>
      <w:lang w:val="en-GB" w:eastAsia="zh-CN" w:bidi="ar-SA"/>
    </w:rPr>
  </w:style>
  <w:style w:type="character" w:customStyle="1" w:styleId="60">
    <w:name w:val="标题 Char"/>
    <w:basedOn w:val="32"/>
    <w:qFormat/>
    <w:uiPriority w:val="0"/>
    <w:rPr>
      <w:rFonts w:ascii="Cambria" w:hAnsi="Cambria" w:cs="Times New Roman"/>
      <w:b/>
      <w:bCs/>
      <w:sz w:val="32"/>
      <w:szCs w:val="32"/>
    </w:rPr>
  </w:style>
  <w:style w:type="paragraph" w:styleId="61">
    <w:name w:val="List Paragraph"/>
    <w:basedOn w:val="1"/>
    <w:qFormat/>
    <w:uiPriority w:val="34"/>
    <w:pPr>
      <w:ind w:firstLine="420" w:firstLineChars="200"/>
    </w:pPr>
  </w:style>
  <w:style w:type="paragraph" w:customStyle="1" w:styleId="62">
    <w:name w:val="A正文"/>
    <w:basedOn w:val="1"/>
    <w:qFormat/>
    <w:uiPriority w:val="0"/>
    <w:pPr>
      <w:spacing w:line="360" w:lineRule="auto"/>
      <w:ind w:firstLine="200" w:firstLineChars="200"/>
    </w:pPr>
    <w:rPr>
      <w:rFonts w:ascii="Times New Roman" w:hAnsi="Times New Roman" w:eastAsia="宋体" w:cs="Times New Roman"/>
      <w:sz w:val="24"/>
      <w:szCs w:val="24"/>
    </w:rPr>
  </w:style>
  <w:style w:type="character" w:customStyle="1" w:styleId="63">
    <w:name w:val="批注文字 Char"/>
    <w:qFormat/>
    <w:uiPriority w:val="0"/>
    <w:rPr>
      <w:szCs w:val="24"/>
    </w:rPr>
  </w:style>
  <w:style w:type="character" w:customStyle="1" w:styleId="64">
    <w:name w:val="表体 Char"/>
    <w:link w:val="65"/>
    <w:qFormat/>
    <w:uiPriority w:val="0"/>
    <w:rPr>
      <w:color w:val="000080"/>
      <w:szCs w:val="24"/>
    </w:rPr>
  </w:style>
  <w:style w:type="paragraph" w:customStyle="1" w:styleId="65">
    <w:name w:val="表体"/>
    <w:basedOn w:val="1"/>
    <w:link w:val="64"/>
    <w:qFormat/>
    <w:uiPriority w:val="0"/>
    <w:pPr>
      <w:spacing w:before="40" w:after="40"/>
      <w:jc w:val="center"/>
    </w:pPr>
    <w:rPr>
      <w:color w:val="000080"/>
      <w:szCs w:val="24"/>
    </w:rPr>
  </w:style>
  <w:style w:type="character" w:customStyle="1" w:styleId="66">
    <w:name w:val="纯文本 Char2"/>
    <w:basedOn w:val="32"/>
    <w:qFormat/>
    <w:uiPriority w:val="0"/>
    <w:rPr>
      <w:rFonts w:ascii="宋体" w:hAnsi="Courier New" w:eastAsia="宋体"/>
      <w:kern w:val="2"/>
      <w:sz w:val="21"/>
      <w:lang w:val="en-US" w:eastAsia="zh-CN" w:bidi="ar-SA"/>
    </w:rPr>
  </w:style>
  <w:style w:type="character" w:customStyle="1" w:styleId="67">
    <w:name w:val="h Char"/>
    <w:qFormat/>
    <w:uiPriority w:val="0"/>
    <w:rPr>
      <w:rFonts w:eastAsia="宋体"/>
      <w:kern w:val="2"/>
      <w:sz w:val="18"/>
      <w:szCs w:val="18"/>
      <w:lang w:val="en-US" w:eastAsia="zh-CN" w:bidi="ar-SA"/>
    </w:rPr>
  </w:style>
  <w:style w:type="paragraph" w:customStyle="1" w:styleId="68">
    <w:name w:val="TOC 标题1"/>
    <w:basedOn w:val="5"/>
    <w:next w:val="1"/>
    <w:unhideWhenUsed/>
    <w:qFormat/>
    <w:uiPriority w:val="39"/>
    <w:pPr>
      <w:widowControl/>
      <w:spacing w:before="240" w:line="259" w:lineRule="auto"/>
      <w:jc w:val="left"/>
      <w:outlineLvl w:val="9"/>
    </w:pPr>
    <w:rPr>
      <w:rFonts w:asciiTheme="majorHAnsi" w:hAnsiTheme="majorHAnsi" w:eastAsiaTheme="majorEastAsia" w:cstheme="majorBidi"/>
      <w:b w:val="0"/>
      <w:bCs w:val="0"/>
      <w:color w:val="376092" w:themeColor="accent1" w:themeShade="BF"/>
      <w:kern w:val="0"/>
      <w:szCs w:val="32"/>
    </w:rPr>
  </w:style>
  <w:style w:type="paragraph" w:customStyle="1" w:styleId="69">
    <w:name w:val="Char1"/>
    <w:basedOn w:val="1"/>
    <w:qFormat/>
    <w:uiPriority w:val="0"/>
    <w:rPr>
      <w:rFonts w:ascii="Times New Roman" w:hAnsi="Times New Roman" w:eastAsia="宋体" w:cs="Times New Roman"/>
      <w:sz w:val="28"/>
      <w:szCs w:val="20"/>
    </w:rPr>
  </w:style>
  <w:style w:type="paragraph" w:customStyle="1" w:styleId="70">
    <w:name w:val="报告表格"/>
    <w:basedOn w:val="1"/>
    <w:qFormat/>
    <w:uiPriority w:val="0"/>
    <w:pPr>
      <w:autoSpaceDE w:val="0"/>
      <w:autoSpaceDN w:val="0"/>
      <w:adjustRightInd w:val="0"/>
      <w:spacing w:before="40" w:after="40"/>
      <w:jc w:val="center"/>
      <w:textAlignment w:val="bottom"/>
    </w:pPr>
    <w:rPr>
      <w:rFonts w:ascii="Times New Roman" w:hAnsi="Times New Roman" w:eastAsia="宋体" w:cs="Times New Roman"/>
      <w:kern w:val="0"/>
      <w:szCs w:val="20"/>
    </w:rPr>
  </w:style>
  <w:style w:type="character" w:customStyle="1" w:styleId="71">
    <w:name w:val="fontstyle01"/>
    <w:basedOn w:val="32"/>
    <w:qFormat/>
    <w:uiPriority w:val="0"/>
    <w:rPr>
      <w:rFonts w:hint="eastAsia" w:ascii="宋体" w:hAnsi="宋体" w:eastAsia="宋体"/>
      <w:color w:val="000000"/>
      <w:sz w:val="24"/>
      <w:szCs w:val="24"/>
    </w:rPr>
  </w:style>
  <w:style w:type="character" w:customStyle="1" w:styleId="72">
    <w:name w:val="fontstyle11"/>
    <w:basedOn w:val="32"/>
    <w:qFormat/>
    <w:uiPriority w:val="0"/>
    <w:rPr>
      <w:rFonts w:hint="default" w:ascii="TimesNewRomanPSMT" w:hAnsi="TimesNewRomanPSMT"/>
      <w:color w:val="000000"/>
      <w:sz w:val="24"/>
      <w:szCs w:val="24"/>
    </w:rPr>
  </w:style>
  <w:style w:type="table" w:customStyle="1" w:styleId="73">
    <w:name w:val="样式1"/>
    <w:basedOn w:val="29"/>
    <w:qFormat/>
    <w:uiPriority w:val="99"/>
    <w:tblPr>
      <w:tblBorders>
        <w:top w:val="double" w:color="auto" w:sz="4" w:space="0"/>
        <w:bottom w:val="doub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74">
    <w:name w:val="TOC 标题2"/>
    <w:basedOn w:val="5"/>
    <w:next w:val="1"/>
    <w:unhideWhenUsed/>
    <w:qFormat/>
    <w:uiPriority w:val="39"/>
    <w:pPr>
      <w:widowControl/>
      <w:spacing w:before="240" w:line="259" w:lineRule="auto"/>
      <w:jc w:val="left"/>
      <w:outlineLvl w:val="9"/>
    </w:pPr>
    <w:rPr>
      <w:rFonts w:asciiTheme="majorHAnsi" w:hAnsiTheme="majorHAnsi" w:eastAsiaTheme="majorEastAsia" w:cstheme="majorBidi"/>
      <w:b w:val="0"/>
      <w:bCs w:val="0"/>
      <w:color w:val="376092" w:themeColor="accent1" w:themeShade="BF"/>
      <w:kern w:val="0"/>
      <w:szCs w:val="32"/>
    </w:rPr>
  </w:style>
  <w:style w:type="paragraph" w:customStyle="1" w:styleId="75">
    <w:name w:val="表格"/>
    <w:basedOn w:val="1"/>
    <w:link w:val="108"/>
    <w:qFormat/>
    <w:uiPriority w:val="0"/>
    <w:pPr>
      <w:adjustRightInd w:val="0"/>
      <w:snapToGrid w:val="0"/>
      <w:spacing w:line="240" w:lineRule="atLeast"/>
      <w:jc w:val="center"/>
    </w:pPr>
    <w:rPr>
      <w:rFonts w:ascii="Times New Roman" w:hAnsi="Times New Roman" w:eastAsia="FangSong_GB2312" w:cs="Times New Roman"/>
      <w:szCs w:val="20"/>
    </w:rPr>
  </w:style>
  <w:style w:type="paragraph" w:customStyle="1" w:styleId="76">
    <w:name w:val="本文正文"/>
    <w:basedOn w:val="1"/>
    <w:qFormat/>
    <w:uiPriority w:val="0"/>
    <w:pPr>
      <w:autoSpaceDE w:val="0"/>
      <w:autoSpaceDN w:val="0"/>
      <w:adjustRightInd w:val="0"/>
      <w:spacing w:line="300" w:lineRule="auto"/>
      <w:ind w:firstLine="560" w:firstLineChars="200"/>
      <w:textAlignment w:val="baseline"/>
    </w:pPr>
    <w:rPr>
      <w:rFonts w:ascii="Times New Roman" w:hAnsi="Times New Roman" w:eastAsia="宋体" w:cs="Times New Roman"/>
      <w:sz w:val="28"/>
      <w:szCs w:val="20"/>
    </w:rPr>
  </w:style>
  <w:style w:type="paragraph" w:customStyle="1" w:styleId="77">
    <w:name w:val="表内字体"/>
    <w:basedOn w:val="1"/>
    <w:qFormat/>
    <w:uiPriority w:val="0"/>
    <w:pPr>
      <w:jc w:val="center"/>
    </w:pPr>
    <w:rPr>
      <w:rFonts w:ascii="Times New Roman" w:hAnsi="Times New Roman" w:eastAsia="FangSong_GB2312" w:cs="Times New Roman"/>
      <w:sz w:val="28"/>
      <w:szCs w:val="20"/>
    </w:rPr>
  </w:style>
  <w:style w:type="table" w:customStyle="1" w:styleId="78">
    <w:name w:val="网格型1"/>
    <w:basedOn w:val="29"/>
    <w:qFormat/>
    <w:uiPriority w:val="0"/>
    <w:pPr>
      <w:widowControl w:val="0"/>
      <w:jc w:val="both"/>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79">
    <w:name w:val="正文文本 (2)_"/>
    <w:basedOn w:val="32"/>
    <w:link w:val="80"/>
    <w:qFormat/>
    <w:uiPriority w:val="99"/>
    <w:rPr>
      <w:rFonts w:ascii="微软雅黑" w:eastAsia="微软雅黑" w:cs="微软雅黑"/>
      <w:spacing w:val="30"/>
      <w:sz w:val="26"/>
      <w:szCs w:val="26"/>
      <w:shd w:val="clear" w:color="auto" w:fill="FFFFFF"/>
    </w:rPr>
  </w:style>
  <w:style w:type="paragraph" w:customStyle="1" w:styleId="80">
    <w:name w:val="正文文本 (2)"/>
    <w:basedOn w:val="1"/>
    <w:link w:val="79"/>
    <w:qFormat/>
    <w:uiPriority w:val="99"/>
    <w:pPr>
      <w:shd w:val="clear" w:color="auto" w:fill="FFFFFF"/>
      <w:spacing w:after="360" w:line="240" w:lineRule="atLeast"/>
      <w:jc w:val="left"/>
    </w:pPr>
    <w:rPr>
      <w:rFonts w:ascii="微软雅黑" w:eastAsia="微软雅黑" w:cs="微软雅黑"/>
      <w:spacing w:val="30"/>
      <w:kern w:val="0"/>
      <w:sz w:val="26"/>
      <w:szCs w:val="26"/>
    </w:rPr>
  </w:style>
  <w:style w:type="character" w:customStyle="1" w:styleId="81">
    <w:name w:val="正文文本 (2) + 11 pt"/>
    <w:basedOn w:val="79"/>
    <w:qFormat/>
    <w:uiPriority w:val="99"/>
    <w:rPr>
      <w:rFonts w:ascii="微软雅黑" w:eastAsia="微软雅黑" w:cs="微软雅黑"/>
      <w:spacing w:val="0"/>
      <w:sz w:val="22"/>
      <w:szCs w:val="22"/>
      <w:shd w:val="clear" w:color="auto" w:fill="FFFFFF"/>
    </w:rPr>
  </w:style>
  <w:style w:type="character" w:customStyle="1" w:styleId="82">
    <w:name w:val="正文文本 (2) + SimHei"/>
    <w:basedOn w:val="79"/>
    <w:qFormat/>
    <w:uiPriority w:val="99"/>
    <w:rPr>
      <w:rFonts w:ascii="黑体" w:hAnsi="黑体" w:eastAsia="微软雅黑" w:cs="黑体"/>
      <w:spacing w:val="0"/>
      <w:w w:val="100"/>
      <w:sz w:val="28"/>
      <w:szCs w:val="28"/>
      <w:u w:val="none"/>
      <w:shd w:val="clear" w:color="auto" w:fill="FFFFFF"/>
      <w:lang w:val="en-US" w:eastAsia="en-US"/>
    </w:rPr>
  </w:style>
  <w:style w:type="character" w:customStyle="1" w:styleId="83">
    <w:name w:val="正文文本 (2) + 间距 3 pt"/>
    <w:basedOn w:val="79"/>
    <w:qFormat/>
    <w:uiPriority w:val="99"/>
    <w:rPr>
      <w:rFonts w:ascii="微软雅黑" w:eastAsia="微软雅黑" w:cs="微软雅黑"/>
      <w:spacing w:val="60"/>
      <w:sz w:val="26"/>
      <w:szCs w:val="26"/>
      <w:u w:val="none"/>
      <w:shd w:val="clear" w:color="auto" w:fill="FFFFFF"/>
    </w:rPr>
  </w:style>
  <w:style w:type="paragraph" w:customStyle="1" w:styleId="84">
    <w:name w:val="标题二二"/>
    <w:basedOn w:val="1"/>
    <w:next w:val="1"/>
    <w:link w:val="85"/>
    <w:qFormat/>
    <w:uiPriority w:val="0"/>
    <w:pPr>
      <w:adjustRightInd w:val="0"/>
      <w:snapToGrid w:val="0"/>
      <w:spacing w:before="360" w:after="360" w:line="360" w:lineRule="auto"/>
      <w:jc w:val="left"/>
      <w:outlineLvl w:val="1"/>
    </w:pPr>
    <w:rPr>
      <w:rFonts w:ascii="Times New Roman" w:hAnsi="Times New Roman" w:eastAsia="黑体"/>
      <w:sz w:val="32"/>
    </w:rPr>
  </w:style>
  <w:style w:type="character" w:customStyle="1" w:styleId="85">
    <w:name w:val="标题二二 Char"/>
    <w:basedOn w:val="32"/>
    <w:link w:val="84"/>
    <w:qFormat/>
    <w:uiPriority w:val="0"/>
    <w:rPr>
      <w:rFonts w:ascii="Times New Roman" w:hAnsi="Times New Roman" w:eastAsia="黑体"/>
      <w:kern w:val="2"/>
      <w:sz w:val="32"/>
      <w:szCs w:val="22"/>
    </w:rPr>
  </w:style>
  <w:style w:type="paragraph" w:customStyle="1" w:styleId="86">
    <w:name w:val="标题三三"/>
    <w:basedOn w:val="84"/>
    <w:next w:val="1"/>
    <w:link w:val="87"/>
    <w:qFormat/>
    <w:uiPriority w:val="0"/>
    <w:pPr>
      <w:spacing w:before="240" w:after="120"/>
      <w:outlineLvl w:val="2"/>
    </w:pPr>
    <w:rPr>
      <w:sz w:val="28"/>
    </w:rPr>
  </w:style>
  <w:style w:type="character" w:customStyle="1" w:styleId="87">
    <w:name w:val="标题三三 Char"/>
    <w:basedOn w:val="85"/>
    <w:link w:val="86"/>
    <w:qFormat/>
    <w:uiPriority w:val="0"/>
    <w:rPr>
      <w:rFonts w:ascii="Times New Roman" w:hAnsi="Times New Roman" w:eastAsia="黑体"/>
      <w:kern w:val="2"/>
      <w:sz w:val="28"/>
      <w:szCs w:val="22"/>
    </w:rPr>
  </w:style>
  <w:style w:type="paragraph" w:customStyle="1" w:styleId="88">
    <w:name w:val="样式 样式 样式 样式 样式 样式 正文 + 首行缩进:  2.25 字符 + 首行缩进:  2.25 字符 + 首行缩进:  ...1"/>
    <w:basedOn w:val="1"/>
    <w:qFormat/>
    <w:uiPriority w:val="0"/>
    <w:pPr>
      <w:spacing w:line="360" w:lineRule="auto"/>
      <w:ind w:firstLine="200" w:firstLineChars="200"/>
    </w:pPr>
    <w:rPr>
      <w:rFonts w:ascii="Times New Roman" w:hAnsi="Times New Roman" w:eastAsia="幼圆" w:cs="宋体"/>
      <w:spacing w:val="4"/>
      <w:sz w:val="24"/>
      <w:szCs w:val="20"/>
    </w:rPr>
  </w:style>
  <w:style w:type="paragraph" w:customStyle="1" w:styleId="89">
    <w:name w:val="表标题"/>
    <w:basedOn w:val="1"/>
    <w:link w:val="90"/>
    <w:qFormat/>
    <w:uiPriority w:val="0"/>
    <w:pPr>
      <w:keepNext/>
      <w:widowControl/>
      <w:tabs>
        <w:tab w:val="left" w:pos="3120"/>
      </w:tabs>
      <w:autoSpaceDE w:val="0"/>
      <w:autoSpaceDN w:val="0"/>
      <w:adjustRightInd w:val="0"/>
      <w:snapToGrid w:val="0"/>
      <w:spacing w:before="180" w:after="120" w:line="408" w:lineRule="atLeast"/>
      <w:ind w:firstLine="480" w:firstLineChars="200"/>
      <w:jc w:val="center"/>
      <w:textAlignment w:val="baseline"/>
    </w:pPr>
    <w:rPr>
      <w:rFonts w:ascii="宋体" w:hAnsi="宋体" w:eastAsia="楷体_GB2312" w:cs="Times New Roman"/>
      <w:b/>
      <w:bCs/>
      <w:snapToGrid w:val="0"/>
      <w:spacing w:val="2"/>
      <w:kern w:val="0"/>
      <w:sz w:val="24"/>
      <w:szCs w:val="28"/>
      <w:lang w:val="zh-CN"/>
    </w:rPr>
  </w:style>
  <w:style w:type="character" w:customStyle="1" w:styleId="90">
    <w:name w:val="表标题 Char"/>
    <w:link w:val="89"/>
    <w:qFormat/>
    <w:uiPriority w:val="0"/>
    <w:rPr>
      <w:rFonts w:ascii="宋体" w:hAnsi="宋体" w:eastAsia="楷体_GB2312" w:cs="Times New Roman"/>
      <w:b/>
      <w:bCs/>
      <w:snapToGrid w:val="0"/>
      <w:spacing w:val="2"/>
      <w:sz w:val="24"/>
      <w:szCs w:val="28"/>
      <w:lang w:val="zh-CN" w:eastAsia="zh-CN"/>
    </w:rPr>
  </w:style>
  <w:style w:type="paragraph" w:customStyle="1" w:styleId="91">
    <w:name w:val="Char Char Char1 Char"/>
    <w:basedOn w:val="1"/>
    <w:qFormat/>
    <w:uiPriority w:val="0"/>
    <w:rPr>
      <w:rFonts w:ascii="Calibri" w:hAnsi="Calibri" w:cs="Times New Roman"/>
      <w:szCs w:val="20"/>
    </w:rPr>
  </w:style>
  <w:style w:type="paragraph" w:customStyle="1" w:styleId="92">
    <w:name w:val="Default"/>
    <w:qFormat/>
    <w:uiPriority w:val="0"/>
    <w:pPr>
      <w:widowControl w:val="0"/>
      <w:autoSpaceDE w:val="0"/>
      <w:autoSpaceDN w:val="0"/>
      <w:adjustRightInd w:val="0"/>
    </w:pPr>
    <w:rPr>
      <w:rFonts w:ascii="宋体" w:eastAsia="宋体" w:cs="宋体" w:hAnsiTheme="minorHAnsi"/>
      <w:color w:val="000000"/>
      <w:sz w:val="24"/>
      <w:szCs w:val="24"/>
      <w:lang w:val="en-US" w:eastAsia="zh-CN" w:bidi="ar-SA"/>
    </w:rPr>
  </w:style>
  <w:style w:type="paragraph" w:customStyle="1" w:styleId="93">
    <w:name w:val="Char Char Char1 Char1"/>
    <w:basedOn w:val="1"/>
    <w:qFormat/>
    <w:uiPriority w:val="0"/>
    <w:rPr>
      <w:rFonts w:ascii="Calibri" w:hAnsi="Calibri" w:cs="Times New Roman"/>
      <w:szCs w:val="20"/>
    </w:rPr>
  </w:style>
  <w:style w:type="paragraph" w:customStyle="1" w:styleId="94">
    <w:name w:val="Char Char Char1 Char2"/>
    <w:basedOn w:val="1"/>
    <w:qFormat/>
    <w:uiPriority w:val="0"/>
    <w:rPr>
      <w:rFonts w:ascii="Calibri" w:hAnsi="Calibri" w:eastAsia="等线" w:cs="Times New Roman"/>
      <w:szCs w:val="20"/>
    </w:rPr>
  </w:style>
  <w:style w:type="paragraph" w:customStyle="1" w:styleId="95">
    <w:name w:val="纯文本1"/>
    <w:basedOn w:val="1"/>
    <w:qFormat/>
    <w:uiPriority w:val="0"/>
    <w:pPr>
      <w:spacing w:line="360" w:lineRule="auto"/>
    </w:pPr>
    <w:rPr>
      <w:rFonts w:ascii="Calibri" w:hAnsi="Calibri" w:eastAsia="等线" w:cs="Times New Roman"/>
      <w:sz w:val="24"/>
      <w:szCs w:val="21"/>
    </w:rPr>
  </w:style>
  <w:style w:type="character" w:customStyle="1" w:styleId="96">
    <w:name w:val="正文文本缩进 2 Char"/>
    <w:basedOn w:val="32"/>
    <w:link w:val="16"/>
    <w:qFormat/>
    <w:uiPriority w:val="0"/>
  </w:style>
  <w:style w:type="character" w:customStyle="1" w:styleId="97">
    <w:name w:val="正文文本缩进 2 字符"/>
    <w:basedOn w:val="32"/>
    <w:semiHidden/>
    <w:qFormat/>
    <w:uiPriority w:val="99"/>
    <w:rPr>
      <w:kern w:val="2"/>
      <w:sz w:val="21"/>
      <w:szCs w:val="22"/>
    </w:rPr>
  </w:style>
  <w:style w:type="paragraph" w:customStyle="1" w:styleId="98">
    <w:name w:val="_Style 11"/>
    <w:qFormat/>
    <w:uiPriority w:val="1"/>
    <w:pPr>
      <w:widowControl w:val="0"/>
      <w:jc w:val="both"/>
    </w:pPr>
    <w:rPr>
      <w:rFonts w:ascii="Calibri" w:hAnsi="Calibri" w:eastAsia="宋体" w:cs="Times New Roman"/>
      <w:kern w:val="2"/>
      <w:sz w:val="21"/>
      <w:szCs w:val="22"/>
      <w:lang w:val="en-US" w:eastAsia="zh-CN" w:bidi="ar-SA"/>
    </w:rPr>
  </w:style>
  <w:style w:type="paragraph" w:customStyle="1" w:styleId="99">
    <w:name w:val="Char Char Char1 Char3"/>
    <w:basedOn w:val="1"/>
    <w:qFormat/>
    <w:uiPriority w:val="0"/>
    <w:rPr>
      <w:rFonts w:ascii="Calibri" w:hAnsi="Calibri" w:eastAsia="等线" w:cs="Times New Roman"/>
      <w:szCs w:val="20"/>
    </w:rPr>
  </w:style>
  <w:style w:type="table" w:customStyle="1" w:styleId="100">
    <w:name w:val="表格类型1"/>
    <w:basedOn w:val="29"/>
    <w:qFormat/>
    <w:uiPriority w:val="0"/>
    <w:pPr>
      <w:widowControl w:val="0"/>
      <w:jc w:val="both"/>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101">
    <w:name w:val="Table Paragraph"/>
    <w:basedOn w:val="1"/>
    <w:qFormat/>
    <w:uiPriority w:val="1"/>
    <w:pPr>
      <w:jc w:val="left"/>
    </w:pPr>
    <w:rPr>
      <w:rFonts w:ascii="Calibri" w:hAnsi="Calibri" w:eastAsia="宋体" w:cs="Times New Roman"/>
      <w:kern w:val="0"/>
      <w:sz w:val="22"/>
      <w:lang w:eastAsia="en-US"/>
    </w:rPr>
  </w:style>
  <w:style w:type="paragraph" w:customStyle="1" w:styleId="102">
    <w:name w:val="样式 小四"/>
    <w:basedOn w:val="1"/>
    <w:qFormat/>
    <w:uiPriority w:val="0"/>
    <w:pPr>
      <w:spacing w:beforeLines="50" w:line="300" w:lineRule="auto"/>
      <w:ind w:firstLine="200" w:firstLineChars="200"/>
    </w:pPr>
    <w:rPr>
      <w:rFonts w:cs="宋体"/>
      <w:sz w:val="24"/>
      <w:szCs w:val="20"/>
    </w:rPr>
  </w:style>
  <w:style w:type="paragraph" w:customStyle="1" w:styleId="103">
    <w:name w:val="正文文本－5号字"/>
    <w:basedOn w:val="12"/>
    <w:qFormat/>
    <w:uiPriority w:val="0"/>
    <w:pPr>
      <w:spacing w:before="78" w:after="0" w:line="480" w:lineRule="exact"/>
      <w:ind w:firstLine="480" w:firstLineChars="200"/>
    </w:pPr>
    <w:rPr>
      <w:sz w:val="24"/>
    </w:rPr>
  </w:style>
  <w:style w:type="paragraph" w:customStyle="1" w:styleId="104">
    <w:name w:val="！正文"/>
    <w:qFormat/>
    <w:uiPriority w:val="0"/>
    <w:pPr>
      <w:widowControl w:val="0"/>
      <w:spacing w:line="520" w:lineRule="exact"/>
      <w:ind w:firstLine="200" w:firstLineChars="200"/>
      <w:jc w:val="both"/>
    </w:pPr>
    <w:rPr>
      <w:rFonts w:ascii="Times New Roman" w:hAnsi="Times New Roman" w:eastAsia="宋体" w:cs="Times New Roman"/>
      <w:color w:val="000000"/>
      <w:kern w:val="2"/>
      <w:sz w:val="24"/>
      <w:szCs w:val="30"/>
      <w:lang w:val="en-US" w:eastAsia="zh-CN" w:bidi="ar-SA"/>
    </w:rPr>
  </w:style>
  <w:style w:type="paragraph" w:customStyle="1" w:styleId="105">
    <w:name w:val="1正文段落"/>
    <w:basedOn w:val="1"/>
    <w:qFormat/>
    <w:uiPriority w:val="0"/>
    <w:pPr>
      <w:spacing w:line="520" w:lineRule="exact"/>
      <w:ind w:firstLine="200" w:firstLineChars="200"/>
    </w:pPr>
    <w:rPr>
      <w:rFonts w:ascii="Times New Roman" w:hAnsi="Times New Roman" w:eastAsia="宋体" w:cs="Times New Roman"/>
      <w:snapToGrid w:val="0"/>
      <w:kern w:val="0"/>
      <w:sz w:val="24"/>
      <w:szCs w:val="24"/>
    </w:rPr>
  </w:style>
  <w:style w:type="paragraph" w:customStyle="1" w:styleId="106">
    <w:name w:val="1表格"/>
    <w:basedOn w:val="1"/>
    <w:link w:val="107"/>
    <w:qFormat/>
    <w:uiPriority w:val="0"/>
    <w:pPr>
      <w:snapToGrid w:val="0"/>
      <w:spacing w:line="160" w:lineRule="atLeast"/>
      <w:jc w:val="center"/>
    </w:pPr>
    <w:rPr>
      <w:rFonts w:ascii="Times New Roman" w:hAnsi="Times New Roman" w:eastAsia="宋体" w:cs="Times New Roman"/>
      <w:szCs w:val="20"/>
    </w:rPr>
  </w:style>
  <w:style w:type="character" w:customStyle="1" w:styleId="107">
    <w:name w:val="1表格 Char"/>
    <w:link w:val="106"/>
    <w:qFormat/>
    <w:uiPriority w:val="0"/>
    <w:rPr>
      <w:kern w:val="2"/>
      <w:sz w:val="21"/>
    </w:rPr>
  </w:style>
  <w:style w:type="character" w:customStyle="1" w:styleId="108">
    <w:name w:val="表格 Char Char"/>
    <w:link w:val="75"/>
    <w:qFormat/>
    <w:uiPriority w:val="0"/>
    <w:rPr>
      <w:rFonts w:eastAsia="FangSong_GB2312"/>
      <w:kern w:val="2"/>
      <w:sz w:val="21"/>
    </w:rPr>
  </w:style>
  <w:style w:type="character" w:customStyle="1" w:styleId="109">
    <w:name w:val="修改正文 Char Char"/>
    <w:link w:val="110"/>
    <w:qFormat/>
    <w:uiPriority w:val="0"/>
    <w:rPr>
      <w:rFonts w:eastAsia="楷体_GB2312"/>
      <w:b/>
      <w:color w:val="0000FF"/>
      <w:kern w:val="2"/>
      <w:sz w:val="24"/>
      <w:szCs w:val="24"/>
    </w:rPr>
  </w:style>
  <w:style w:type="paragraph" w:customStyle="1" w:styleId="110">
    <w:name w:val="修改正文"/>
    <w:basedOn w:val="1"/>
    <w:link w:val="109"/>
    <w:qFormat/>
    <w:uiPriority w:val="0"/>
    <w:pPr>
      <w:ind w:firstLine="518" w:firstLineChars="200"/>
    </w:pPr>
    <w:rPr>
      <w:rFonts w:ascii="Times New Roman" w:hAnsi="Times New Roman" w:eastAsia="楷体_GB2312" w:cs="Times New Roman"/>
      <w:b/>
      <w:color w:val="0000FF"/>
      <w:sz w:val="24"/>
      <w:szCs w:val="24"/>
    </w:rPr>
  </w:style>
  <w:style w:type="paragraph" w:customStyle="1" w:styleId="111">
    <w:name w:val="正文11"/>
    <w:basedOn w:val="1"/>
    <w:qFormat/>
    <w:uiPriority w:val="0"/>
    <w:pPr>
      <w:spacing w:line="360" w:lineRule="auto"/>
      <w:ind w:firstLine="200" w:firstLineChars="200"/>
    </w:pPr>
    <w:rPr>
      <w:rFonts w:ascii="Times New Roman" w:hAnsi="Times New Roman" w:eastAsia="宋体" w:cs="Times New Roman"/>
      <w:spacing w:val="8"/>
      <w:sz w:val="24"/>
      <w:szCs w:val="20"/>
    </w:rPr>
  </w:style>
  <w:style w:type="character" w:customStyle="1" w:styleId="112">
    <w:name w:val="正文缩进 Char1"/>
    <w:qFormat/>
    <w:uiPriority w:val="0"/>
    <w:rPr>
      <w:rFonts w:eastAsia="宋体"/>
      <w:sz w:val="24"/>
      <w:lang w:val="en-US" w:eastAsia="zh-CN" w:bidi="ar-SA"/>
    </w:rPr>
  </w:style>
  <w:style w:type="character" w:customStyle="1" w:styleId="113">
    <w:name w:val="段落 Char1"/>
    <w:qFormat/>
    <w:uiPriority w:val="0"/>
    <w:rPr>
      <w:rFonts w:eastAsia="宋体"/>
      <w:kern w:val="2"/>
      <w:sz w:val="24"/>
      <w:lang w:val="en-US" w:eastAsia="zh-CN"/>
    </w:rPr>
  </w:style>
  <w:style w:type="character" w:customStyle="1" w:styleId="114">
    <w:name w:val="报告 Char Char"/>
    <w:link w:val="115"/>
    <w:qFormat/>
    <w:uiPriority w:val="0"/>
    <w:rPr>
      <w:sz w:val="24"/>
    </w:rPr>
  </w:style>
  <w:style w:type="paragraph" w:customStyle="1" w:styleId="115">
    <w:name w:val="报告"/>
    <w:basedOn w:val="1"/>
    <w:link w:val="114"/>
    <w:qFormat/>
    <w:uiPriority w:val="0"/>
    <w:pPr>
      <w:adjustRightInd w:val="0"/>
      <w:spacing w:line="360" w:lineRule="auto"/>
      <w:ind w:firstLine="505"/>
      <w:textAlignment w:val="baseline"/>
    </w:pPr>
    <w:rPr>
      <w:rFonts w:ascii="Times New Roman" w:hAnsi="Times New Roman" w:eastAsia="宋体" w:cs="Times New Roman"/>
      <w:kern w:val="0"/>
      <w:sz w:val="24"/>
      <w:szCs w:val="20"/>
    </w:rPr>
  </w:style>
  <w:style w:type="paragraph" w:customStyle="1" w:styleId="116">
    <w:name w:val="小四表文左齐"/>
    <w:basedOn w:val="1"/>
    <w:qFormat/>
    <w:uiPriority w:val="0"/>
    <w:pPr>
      <w:spacing w:line="360" w:lineRule="exact"/>
      <w:jc w:val="center"/>
    </w:pPr>
    <w:rPr>
      <w:rFonts w:ascii="Times New Roman" w:hAnsi="宋体" w:eastAsia="宋体" w:cs="Times New Roman"/>
      <w:szCs w:val="24"/>
    </w:rPr>
  </w:style>
  <w:style w:type="character" w:customStyle="1" w:styleId="117">
    <w:name w:val="表格正文 Char1"/>
    <w:link w:val="118"/>
    <w:qFormat/>
    <w:uiPriority w:val="0"/>
  </w:style>
  <w:style w:type="paragraph" w:customStyle="1" w:styleId="118">
    <w:name w:val="表格正文"/>
    <w:basedOn w:val="1"/>
    <w:link w:val="117"/>
    <w:qFormat/>
    <w:uiPriority w:val="0"/>
    <w:pPr>
      <w:widowControl/>
      <w:adjustRightInd w:val="0"/>
      <w:snapToGrid w:val="0"/>
      <w:spacing w:line="360" w:lineRule="exact"/>
      <w:jc w:val="center"/>
    </w:pPr>
    <w:rPr>
      <w:rFonts w:ascii="Times New Roman" w:hAnsi="Times New Roman" w:eastAsia="宋体" w:cs="Times New Roman"/>
      <w:kern w:val="0"/>
      <w:sz w:val="20"/>
      <w:szCs w:val="20"/>
    </w:rPr>
  </w:style>
  <w:style w:type="character" w:customStyle="1" w:styleId="119">
    <w:name w:val="font21"/>
    <w:basedOn w:val="32"/>
    <w:qFormat/>
    <w:uiPriority w:val="0"/>
    <w:rPr>
      <w:rFonts w:hint="eastAsia" w:ascii="宋体" w:hAnsi="宋体" w:eastAsia="宋体" w:cs="宋体"/>
      <w:color w:val="000000"/>
      <w:sz w:val="20"/>
      <w:szCs w:val="20"/>
      <w:u w:val="none"/>
    </w:rPr>
  </w:style>
  <w:style w:type="character" w:customStyle="1" w:styleId="120">
    <w:name w:val="font01"/>
    <w:basedOn w:val="32"/>
    <w:qFormat/>
    <w:uiPriority w:val="0"/>
    <w:rPr>
      <w:rFonts w:ascii="宋体" w:hAnsi="宋体" w:eastAsia="宋体" w:cs="宋体"/>
      <w:color w:val="000000"/>
      <w:sz w:val="20"/>
      <w:szCs w:val="20"/>
      <w:u w:val="none"/>
    </w:rPr>
  </w:style>
  <w:style w:type="character" w:customStyle="1" w:styleId="121">
    <w:name w:val="font11"/>
    <w:basedOn w:val="32"/>
    <w:qFormat/>
    <w:uiPriority w:val="0"/>
    <w:rPr>
      <w:rFonts w:hint="eastAsia" w:ascii="华文楷体" w:hAnsi="华文楷体" w:eastAsia="华文楷体" w:cs="华文楷体"/>
      <w:color w:val="000000"/>
      <w:sz w:val="20"/>
      <w:szCs w:val="20"/>
      <w:u w:val="none"/>
    </w:rPr>
  </w:style>
  <w:style w:type="paragraph" w:customStyle="1" w:styleId="122">
    <w:name w:val="表格内容"/>
    <w:basedOn w:val="1"/>
    <w:link w:val="123"/>
    <w:qFormat/>
    <w:uiPriority w:val="0"/>
    <w:pPr>
      <w:spacing w:line="360" w:lineRule="exact"/>
      <w:jc w:val="center"/>
    </w:pPr>
    <w:rPr>
      <w:rFonts w:ascii="Times New Roman" w:hAnsi="Times New Roman" w:eastAsia="宋体" w:cs="Times New Roman"/>
      <w:szCs w:val="21"/>
    </w:rPr>
  </w:style>
  <w:style w:type="character" w:customStyle="1" w:styleId="123">
    <w:name w:val="表格内容 Char"/>
    <w:basedOn w:val="32"/>
    <w:link w:val="122"/>
    <w:qFormat/>
    <w:uiPriority w:val="0"/>
    <w:rPr>
      <w:kern w:val="2"/>
      <w:sz w:val="21"/>
      <w:szCs w:val="21"/>
    </w:rPr>
  </w:style>
  <w:style w:type="character" w:customStyle="1" w:styleId="124">
    <w:name w:val="font141"/>
    <w:qFormat/>
    <w:uiPriority w:val="0"/>
    <w:rPr>
      <w:rFonts w:hint="eastAsia" w:ascii="宋体" w:hAnsi="宋体" w:eastAsia="宋体" w:cs="宋体"/>
      <w:color w:val="0000FF"/>
      <w:sz w:val="20"/>
      <w:szCs w:val="20"/>
      <w:u w:val="none"/>
    </w:rPr>
  </w:style>
  <w:style w:type="character" w:customStyle="1" w:styleId="125">
    <w:name w:val="font121"/>
    <w:qFormat/>
    <w:uiPriority w:val="0"/>
    <w:rPr>
      <w:rFonts w:hint="eastAsia" w:ascii="宋体" w:hAnsi="宋体" w:eastAsia="宋体" w:cs="宋体"/>
      <w:color w:val="000000"/>
      <w:sz w:val="20"/>
      <w:szCs w:val="20"/>
      <w:u w:val="none"/>
    </w:rPr>
  </w:style>
  <w:style w:type="character" w:customStyle="1" w:styleId="126">
    <w:name w:val="font112"/>
    <w:qFormat/>
    <w:uiPriority w:val="0"/>
    <w:rPr>
      <w:rFonts w:hint="default" w:ascii="Times New Roman" w:hAnsi="Times New Roman" w:cs="Times New Roman"/>
      <w:color w:val="000000"/>
      <w:sz w:val="22"/>
      <w:szCs w:val="22"/>
      <w:u w:val="none"/>
    </w:rPr>
  </w:style>
  <w:style w:type="character" w:customStyle="1" w:styleId="127">
    <w:name w:val="font131"/>
    <w:qFormat/>
    <w:uiPriority w:val="0"/>
    <w:rPr>
      <w:rFonts w:hint="default" w:ascii="Times New Roman" w:hAnsi="Times New Roman" w:cs="Times New Roman"/>
      <w:color w:val="000000"/>
      <w:sz w:val="20"/>
      <w:szCs w:val="20"/>
      <w:u w:val="none"/>
    </w:rPr>
  </w:style>
  <w:style w:type="character" w:customStyle="1" w:styleId="128">
    <w:name w:val="font71"/>
    <w:qFormat/>
    <w:uiPriority w:val="0"/>
    <w:rPr>
      <w:rFonts w:hint="eastAsia" w:ascii="宋体" w:hAnsi="宋体" w:eastAsia="宋体" w:cs="宋体"/>
      <w:color w:val="000000"/>
      <w:sz w:val="21"/>
      <w:szCs w:val="21"/>
      <w:u w:val="single"/>
    </w:rPr>
  </w:style>
  <w:style w:type="character" w:customStyle="1" w:styleId="129">
    <w:name w:val="font81"/>
    <w:qFormat/>
    <w:uiPriority w:val="0"/>
    <w:rPr>
      <w:rFonts w:hint="default" w:ascii="Times New Roman" w:hAnsi="Times New Roman" w:cs="Times New Roman"/>
      <w:color w:val="0000FF"/>
      <w:sz w:val="21"/>
      <w:szCs w:val="21"/>
      <w:u w:val="none"/>
    </w:rPr>
  </w:style>
  <w:style w:type="character" w:customStyle="1" w:styleId="130">
    <w:name w:val="font101"/>
    <w:qFormat/>
    <w:uiPriority w:val="0"/>
    <w:rPr>
      <w:rFonts w:hint="eastAsia" w:ascii="宋体" w:hAnsi="宋体" w:eastAsia="宋体" w:cs="宋体"/>
      <w:color w:val="000000"/>
      <w:sz w:val="21"/>
      <w:szCs w:val="21"/>
      <w:u w:val="none"/>
    </w:rPr>
  </w:style>
  <w:style w:type="paragraph" w:customStyle="1" w:styleId="131">
    <w:name w:val="君邦正文"/>
    <w:qFormat/>
    <w:uiPriority w:val="0"/>
    <w:pPr>
      <w:spacing w:after="60" w:line="360" w:lineRule="auto"/>
      <w:ind w:firstLine="480" w:firstLineChars="200"/>
      <w:jc w:val="both"/>
    </w:pPr>
    <w:rPr>
      <w:rFonts w:ascii="Times New Roman" w:hAnsi="Times New Roman" w:eastAsia="宋体" w:cs="Times New Roman"/>
      <w:bCs/>
      <w:snapToGrid w:val="0"/>
      <w:sz w:val="24"/>
      <w:szCs w:val="22"/>
      <w:lang w:val="en-US" w:eastAsia="zh-CN" w:bidi="ar-SA"/>
    </w:rPr>
  </w:style>
  <w:style w:type="paragraph" w:customStyle="1" w:styleId="132">
    <w:name w:val="24磅正文"/>
    <w:basedOn w:val="1"/>
    <w:qFormat/>
    <w:uiPriority w:val="0"/>
    <w:pPr>
      <w:spacing w:line="480" w:lineRule="exact"/>
      <w:ind w:firstLine="480" w:firstLineChars="200"/>
    </w:pPr>
    <w:rPr>
      <w:rFonts w:ascii="Times New Roman" w:hAnsi="Times New Roman" w:eastAsia="宋体" w:cs="Times New Roman"/>
      <w:kern w:val="0"/>
      <w:sz w:val="20"/>
      <w:szCs w:val="20"/>
    </w:rPr>
  </w:style>
  <w:style w:type="character" w:customStyle="1" w:styleId="133">
    <w:name w:val="正文首行缩进 Char"/>
    <w:basedOn w:val="44"/>
    <w:link w:val="28"/>
    <w:semiHidden/>
    <w:qFormat/>
    <w:uiPriority w:val="99"/>
    <w:rPr>
      <w:rFonts w:asciiTheme="minorHAnsi" w:hAnsiTheme="minorHAnsi" w:eastAsiaTheme="minorEastAsia" w:cstheme="minorBidi"/>
      <w:kern w:val="2"/>
      <w:sz w:val="21"/>
      <w:szCs w:val="22"/>
    </w:rPr>
  </w:style>
  <w:style w:type="paragraph" w:customStyle="1" w:styleId="134">
    <w:name w:val="正文－1.5行距－段后6磅"/>
    <w:basedOn w:val="1"/>
    <w:link w:val="135"/>
    <w:qFormat/>
    <w:uiPriority w:val="0"/>
    <w:pPr>
      <w:spacing w:after="120" w:line="360" w:lineRule="auto"/>
      <w:ind w:firstLine="200" w:firstLineChars="200"/>
    </w:pPr>
    <w:rPr>
      <w:rFonts w:ascii="Calibri" w:hAnsi="Calibri" w:eastAsia="宋体" w:cs="Times New Roman"/>
      <w:kern w:val="0"/>
      <w:sz w:val="24"/>
      <w:szCs w:val="21"/>
    </w:rPr>
  </w:style>
  <w:style w:type="character" w:customStyle="1" w:styleId="135">
    <w:name w:val="正文－1.5行距－段后6磅 Char"/>
    <w:link w:val="134"/>
    <w:qFormat/>
    <w:uiPriority w:val="0"/>
    <w:rPr>
      <w:rFonts w:ascii="Calibri" w:hAnsi="Calibri"/>
      <w:sz w:val="24"/>
      <w:szCs w:val="21"/>
    </w:rPr>
  </w:style>
  <w:style w:type="paragraph" w:customStyle="1" w:styleId="136">
    <w:name w:val="正式（1）"/>
    <w:basedOn w:val="1"/>
    <w:qFormat/>
    <w:uiPriority w:val="0"/>
    <w:pPr>
      <w:spacing w:line="360" w:lineRule="auto"/>
      <w:ind w:firstLine="200"/>
    </w:pPr>
    <w:rPr>
      <w:rFonts w:ascii="Times New Roman" w:hAnsi="Times New Roman" w:eastAsia="宋体" w:cs="Times New Roman"/>
      <w:color w:val="000000"/>
      <w:spacing w:val="10"/>
      <w:kern w:val="1"/>
      <w:sz w:val="24"/>
      <w:szCs w:val="24"/>
    </w:rPr>
  </w:style>
  <w:style w:type="character" w:customStyle="1" w:styleId="137">
    <w:name w:val="报告正文1 Char"/>
    <w:link w:val="138"/>
    <w:qFormat/>
    <w:uiPriority w:val="0"/>
    <w:rPr>
      <w:rFonts w:ascii="Calibri" w:hAnsi="Calibri"/>
      <w:color w:val="000000"/>
      <w:kern w:val="2"/>
      <w:sz w:val="24"/>
      <w:szCs w:val="24"/>
    </w:rPr>
  </w:style>
  <w:style w:type="paragraph" w:customStyle="1" w:styleId="138">
    <w:name w:val="报告正文1"/>
    <w:link w:val="137"/>
    <w:qFormat/>
    <w:uiPriority w:val="0"/>
    <w:pPr>
      <w:spacing w:line="360" w:lineRule="auto"/>
      <w:ind w:firstLine="200" w:firstLineChars="200"/>
    </w:pPr>
    <w:rPr>
      <w:rFonts w:ascii="Calibri" w:hAnsi="Calibri" w:eastAsia="宋体" w:cs="Times New Roman"/>
      <w:color w:val="000000"/>
      <w:sz w:val="24"/>
      <w:szCs w:val="24"/>
      <w:lang w:val="en-US" w:eastAsia="zh-CN" w:bidi="ar-SA"/>
    </w:rPr>
  </w:style>
  <w:style w:type="character" w:customStyle="1" w:styleId="139">
    <w:name w:val="正文首行缩进 2 Char"/>
    <w:basedOn w:val="45"/>
    <w:link w:val="2"/>
    <w:semiHidden/>
    <w:qFormat/>
    <w:uiPriority w:val="99"/>
    <w:rPr>
      <w:rFonts w:asciiTheme="minorHAnsi" w:hAnsiTheme="minorHAnsi" w:eastAsiaTheme="minorEastAsia" w:cstheme="minorBidi"/>
      <w:kern w:val="2"/>
      <w:sz w:val="21"/>
      <w:szCs w:val="22"/>
    </w:rPr>
  </w:style>
  <w:style w:type="character" w:customStyle="1" w:styleId="140">
    <w:name w:val="表内格式 Char"/>
    <w:link w:val="141"/>
    <w:qFormat/>
    <w:locked/>
    <w:uiPriority w:val="0"/>
    <w:rPr>
      <w:rFonts w:ascii="仿宋_GB2312" w:eastAsia="仿宋_GB2312"/>
    </w:rPr>
  </w:style>
  <w:style w:type="paragraph" w:customStyle="1" w:styleId="141">
    <w:name w:val="表内格式"/>
    <w:basedOn w:val="1"/>
    <w:link w:val="140"/>
    <w:qFormat/>
    <w:uiPriority w:val="0"/>
    <w:pPr>
      <w:keepLines/>
      <w:spacing w:line="360" w:lineRule="auto"/>
      <w:ind w:firstLine="200" w:firstLineChars="200"/>
      <w:jc w:val="center"/>
    </w:pPr>
    <w:rPr>
      <w:rFonts w:ascii="仿宋_GB2312" w:hAnsi="Times New Roman" w:eastAsia="仿宋_GB2312" w:cs="Times New Roman"/>
      <w:kern w:val="0"/>
      <w:sz w:val="20"/>
      <w:szCs w:val="20"/>
    </w:rPr>
  </w:style>
  <w:style w:type="paragraph" w:customStyle="1" w:styleId="142">
    <w:name w:val="表内文字1"/>
    <w:basedOn w:val="1"/>
    <w:qFormat/>
    <w:uiPriority w:val="0"/>
    <w:pPr>
      <w:spacing w:line="440" w:lineRule="exact"/>
    </w:pPr>
    <w:rPr>
      <w:rFonts w:ascii="Times New Roman" w:hAnsi="Times New Roman" w:eastAsia="宋体" w:cs="Times New Roman"/>
      <w:color w:val="000000"/>
      <w:kern w:val="0"/>
      <w:sz w:val="24"/>
      <w:szCs w:val="20"/>
    </w:rPr>
  </w:style>
  <w:style w:type="paragraph" w:customStyle="1" w:styleId="143">
    <w:name w:val="标准表格5"/>
    <w:basedOn w:val="1"/>
    <w:qFormat/>
    <w:uiPriority w:val="0"/>
    <w:pPr>
      <w:widowControl/>
      <w:spacing w:line="320" w:lineRule="atLeast"/>
      <w:jc w:val="center"/>
    </w:pPr>
    <w:rPr>
      <w:rFonts w:ascii="Times New Roman" w:hAnsi="Times New Roman" w:eastAsia="宋体" w:cs="Times New Roman"/>
      <w:color w:val="000000"/>
      <w:kern w:val="0"/>
      <w:sz w:val="24"/>
      <w:szCs w:val="21"/>
    </w:rPr>
  </w:style>
  <w:style w:type="character" w:customStyle="1" w:styleId="144">
    <w:name w:val="font51"/>
    <w:qFormat/>
    <w:uiPriority w:val="0"/>
    <w:rPr>
      <w:rFonts w:hint="default" w:ascii="Times New Roman" w:hAnsi="Times New Roman" w:cs="Times New Roman"/>
      <w:color w:val="000000"/>
      <w:sz w:val="18"/>
      <w:szCs w:val="18"/>
      <w:u w:val="none"/>
      <w:vertAlign w:val="superscript"/>
    </w:rPr>
  </w:style>
  <w:style w:type="paragraph" w:customStyle="1" w:styleId="145">
    <w:name w:val="样式 样式 小四 行距: 固定值 20 磅 + 首行缩进:  2 字符"/>
    <w:basedOn w:val="1"/>
    <w:qFormat/>
    <w:uiPriority w:val="0"/>
    <w:pPr>
      <w:spacing w:line="480" w:lineRule="exact"/>
      <w:ind w:firstLine="200" w:firstLineChars="200"/>
    </w:pPr>
    <w:rPr>
      <w:rFonts w:cs="宋体"/>
      <w:sz w:val="28"/>
      <w:szCs w:val="20"/>
    </w:rPr>
  </w:style>
  <w:style w:type="paragraph" w:customStyle="1" w:styleId="146">
    <w:name w:val="Default1"/>
    <w:qFormat/>
    <w:uiPriority w:val="0"/>
    <w:pPr>
      <w:widowControl w:val="0"/>
      <w:autoSpaceDE w:val="0"/>
      <w:autoSpaceDN w:val="0"/>
      <w:adjustRightInd w:val="0"/>
    </w:pPr>
    <w:rPr>
      <w:rFonts w:ascii="宋体" w:hAnsi="Times New Roman" w:eastAsia="宋体" w:cs="宋体"/>
      <w:snapToGrid w:val="0"/>
      <w:color w:val="000000"/>
      <w:kern w:val="2"/>
      <w:sz w:val="24"/>
      <w:szCs w:val="24"/>
      <w:lang w:val="en-US" w:eastAsia="zh-CN" w:bidi="ar-SA"/>
    </w:rPr>
  </w:style>
  <w:style w:type="paragraph" w:customStyle="1" w:styleId="147">
    <w:name w:val="我的表格"/>
    <w:basedOn w:val="1"/>
    <w:qFormat/>
    <w:uiPriority w:val="0"/>
    <w:pPr>
      <w:autoSpaceDE w:val="0"/>
      <w:autoSpaceDN w:val="0"/>
      <w:adjustRightInd w:val="0"/>
      <w:jc w:val="center"/>
    </w:pPr>
    <w:rPr>
      <w:rFonts w:eastAsia="宋体"/>
      <w:kern w:val="0"/>
      <w:szCs w:val="21"/>
    </w:rPr>
  </w:style>
  <w:style w:type="paragraph" w:customStyle="1" w:styleId="148">
    <w:name w:val="【表格】"/>
    <w:next w:val="28"/>
    <w:qFormat/>
    <w:uiPriority w:val="0"/>
    <w:pPr>
      <w:spacing w:line="360" w:lineRule="auto"/>
      <w:jc w:val="center"/>
    </w:pPr>
    <w:rPr>
      <w:rFonts w:ascii="Times New Roman" w:hAnsi="Times New Roman" w:eastAsia="宋体" w:cs="Times New Roman"/>
      <w:sz w:val="21"/>
      <w:szCs w:val="24"/>
      <w:lang w:val="en-US" w:eastAsia="zh-CN" w:bidi="ar-SA"/>
    </w:rPr>
  </w:style>
  <w:style w:type="paragraph" w:customStyle="1" w:styleId="149">
    <w:name w:val="正文111"/>
    <w:basedOn w:val="1"/>
    <w:qFormat/>
    <w:uiPriority w:val="0"/>
    <w:pPr>
      <w:spacing w:line="440" w:lineRule="exact"/>
      <w:ind w:firstLine="480" w:firstLineChars="200"/>
    </w:pPr>
    <w:rPr>
      <w:sz w:val="24"/>
      <w:szCs w:val="24"/>
    </w:rPr>
  </w:style>
  <w:style w:type="paragraph" w:customStyle="1" w:styleId="150">
    <w:name w:val="样式 正文首行缩进:  2 字符 + 首行缩进:  2 字符"/>
    <w:basedOn w:val="1"/>
    <w:qFormat/>
    <w:uiPriority w:val="0"/>
    <w:pPr>
      <w:spacing w:line="360" w:lineRule="auto"/>
      <w:ind w:firstLine="480" w:firstLineChars="200"/>
    </w:pPr>
    <w:rPr>
      <w:rFonts w:cs="宋体"/>
      <w:sz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89.png"/><Relationship Id="rId98" Type="http://schemas.openxmlformats.org/officeDocument/2006/relationships/image" Target="media/image88.png"/><Relationship Id="rId97" Type="http://schemas.openxmlformats.org/officeDocument/2006/relationships/image" Target="media/image87.png"/><Relationship Id="rId96" Type="http://schemas.openxmlformats.org/officeDocument/2006/relationships/image" Target="media/image86.png"/><Relationship Id="rId95" Type="http://schemas.openxmlformats.org/officeDocument/2006/relationships/image" Target="media/image85.png"/><Relationship Id="rId94" Type="http://schemas.openxmlformats.org/officeDocument/2006/relationships/image" Target="media/image84.png"/><Relationship Id="rId93" Type="http://schemas.openxmlformats.org/officeDocument/2006/relationships/image" Target="media/image83.png"/><Relationship Id="rId92" Type="http://schemas.openxmlformats.org/officeDocument/2006/relationships/image" Target="media/image82.png"/><Relationship Id="rId91" Type="http://schemas.openxmlformats.org/officeDocument/2006/relationships/image" Target="media/image81.png"/><Relationship Id="rId90" Type="http://schemas.openxmlformats.org/officeDocument/2006/relationships/image" Target="media/image80.png"/><Relationship Id="rId9" Type="http://schemas.openxmlformats.org/officeDocument/2006/relationships/header" Target="header3.xml"/><Relationship Id="rId89" Type="http://schemas.openxmlformats.org/officeDocument/2006/relationships/image" Target="media/image79.png"/><Relationship Id="rId88" Type="http://schemas.openxmlformats.org/officeDocument/2006/relationships/image" Target="media/image78.png"/><Relationship Id="rId87" Type="http://schemas.openxmlformats.org/officeDocument/2006/relationships/image" Target="media/image77.png"/><Relationship Id="rId86" Type="http://schemas.openxmlformats.org/officeDocument/2006/relationships/image" Target="media/image76.png"/><Relationship Id="rId85" Type="http://schemas.openxmlformats.org/officeDocument/2006/relationships/image" Target="media/image75.png"/><Relationship Id="rId84" Type="http://schemas.openxmlformats.org/officeDocument/2006/relationships/image" Target="media/image74.png"/><Relationship Id="rId83" Type="http://schemas.openxmlformats.org/officeDocument/2006/relationships/image" Target="media/image73.png"/><Relationship Id="rId82" Type="http://schemas.openxmlformats.org/officeDocument/2006/relationships/image" Target="media/image72.png"/><Relationship Id="rId81" Type="http://schemas.openxmlformats.org/officeDocument/2006/relationships/image" Target="media/image71.jpeg"/><Relationship Id="rId80" Type="http://schemas.openxmlformats.org/officeDocument/2006/relationships/image" Target="media/image70.jpeg"/><Relationship Id="rId8" Type="http://schemas.openxmlformats.org/officeDocument/2006/relationships/header" Target="header2.xml"/><Relationship Id="rId79" Type="http://schemas.openxmlformats.org/officeDocument/2006/relationships/image" Target="media/image69.jpeg"/><Relationship Id="rId78" Type="http://schemas.openxmlformats.org/officeDocument/2006/relationships/image" Target="media/image68.jpeg"/><Relationship Id="rId77" Type="http://schemas.openxmlformats.org/officeDocument/2006/relationships/image" Target="media/image67.jpeg"/><Relationship Id="rId76" Type="http://schemas.openxmlformats.org/officeDocument/2006/relationships/image" Target="media/image66.jpeg"/><Relationship Id="rId75" Type="http://schemas.openxmlformats.org/officeDocument/2006/relationships/image" Target="media/image65.jpeg"/><Relationship Id="rId74" Type="http://schemas.openxmlformats.org/officeDocument/2006/relationships/image" Target="media/image64.jpeg"/><Relationship Id="rId73" Type="http://schemas.openxmlformats.org/officeDocument/2006/relationships/image" Target="media/image63.jpeg"/><Relationship Id="rId72" Type="http://schemas.openxmlformats.org/officeDocument/2006/relationships/image" Target="media/image62.jpeg"/><Relationship Id="rId71" Type="http://schemas.openxmlformats.org/officeDocument/2006/relationships/image" Target="media/image61.jpeg"/><Relationship Id="rId70" Type="http://schemas.openxmlformats.org/officeDocument/2006/relationships/image" Target="media/image60.jpeg"/><Relationship Id="rId7" Type="http://schemas.openxmlformats.org/officeDocument/2006/relationships/footer" Target="footer4.xml"/><Relationship Id="rId69" Type="http://schemas.openxmlformats.org/officeDocument/2006/relationships/image" Target="media/image59.jpeg"/><Relationship Id="rId68" Type="http://schemas.openxmlformats.org/officeDocument/2006/relationships/image" Target="media/image58.jpeg"/><Relationship Id="rId67" Type="http://schemas.openxmlformats.org/officeDocument/2006/relationships/image" Target="media/image57.jpeg"/><Relationship Id="rId66" Type="http://schemas.openxmlformats.org/officeDocument/2006/relationships/image" Target="media/image56.jpeg"/><Relationship Id="rId65" Type="http://schemas.openxmlformats.org/officeDocument/2006/relationships/image" Target="media/image55.jpeg"/><Relationship Id="rId64" Type="http://schemas.openxmlformats.org/officeDocument/2006/relationships/image" Target="media/image54.jpeg"/><Relationship Id="rId63" Type="http://schemas.openxmlformats.org/officeDocument/2006/relationships/image" Target="media/image53.jpeg"/><Relationship Id="rId62" Type="http://schemas.openxmlformats.org/officeDocument/2006/relationships/image" Target="media/image52.jpeg"/><Relationship Id="rId61" Type="http://schemas.openxmlformats.org/officeDocument/2006/relationships/image" Target="media/image51.jpeg"/><Relationship Id="rId60" Type="http://schemas.openxmlformats.org/officeDocument/2006/relationships/image" Target="media/image50.jpeg"/><Relationship Id="rId6" Type="http://schemas.openxmlformats.org/officeDocument/2006/relationships/footer" Target="footer3.xml"/><Relationship Id="rId59" Type="http://schemas.openxmlformats.org/officeDocument/2006/relationships/image" Target="media/image49.jpeg"/><Relationship Id="rId58" Type="http://schemas.openxmlformats.org/officeDocument/2006/relationships/image" Target="media/image48.jpeg"/><Relationship Id="rId57" Type="http://schemas.openxmlformats.org/officeDocument/2006/relationships/image" Target="media/image47.jpeg"/><Relationship Id="rId56" Type="http://schemas.openxmlformats.org/officeDocument/2006/relationships/image" Target="media/image46.jpeg"/><Relationship Id="rId55" Type="http://schemas.openxmlformats.org/officeDocument/2006/relationships/image" Target="media/image45.jpeg"/><Relationship Id="rId54" Type="http://schemas.openxmlformats.org/officeDocument/2006/relationships/image" Target="media/image44.jpeg"/><Relationship Id="rId53" Type="http://schemas.openxmlformats.org/officeDocument/2006/relationships/image" Target="media/image43.jpeg"/><Relationship Id="rId52" Type="http://schemas.openxmlformats.org/officeDocument/2006/relationships/image" Target="media/image42.jpeg"/><Relationship Id="rId51" Type="http://schemas.openxmlformats.org/officeDocument/2006/relationships/image" Target="media/image41.jpeg"/><Relationship Id="rId50" Type="http://schemas.openxmlformats.org/officeDocument/2006/relationships/image" Target="media/image40.jpeg"/><Relationship Id="rId5" Type="http://schemas.openxmlformats.org/officeDocument/2006/relationships/footer" Target="footer2.xml"/><Relationship Id="rId49" Type="http://schemas.openxmlformats.org/officeDocument/2006/relationships/image" Target="media/image39.jpeg"/><Relationship Id="rId48" Type="http://schemas.openxmlformats.org/officeDocument/2006/relationships/image" Target="media/image38.jpeg"/><Relationship Id="rId47" Type="http://schemas.openxmlformats.org/officeDocument/2006/relationships/image" Target="media/image37.jpeg"/><Relationship Id="rId46" Type="http://schemas.openxmlformats.org/officeDocument/2006/relationships/image" Target="media/image36.jpeg"/><Relationship Id="rId45" Type="http://schemas.openxmlformats.org/officeDocument/2006/relationships/image" Target="media/image35.jpeg"/><Relationship Id="rId44" Type="http://schemas.openxmlformats.org/officeDocument/2006/relationships/image" Target="media/image34.jpeg"/><Relationship Id="rId43" Type="http://schemas.openxmlformats.org/officeDocument/2006/relationships/image" Target="media/image33.jpeg"/><Relationship Id="rId42" Type="http://schemas.openxmlformats.org/officeDocument/2006/relationships/image" Target="media/image32.jpeg"/><Relationship Id="rId41" Type="http://schemas.openxmlformats.org/officeDocument/2006/relationships/image" Target="media/image31.jpeg"/><Relationship Id="rId40" Type="http://schemas.openxmlformats.org/officeDocument/2006/relationships/image" Target="media/image30.jpeg"/><Relationship Id="rId4" Type="http://schemas.openxmlformats.org/officeDocument/2006/relationships/header" Target="header1.xml"/><Relationship Id="rId39" Type="http://schemas.openxmlformats.org/officeDocument/2006/relationships/image" Target="media/image29.jpeg"/><Relationship Id="rId38" Type="http://schemas.openxmlformats.org/officeDocument/2006/relationships/image" Target="media/image28.jpeg"/><Relationship Id="rId37" Type="http://schemas.openxmlformats.org/officeDocument/2006/relationships/image" Target="media/image27.jpeg"/><Relationship Id="rId36" Type="http://schemas.openxmlformats.org/officeDocument/2006/relationships/image" Target="media/image26.jpeg"/><Relationship Id="rId35" Type="http://schemas.openxmlformats.org/officeDocument/2006/relationships/image" Target="media/image25.jpeg"/><Relationship Id="rId34" Type="http://schemas.openxmlformats.org/officeDocument/2006/relationships/image" Target="media/image24.jpe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footer" Target="footer1.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jpeg"/><Relationship Id="rId22" Type="http://schemas.openxmlformats.org/officeDocument/2006/relationships/image" Target="media/image12.jpeg"/><Relationship Id="rId21" Type="http://schemas.openxmlformats.org/officeDocument/2006/relationships/image" Target="media/image11.jpeg"/><Relationship Id="rId20" Type="http://schemas.openxmlformats.org/officeDocument/2006/relationships/image" Target="media/image10.jpeg"/><Relationship Id="rId2" Type="http://schemas.openxmlformats.org/officeDocument/2006/relationships/settings" Target="settings.xml"/><Relationship Id="rId19" Type="http://schemas.openxmlformats.org/officeDocument/2006/relationships/image" Target="media/image9.jpe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11" Type="http://schemas.openxmlformats.org/officeDocument/2006/relationships/fontTable" Target="fontTable.xml"/><Relationship Id="rId110" Type="http://schemas.openxmlformats.org/officeDocument/2006/relationships/customXml" Target="../customXml/item2.xml"/><Relationship Id="rId11" Type="http://schemas.openxmlformats.org/officeDocument/2006/relationships/image" Target="media/image1.png"/><Relationship Id="rId109" Type="http://schemas.openxmlformats.org/officeDocument/2006/relationships/numbering" Target="numbering.xml"/><Relationship Id="rId108" Type="http://schemas.openxmlformats.org/officeDocument/2006/relationships/customXml" Target="../customXml/item1.xml"/><Relationship Id="rId107" Type="http://schemas.openxmlformats.org/officeDocument/2006/relationships/image" Target="media/image97.png"/><Relationship Id="rId106" Type="http://schemas.openxmlformats.org/officeDocument/2006/relationships/image" Target="media/image96.png"/><Relationship Id="rId105" Type="http://schemas.openxmlformats.org/officeDocument/2006/relationships/image" Target="media/image95.png"/><Relationship Id="rId104" Type="http://schemas.openxmlformats.org/officeDocument/2006/relationships/image" Target="media/image94.png"/><Relationship Id="rId103" Type="http://schemas.openxmlformats.org/officeDocument/2006/relationships/image" Target="media/image93.png"/><Relationship Id="rId102" Type="http://schemas.openxmlformats.org/officeDocument/2006/relationships/image" Target="media/image92.png"/><Relationship Id="rId101" Type="http://schemas.openxmlformats.org/officeDocument/2006/relationships/image" Target="media/image91.png"/><Relationship Id="rId100" Type="http://schemas.openxmlformats.org/officeDocument/2006/relationships/image" Target="media/image90.pn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43726D8-B019-416F-B457-2F000DEAFF74}">
  <ds:schemaRefs/>
</ds:datastoreItem>
</file>

<file path=docProps/app.xml><?xml version="1.0" encoding="utf-8"?>
<Properties xmlns="http://schemas.openxmlformats.org/officeDocument/2006/extended-properties" xmlns:vt="http://schemas.openxmlformats.org/officeDocument/2006/docPropsVTypes">
  <Template>Normal</Template>
  <Company>HNKJ</Company>
  <Pages>88</Pages>
  <Words>7280</Words>
  <Characters>41501</Characters>
  <Lines>345</Lines>
  <Paragraphs>97</Paragraphs>
  <TotalTime>0</TotalTime>
  <ScaleCrop>false</ScaleCrop>
  <LinksUpToDate>false</LinksUpToDate>
  <CharactersWithSpaces>48684</CharactersWithSpaces>
  <Application>WPS Office_11.1.0.11115_F1E327BC-269C-435d-A152-05C5408002CA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2020-01-02T07:40:00Z</dcterms:created>
  <dc:creator>HNUSER</dc:creator>
  <cp:lastModifiedBy>Administrator</cp:lastModifiedBy>
  <cp:lastPrinted>2021-03-11T06:42:00Z</cp:lastPrinted>
  <dcterms:modified xsi:type="dcterms:W3CDTF">2021-11-26T02:18:11Z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2052-11.1.0.11115</vt:lpwstr>
  </property>
  <property fmtid="{D5CDD505-2E9C-101B-9397-08002B2CF9AE}" pid="3" name="ICV">
    <vt:lpwstr>F765AD854AF0458683033A1A8858CC07</vt:lpwstr>
  </property>
</Properties>
</file>