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8E984" w14:textId="73BD46C2" w:rsidR="00EC70D5" w:rsidRDefault="00EC70D5" w:rsidP="00EC70D5">
      <w:pPr>
        <w:autoSpaceDE w:val="0"/>
        <w:autoSpaceDN w:val="0"/>
        <w:adjustRightInd w:val="0"/>
        <w:spacing w:line="360" w:lineRule="auto"/>
        <w:jc w:val="center"/>
        <w:rPr>
          <w:rFonts w:ascii="宋体" w:eastAsia="宋体" w:hAnsi="宋体" w:cs="Times New Roman"/>
          <w:b/>
          <w:sz w:val="28"/>
          <w:szCs w:val="28"/>
        </w:rPr>
      </w:pPr>
      <w:r w:rsidRPr="00EC70D5">
        <w:rPr>
          <w:rFonts w:ascii="宋体" w:eastAsia="宋体" w:hAnsi="宋体" w:cs="Times New Roman" w:hint="eastAsia"/>
          <w:b/>
          <w:sz w:val="28"/>
          <w:szCs w:val="28"/>
        </w:rPr>
        <w:t>歙县</w:t>
      </w:r>
      <w:r w:rsidR="00BA5DD8">
        <w:rPr>
          <w:rFonts w:ascii="宋体" w:eastAsia="宋体" w:hAnsi="宋体" w:cs="Times New Roman" w:hint="eastAsia"/>
          <w:b/>
          <w:sz w:val="28"/>
          <w:szCs w:val="28"/>
        </w:rPr>
        <w:t>葫芦</w:t>
      </w:r>
      <w:r w:rsidRPr="00EC70D5">
        <w:rPr>
          <w:rFonts w:ascii="宋体" w:eastAsia="宋体" w:hAnsi="宋体" w:cs="Times New Roman" w:hint="eastAsia"/>
          <w:b/>
          <w:sz w:val="28"/>
          <w:szCs w:val="28"/>
        </w:rPr>
        <w:t>水电站工程</w:t>
      </w:r>
      <w:r>
        <w:rPr>
          <w:rFonts w:ascii="宋体" w:eastAsia="宋体" w:hAnsi="宋体" w:cs="Times New Roman" w:hint="eastAsia"/>
          <w:b/>
          <w:sz w:val="28"/>
          <w:szCs w:val="28"/>
        </w:rPr>
        <w:t>专家意见</w:t>
      </w:r>
      <w:r w:rsidR="00860024">
        <w:rPr>
          <w:rFonts w:ascii="宋体" w:eastAsia="宋体" w:hAnsi="宋体" w:cs="Times New Roman" w:hint="eastAsia"/>
          <w:b/>
          <w:sz w:val="28"/>
          <w:szCs w:val="28"/>
        </w:rPr>
        <w:t>修改清单</w:t>
      </w:r>
    </w:p>
    <w:tbl>
      <w:tblPr>
        <w:tblStyle w:val="a7"/>
        <w:tblW w:w="0" w:type="auto"/>
        <w:tblLook w:val="04A0" w:firstRow="1" w:lastRow="0" w:firstColumn="1" w:lastColumn="0" w:noHBand="0" w:noVBand="1"/>
      </w:tblPr>
      <w:tblGrid>
        <w:gridCol w:w="1129"/>
        <w:gridCol w:w="3969"/>
        <w:gridCol w:w="8850"/>
      </w:tblGrid>
      <w:tr w:rsidR="00EC70D5" w14:paraId="1EBE44D2" w14:textId="77777777" w:rsidTr="00707C37">
        <w:tc>
          <w:tcPr>
            <w:tcW w:w="1129" w:type="dxa"/>
          </w:tcPr>
          <w:p w14:paraId="5B199A88" w14:textId="14458586" w:rsidR="00EC70D5" w:rsidRPr="00860024" w:rsidRDefault="00860024" w:rsidP="00EC70D5">
            <w:pPr>
              <w:autoSpaceDE w:val="0"/>
              <w:autoSpaceDN w:val="0"/>
              <w:adjustRightInd w:val="0"/>
              <w:jc w:val="center"/>
              <w:rPr>
                <w:rFonts w:ascii="宋体" w:eastAsia="宋体" w:hAnsi="宋体" w:cs="Times New Roman"/>
                <w:b/>
                <w:szCs w:val="21"/>
              </w:rPr>
            </w:pPr>
            <w:r w:rsidRPr="00860024">
              <w:rPr>
                <w:rFonts w:ascii="宋体" w:eastAsia="宋体" w:hAnsi="宋体" w:cs="Times New Roman" w:hint="eastAsia"/>
                <w:b/>
                <w:szCs w:val="21"/>
              </w:rPr>
              <w:t>序号</w:t>
            </w:r>
          </w:p>
        </w:tc>
        <w:tc>
          <w:tcPr>
            <w:tcW w:w="3969" w:type="dxa"/>
          </w:tcPr>
          <w:p w14:paraId="004A417B" w14:textId="19B64CD4" w:rsidR="00EC70D5" w:rsidRPr="00860024" w:rsidRDefault="00860024" w:rsidP="00EC70D5">
            <w:pPr>
              <w:autoSpaceDE w:val="0"/>
              <w:autoSpaceDN w:val="0"/>
              <w:adjustRightInd w:val="0"/>
              <w:jc w:val="center"/>
              <w:rPr>
                <w:rFonts w:ascii="宋体" w:eastAsia="宋体" w:hAnsi="宋体" w:cs="Times New Roman"/>
                <w:b/>
                <w:szCs w:val="21"/>
              </w:rPr>
            </w:pPr>
            <w:r w:rsidRPr="00860024">
              <w:rPr>
                <w:rFonts w:ascii="宋体" w:eastAsia="宋体" w:hAnsi="宋体" w:cs="Times New Roman" w:hint="eastAsia"/>
                <w:b/>
                <w:szCs w:val="21"/>
              </w:rPr>
              <w:t>专家意见</w:t>
            </w:r>
          </w:p>
        </w:tc>
        <w:tc>
          <w:tcPr>
            <w:tcW w:w="8850" w:type="dxa"/>
          </w:tcPr>
          <w:p w14:paraId="3BBEB8A4" w14:textId="4A2DF443" w:rsidR="00EC70D5" w:rsidRPr="00860024" w:rsidRDefault="00860024" w:rsidP="00EC70D5">
            <w:pPr>
              <w:autoSpaceDE w:val="0"/>
              <w:autoSpaceDN w:val="0"/>
              <w:adjustRightInd w:val="0"/>
              <w:jc w:val="center"/>
              <w:rPr>
                <w:rFonts w:ascii="宋体" w:eastAsia="宋体" w:hAnsi="宋体" w:cs="Times New Roman"/>
                <w:b/>
                <w:szCs w:val="21"/>
              </w:rPr>
            </w:pPr>
            <w:r w:rsidRPr="00860024">
              <w:rPr>
                <w:rFonts w:ascii="宋体" w:eastAsia="宋体" w:hAnsi="宋体" w:cs="Times New Roman" w:hint="eastAsia"/>
                <w:b/>
                <w:szCs w:val="21"/>
              </w:rPr>
              <w:t>修改清单</w:t>
            </w:r>
          </w:p>
        </w:tc>
      </w:tr>
      <w:tr w:rsidR="00EC70D5" w14:paraId="76AE7408" w14:textId="77777777" w:rsidTr="00707C37">
        <w:tc>
          <w:tcPr>
            <w:tcW w:w="1129" w:type="dxa"/>
            <w:vAlign w:val="center"/>
          </w:tcPr>
          <w:p w14:paraId="0462FAF8" w14:textId="308B1B60" w:rsidR="00EC70D5"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1</w:t>
            </w:r>
          </w:p>
        </w:tc>
        <w:tc>
          <w:tcPr>
            <w:tcW w:w="3969" w:type="dxa"/>
          </w:tcPr>
          <w:p w14:paraId="6442A4EE" w14:textId="390CD09E" w:rsidR="00EC70D5" w:rsidRDefault="00572EEE" w:rsidP="00D125B8">
            <w:pPr>
              <w:autoSpaceDE w:val="0"/>
              <w:autoSpaceDN w:val="0"/>
              <w:adjustRightInd w:val="0"/>
              <w:jc w:val="left"/>
              <w:rPr>
                <w:rFonts w:ascii="宋体" w:eastAsia="宋体" w:hAnsi="宋体" w:cs="Times New Roman"/>
                <w:bCs/>
                <w:szCs w:val="21"/>
              </w:rPr>
            </w:pPr>
            <w:r w:rsidRPr="00B84A14">
              <w:rPr>
                <w:rFonts w:ascii="宋体" w:eastAsia="宋体" w:hAnsi="宋体"/>
              </w:rPr>
              <w:t>严格对照《安徽省小水电清理整改工作实施方案》 （皖水农[2019]27 号）、《关于六安、芜湖、宣城、铜陵、池州、安庆、黄山市小水电清理整改实施方案</w:t>
            </w:r>
            <w:r w:rsidRPr="00B84A14">
              <w:rPr>
                <w:rFonts w:ascii="宋体" w:eastAsia="宋体" w:hAnsi="宋体" w:hint="eastAsia"/>
              </w:rPr>
              <w:t>审核意见的函》（皖水农函</w:t>
            </w:r>
            <w:r w:rsidRPr="00B84A14">
              <w:rPr>
                <w:rFonts w:ascii="宋体" w:eastAsia="宋体" w:hAnsi="宋体"/>
              </w:rPr>
              <w:t>[2020]19 号）、《关于印发&lt;长江经济带小水电无序开发环境影响评价管理专项清理整顿工作方案&gt;的通知》（环办环评函[2018]325 号）、《歙县小水电清理整改“一站一策”实施方案》（以上文件均应作为附件）要求交代清楚项目背景。完善项目建设与流域综合规划、水能资源开发规划等相关流域和行业规划符合性分析内容（梯级布局、开发任务、开发方式及时序、调节性能</w:t>
            </w:r>
            <w:r w:rsidRPr="00B84A14">
              <w:rPr>
                <w:rFonts w:ascii="宋体" w:eastAsia="宋体" w:hAnsi="宋体" w:hint="eastAsia"/>
              </w:rPr>
              <w:t>和工程规模等主要参数总体符合规划）。</w:t>
            </w:r>
          </w:p>
        </w:tc>
        <w:tc>
          <w:tcPr>
            <w:tcW w:w="8850" w:type="dxa"/>
          </w:tcPr>
          <w:p w14:paraId="514C8598" w14:textId="40D1C2DD" w:rsidR="002A7C1A" w:rsidRPr="002A7C1A" w:rsidRDefault="002A7C1A" w:rsidP="002A7C1A">
            <w:pPr>
              <w:pStyle w:val="Default"/>
              <w:snapToGrid w:val="0"/>
              <w:rPr>
                <w:rFonts w:ascii="Times New Roman" w:cs="Times New Roman"/>
                <w:color w:val="auto"/>
                <w:sz w:val="21"/>
                <w:szCs w:val="21"/>
              </w:rPr>
            </w:pPr>
            <w:r w:rsidRPr="002A7C1A">
              <w:rPr>
                <w:rFonts w:hAnsi="宋体" w:cs="Times New Roman" w:hint="eastAsia"/>
                <w:bCs/>
                <w:sz w:val="21"/>
                <w:szCs w:val="21"/>
              </w:rPr>
              <w:t>P2</w:t>
            </w:r>
            <w:r w:rsidR="00900192">
              <w:rPr>
                <w:rFonts w:hAnsi="宋体" w:cs="Times New Roman" w:hint="eastAsia"/>
                <w:bCs/>
                <w:sz w:val="21"/>
                <w:szCs w:val="21"/>
              </w:rPr>
              <w:t>4</w:t>
            </w:r>
            <w:r w:rsidRPr="002A7C1A">
              <w:rPr>
                <w:rFonts w:hAnsi="宋体" w:cs="Times New Roman" w:hint="eastAsia"/>
                <w:bCs/>
                <w:sz w:val="21"/>
                <w:szCs w:val="21"/>
              </w:rPr>
              <w:t>，补充与相关文件符合性分析：</w:t>
            </w:r>
            <w:r w:rsidRPr="002A7C1A">
              <w:rPr>
                <w:rFonts w:ascii="Times New Roman" w:cs="Times New Roman" w:hint="eastAsia"/>
                <w:color w:val="auto"/>
                <w:sz w:val="21"/>
                <w:szCs w:val="21"/>
              </w:rPr>
              <w:t>根据以上文件要求，</w:t>
            </w:r>
            <w:r w:rsidRPr="002A7C1A">
              <w:rPr>
                <w:rFonts w:ascii="Times New Roman" w:cs="Times New Roman"/>
                <w:color w:val="auto"/>
                <w:sz w:val="21"/>
                <w:szCs w:val="21"/>
              </w:rPr>
              <w:t>到</w:t>
            </w:r>
            <w:r w:rsidRPr="002A7C1A">
              <w:rPr>
                <w:rFonts w:ascii="Times New Roman" w:cs="Times New Roman"/>
                <w:color w:val="auto"/>
                <w:sz w:val="21"/>
                <w:szCs w:val="21"/>
              </w:rPr>
              <w:t>2019</w:t>
            </w:r>
            <w:r w:rsidRPr="002A7C1A">
              <w:rPr>
                <w:rFonts w:ascii="Times New Roman" w:cs="Times New Roman"/>
                <w:color w:val="auto"/>
                <w:sz w:val="21"/>
                <w:szCs w:val="21"/>
              </w:rPr>
              <w:t>年底，完成小水电问题核查评估，提出退出、整改或保留的评估意见，建立台账。按照</w:t>
            </w:r>
            <w:r w:rsidRPr="002A7C1A">
              <w:rPr>
                <w:rFonts w:ascii="Times New Roman" w:cs="Times New Roman"/>
                <w:color w:val="auto"/>
                <w:sz w:val="21"/>
                <w:szCs w:val="21"/>
              </w:rPr>
              <w:t>“</w:t>
            </w:r>
            <w:r w:rsidRPr="002A7C1A">
              <w:rPr>
                <w:rFonts w:ascii="Times New Roman" w:cs="Times New Roman"/>
                <w:color w:val="auto"/>
                <w:sz w:val="21"/>
                <w:szCs w:val="21"/>
              </w:rPr>
              <w:t>一站一策</w:t>
            </w:r>
            <w:r w:rsidRPr="002A7C1A">
              <w:rPr>
                <w:rFonts w:ascii="Times New Roman" w:cs="Times New Roman"/>
                <w:color w:val="auto"/>
                <w:sz w:val="21"/>
                <w:szCs w:val="21"/>
              </w:rPr>
              <w:t>”</w:t>
            </w:r>
            <w:r w:rsidRPr="002A7C1A">
              <w:rPr>
                <w:rFonts w:ascii="Times New Roman" w:cs="Times New Roman"/>
                <w:color w:val="auto"/>
                <w:sz w:val="21"/>
                <w:szCs w:val="21"/>
              </w:rPr>
              <w:t>原则制定整改或退出方案，全面开展清理整改工作。</w:t>
            </w:r>
          </w:p>
          <w:p w14:paraId="7FADF1E8" w14:textId="338B31BC"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根据</w:t>
            </w:r>
            <w:r w:rsidRPr="002A7C1A">
              <w:rPr>
                <w:rFonts w:ascii="Times New Roman" w:cs="Times New Roman"/>
                <w:color w:val="auto"/>
                <w:sz w:val="21"/>
                <w:szCs w:val="21"/>
              </w:rPr>
              <w:t>《歙县小水电清理整改</w:t>
            </w:r>
            <w:r w:rsidRPr="002A7C1A">
              <w:rPr>
                <w:rFonts w:ascii="Times New Roman" w:cs="Times New Roman"/>
                <w:color w:val="auto"/>
                <w:sz w:val="21"/>
                <w:szCs w:val="21"/>
              </w:rPr>
              <w:t>“</w:t>
            </w:r>
            <w:r w:rsidRPr="002A7C1A">
              <w:rPr>
                <w:rFonts w:ascii="Times New Roman" w:cs="Times New Roman"/>
                <w:color w:val="auto"/>
                <w:sz w:val="21"/>
                <w:szCs w:val="21"/>
              </w:rPr>
              <w:t>一站一策</w:t>
            </w:r>
            <w:r w:rsidRPr="002A7C1A">
              <w:rPr>
                <w:rFonts w:ascii="Times New Roman" w:cs="Times New Roman"/>
                <w:color w:val="auto"/>
                <w:sz w:val="21"/>
                <w:szCs w:val="21"/>
              </w:rPr>
              <w:t>”</w:t>
            </w:r>
            <w:r w:rsidRPr="002A7C1A">
              <w:rPr>
                <w:rFonts w:ascii="Times New Roman" w:cs="Times New Roman"/>
                <w:color w:val="auto"/>
                <w:sz w:val="21"/>
                <w:szCs w:val="21"/>
              </w:rPr>
              <w:t>实施方案</w:t>
            </w:r>
            <w:r w:rsidRPr="002A7C1A">
              <w:rPr>
                <w:rFonts w:ascii="Times New Roman" w:cs="Times New Roman"/>
                <w:color w:val="auto"/>
                <w:sz w:val="21"/>
                <w:szCs w:val="21"/>
              </w:rPr>
              <w:t xml:space="preserve"> </w:t>
            </w:r>
            <w:r w:rsidRPr="002A7C1A">
              <w:rPr>
                <w:rFonts w:ascii="Times New Roman" w:cs="Times New Roman"/>
                <w:color w:val="auto"/>
                <w:sz w:val="21"/>
                <w:szCs w:val="21"/>
              </w:rPr>
              <w:t>》</w:t>
            </w:r>
            <w:r w:rsidRPr="002A7C1A">
              <w:rPr>
                <w:rFonts w:ascii="Times New Roman" w:cs="Times New Roman" w:hint="eastAsia"/>
                <w:color w:val="auto"/>
                <w:sz w:val="21"/>
                <w:szCs w:val="21"/>
              </w:rPr>
              <w:t>，</w:t>
            </w:r>
            <w:r w:rsidR="00900192">
              <w:rPr>
                <w:rFonts w:ascii="Times New Roman" w:cs="Times New Roman" w:hint="eastAsia"/>
                <w:color w:val="auto"/>
                <w:sz w:val="21"/>
                <w:szCs w:val="21"/>
              </w:rPr>
              <w:t>葫芦</w:t>
            </w:r>
            <w:r w:rsidRPr="002A7C1A">
              <w:rPr>
                <w:rFonts w:ascii="Times New Roman" w:cs="Times New Roman" w:hint="eastAsia"/>
                <w:color w:val="auto"/>
                <w:sz w:val="21"/>
                <w:szCs w:val="21"/>
              </w:rPr>
              <w:t>电站主要存在的问题如下：</w:t>
            </w:r>
          </w:p>
          <w:p w14:paraId="08C0D9E0"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2</w:t>
            </w:r>
            <w:r w:rsidRPr="002A7C1A">
              <w:rPr>
                <w:rFonts w:ascii="Times New Roman" w:cs="Times New Roman" w:hint="eastAsia"/>
                <w:color w:val="auto"/>
                <w:sz w:val="21"/>
                <w:szCs w:val="21"/>
              </w:rPr>
              <w:t>）电站有生态流量泄放要求，但未核定生态流量；</w:t>
            </w:r>
          </w:p>
          <w:p w14:paraId="69730D7C"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3</w:t>
            </w:r>
            <w:r w:rsidRPr="002A7C1A">
              <w:rPr>
                <w:rFonts w:ascii="Times New Roman" w:cs="Times New Roman" w:hint="eastAsia"/>
                <w:color w:val="auto"/>
                <w:sz w:val="21"/>
                <w:szCs w:val="21"/>
              </w:rPr>
              <w:t>）电站有生态流量泄放设施且能正常使用，但无生态流量监测装置。</w:t>
            </w:r>
          </w:p>
          <w:p w14:paraId="7DD94734"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综合评估情况：</w:t>
            </w:r>
          </w:p>
          <w:p w14:paraId="138D8B15"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1</w:t>
            </w:r>
            <w:r w:rsidRPr="002A7C1A">
              <w:rPr>
                <w:rFonts w:ascii="Times New Roman" w:cs="Times New Roman" w:hint="eastAsia"/>
                <w:color w:val="auto"/>
                <w:sz w:val="21"/>
                <w:szCs w:val="21"/>
              </w:rPr>
              <w:t>）电站不存在退出类问题；</w:t>
            </w:r>
          </w:p>
          <w:p w14:paraId="381D5B67"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2</w:t>
            </w:r>
            <w:r w:rsidRPr="002A7C1A">
              <w:rPr>
                <w:rFonts w:ascii="Times New Roman" w:cs="Times New Roman" w:hint="eastAsia"/>
                <w:color w:val="auto"/>
                <w:sz w:val="21"/>
                <w:szCs w:val="21"/>
              </w:rPr>
              <w:t>）电站合法合规性手续不齐全：无环评手续及水资源论证；</w:t>
            </w:r>
          </w:p>
          <w:p w14:paraId="59484FCA"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3</w:t>
            </w:r>
            <w:r w:rsidRPr="002A7C1A">
              <w:rPr>
                <w:rFonts w:ascii="Times New Roman" w:cs="Times New Roman" w:hint="eastAsia"/>
                <w:color w:val="auto"/>
                <w:sz w:val="21"/>
                <w:szCs w:val="21"/>
              </w:rPr>
              <w:t>）电站取水口核定断面有生态流量泄放要求，但是未核定生态流量，建议电站核定生态流量；</w:t>
            </w:r>
          </w:p>
          <w:p w14:paraId="4629DC43"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4</w:t>
            </w:r>
            <w:r w:rsidRPr="002A7C1A">
              <w:rPr>
                <w:rFonts w:ascii="Times New Roman" w:cs="Times New Roman" w:hint="eastAsia"/>
                <w:color w:val="auto"/>
                <w:sz w:val="21"/>
                <w:szCs w:val="21"/>
              </w:rPr>
              <w:t>）电站有生态流量泄放设施，但是无生态流量监测装置，建议根据现场实际情况考虑安装生态流量监测装置，并按核定的生态流量值泄放；</w:t>
            </w:r>
          </w:p>
          <w:p w14:paraId="4EF3D50C"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5</w:t>
            </w:r>
            <w:r w:rsidRPr="002A7C1A">
              <w:rPr>
                <w:rFonts w:ascii="Times New Roman" w:cs="Times New Roman" w:hint="eastAsia"/>
                <w:color w:val="auto"/>
                <w:sz w:val="21"/>
                <w:szCs w:val="21"/>
              </w:rPr>
              <w:t>）电站水工建筑物、金属结构及机电设备等均能正常使用。</w:t>
            </w:r>
          </w:p>
          <w:p w14:paraId="6BBE1813" w14:textId="5CE69B87" w:rsidR="00EC70D5" w:rsidRPr="002A7C1A" w:rsidRDefault="002A7C1A" w:rsidP="002A7C1A">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以上文件作为附件，具体见附件。</w:t>
            </w:r>
          </w:p>
        </w:tc>
      </w:tr>
      <w:tr w:rsidR="00860024" w14:paraId="1B57B7C0" w14:textId="77777777" w:rsidTr="00707C37">
        <w:tc>
          <w:tcPr>
            <w:tcW w:w="1129" w:type="dxa"/>
            <w:vAlign w:val="center"/>
          </w:tcPr>
          <w:p w14:paraId="04FE024A" w14:textId="64415EF4" w:rsidR="00860024"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2</w:t>
            </w:r>
          </w:p>
        </w:tc>
        <w:tc>
          <w:tcPr>
            <w:tcW w:w="3969" w:type="dxa"/>
          </w:tcPr>
          <w:p w14:paraId="1FAA7E71" w14:textId="693F5C98" w:rsidR="00860024" w:rsidRPr="00942212" w:rsidRDefault="00572EEE" w:rsidP="00572EEE">
            <w:pPr>
              <w:autoSpaceDE w:val="0"/>
              <w:autoSpaceDN w:val="0"/>
              <w:adjustRightInd w:val="0"/>
              <w:jc w:val="left"/>
              <w:rPr>
                <w:rFonts w:hAnsi="宋体" w:cs="Times New Roman"/>
                <w:bCs/>
                <w:szCs w:val="21"/>
              </w:rPr>
            </w:pPr>
            <w:r w:rsidRPr="00B84A14">
              <w:rPr>
                <w:rFonts w:ascii="宋体" w:eastAsia="宋体" w:hAnsi="宋体"/>
              </w:rPr>
              <w:t>核实项目环境保护目标分布；细化本项目“三线一单”符合性分析，附项目区分布与生态保护红线位置关系图，必要时分析项目运行对红线区域的影响程度。同时，根据坝下减水河段水体功能分析项目建设对水资源利用上限产生的影响</w:t>
            </w:r>
            <w:r w:rsidR="00D125B8" w:rsidRPr="00572EEE">
              <w:rPr>
                <w:rFonts w:ascii="宋体" w:eastAsia="宋体" w:hAnsi="宋体"/>
              </w:rPr>
              <w:t>。</w:t>
            </w:r>
          </w:p>
        </w:tc>
        <w:tc>
          <w:tcPr>
            <w:tcW w:w="8850" w:type="dxa"/>
          </w:tcPr>
          <w:p w14:paraId="693065AE" w14:textId="0BEF08BE" w:rsidR="004E656B" w:rsidRPr="004E656B" w:rsidRDefault="00856268" w:rsidP="00942212">
            <w:pPr>
              <w:pStyle w:val="Default"/>
              <w:snapToGrid w:val="0"/>
              <w:rPr>
                <w:rFonts w:hAnsi="宋体" w:cs="Times New Roman"/>
                <w:bCs/>
                <w:sz w:val="21"/>
                <w:szCs w:val="21"/>
              </w:rPr>
            </w:pPr>
            <w:r>
              <w:rPr>
                <w:rFonts w:hAnsi="宋体" w:cs="Times New Roman" w:hint="eastAsia"/>
                <w:bCs/>
                <w:sz w:val="21"/>
                <w:szCs w:val="21"/>
              </w:rPr>
              <w:t>P18-19，</w:t>
            </w:r>
            <w:r w:rsidR="004E656B" w:rsidRPr="004E656B">
              <w:rPr>
                <w:rFonts w:hAnsi="宋体" w:cs="Times New Roman" w:hint="eastAsia"/>
                <w:bCs/>
                <w:sz w:val="21"/>
                <w:szCs w:val="21"/>
              </w:rPr>
              <w:t>距离项目最近保护区为</w:t>
            </w:r>
            <w:r w:rsidR="004E656B" w:rsidRPr="004E656B">
              <w:rPr>
                <w:rFonts w:hAnsi="宋体" w:cs="Times New Roman"/>
                <w:bCs/>
                <w:sz w:val="21"/>
                <w:szCs w:val="21"/>
              </w:rPr>
              <w:t>清凉峰国家自然保护区</w:t>
            </w:r>
            <w:r w:rsidR="004E656B" w:rsidRPr="004E656B">
              <w:rPr>
                <w:rFonts w:hAnsi="宋体" w:cs="Times New Roman" w:hint="eastAsia"/>
                <w:bCs/>
                <w:sz w:val="21"/>
                <w:szCs w:val="21"/>
              </w:rPr>
              <w:t>，</w:t>
            </w:r>
            <w:r w:rsidR="004E656B" w:rsidRPr="004E656B">
              <w:rPr>
                <w:rFonts w:hAnsi="宋体" w:cs="Times New Roman"/>
                <w:bCs/>
                <w:sz w:val="21"/>
                <w:szCs w:val="21"/>
              </w:rPr>
              <w:t>位于安徽东南部绩溪县和歙县交界处，东与浙江清凉峰国家级自然保护区接壤。</w:t>
            </w:r>
          </w:p>
          <w:p w14:paraId="00B9A074" w14:textId="19EADB79" w:rsidR="004E656B" w:rsidRDefault="004E656B" w:rsidP="00942212">
            <w:pPr>
              <w:pStyle w:val="Default"/>
              <w:snapToGrid w:val="0"/>
              <w:rPr>
                <w:rFonts w:hAnsi="宋体" w:cs="Times New Roman"/>
                <w:bCs/>
                <w:sz w:val="21"/>
                <w:szCs w:val="21"/>
              </w:rPr>
            </w:pPr>
            <w:r w:rsidRPr="004E656B">
              <w:rPr>
                <w:rFonts w:hAnsi="宋体" w:cs="Times New Roman"/>
                <w:bCs/>
                <w:sz w:val="21"/>
                <w:szCs w:val="21"/>
              </w:rPr>
              <w:t>清凉峰国家自然保护区设立于1979年，2007年晋升为国家级自然保护区。保护区保护对象森林植被和珍稀动植物</w:t>
            </w:r>
            <w:r w:rsidRPr="004E656B">
              <w:rPr>
                <w:rFonts w:hAnsi="宋体" w:cs="Times New Roman" w:hint="eastAsia"/>
                <w:bCs/>
                <w:sz w:val="21"/>
                <w:szCs w:val="21"/>
              </w:rPr>
              <w:t>，</w:t>
            </w:r>
            <w:r w:rsidRPr="004E656B">
              <w:rPr>
                <w:rFonts w:hAnsi="宋体" w:cs="Times New Roman"/>
                <w:bCs/>
                <w:sz w:val="21"/>
                <w:szCs w:val="21"/>
              </w:rPr>
              <w:t>距离本项目最近距离约为</w:t>
            </w:r>
            <w:r w:rsidRPr="004E656B">
              <w:rPr>
                <w:rFonts w:hAnsi="宋体" w:cs="Times New Roman" w:hint="eastAsia"/>
                <w:bCs/>
                <w:sz w:val="21"/>
                <w:szCs w:val="21"/>
              </w:rPr>
              <w:t>2</w:t>
            </w:r>
            <w:r w:rsidR="00EE2AAA">
              <w:rPr>
                <w:rFonts w:hAnsi="宋体" w:cs="Times New Roman" w:hint="eastAsia"/>
                <w:bCs/>
                <w:sz w:val="21"/>
                <w:szCs w:val="21"/>
              </w:rPr>
              <w:t>8</w:t>
            </w:r>
            <w:r w:rsidRPr="004E656B">
              <w:rPr>
                <w:rFonts w:hAnsi="宋体" w:cs="Times New Roman"/>
                <w:bCs/>
                <w:sz w:val="21"/>
                <w:szCs w:val="21"/>
              </w:rPr>
              <w:t>km</w:t>
            </w:r>
            <w:r w:rsidRPr="004E656B">
              <w:rPr>
                <w:rFonts w:hAnsi="宋体" w:cs="Times New Roman" w:hint="eastAsia"/>
                <w:bCs/>
                <w:sz w:val="21"/>
                <w:szCs w:val="21"/>
              </w:rPr>
              <w:t>，本项目距离保护区较远，不会对保护区产生不利影响。</w:t>
            </w:r>
          </w:p>
          <w:p w14:paraId="786E1EEA" w14:textId="4B6DB906" w:rsidR="002B69AD" w:rsidRDefault="002B69AD" w:rsidP="00942212">
            <w:pPr>
              <w:pStyle w:val="Default"/>
              <w:snapToGrid w:val="0"/>
              <w:rPr>
                <w:rFonts w:hAnsi="宋体" w:cs="Times New Roman"/>
                <w:bCs/>
                <w:sz w:val="21"/>
                <w:szCs w:val="21"/>
              </w:rPr>
            </w:pPr>
            <w:r>
              <w:rPr>
                <w:rFonts w:hAnsi="宋体" w:cs="Times New Roman" w:hint="eastAsia"/>
                <w:bCs/>
                <w:sz w:val="21"/>
                <w:szCs w:val="21"/>
              </w:rPr>
              <w:t>已核实环境保护目标分布图。</w:t>
            </w:r>
          </w:p>
          <w:p w14:paraId="20DA0777" w14:textId="3CF0FF59" w:rsidR="00860024" w:rsidRDefault="00287AD9" w:rsidP="00942212">
            <w:pPr>
              <w:pStyle w:val="Default"/>
              <w:snapToGrid w:val="0"/>
              <w:rPr>
                <w:rFonts w:hAnsi="宋体" w:cs="Times New Roman"/>
                <w:bCs/>
                <w:sz w:val="21"/>
                <w:szCs w:val="21"/>
              </w:rPr>
            </w:pPr>
            <w:bookmarkStart w:id="0" w:name="_Hlk51536444"/>
            <w:r w:rsidRPr="00942212">
              <w:rPr>
                <w:rFonts w:hAnsi="宋体" w:cs="Times New Roman"/>
                <w:bCs/>
                <w:sz w:val="21"/>
                <w:szCs w:val="21"/>
              </w:rPr>
              <w:t>项目区分布与生态保护红线位置关系图</w:t>
            </w:r>
            <w:bookmarkEnd w:id="0"/>
            <w:r w:rsidRPr="00942212">
              <w:rPr>
                <w:rFonts w:hAnsi="宋体" w:cs="Times New Roman" w:hint="eastAsia"/>
                <w:bCs/>
                <w:sz w:val="21"/>
                <w:szCs w:val="21"/>
              </w:rPr>
              <w:t>见图1.6-</w:t>
            </w:r>
            <w:r w:rsidR="00900192">
              <w:rPr>
                <w:rFonts w:hAnsi="宋体" w:cs="Times New Roman" w:hint="eastAsia"/>
                <w:bCs/>
                <w:sz w:val="21"/>
                <w:szCs w:val="21"/>
              </w:rPr>
              <w:t>2</w:t>
            </w:r>
            <w:r w:rsidRPr="00942212">
              <w:rPr>
                <w:rFonts w:hAnsi="宋体" w:cs="Times New Roman" w:hint="eastAsia"/>
                <w:bCs/>
                <w:sz w:val="21"/>
                <w:szCs w:val="21"/>
              </w:rPr>
              <w:t>。</w:t>
            </w:r>
          </w:p>
          <w:p w14:paraId="6AC1794F" w14:textId="6DDE78A1" w:rsidR="00114446" w:rsidRPr="00114446" w:rsidRDefault="00856268" w:rsidP="00EE2AAA">
            <w:pPr>
              <w:pStyle w:val="Default"/>
              <w:snapToGrid w:val="0"/>
              <w:rPr>
                <w:rFonts w:hAnsi="宋体" w:cs="Times New Roman"/>
                <w:bCs/>
                <w:szCs w:val="21"/>
              </w:rPr>
            </w:pPr>
            <w:r>
              <w:rPr>
                <w:rFonts w:hAnsi="宋体" w:cs="Times New Roman" w:hint="eastAsia"/>
                <w:bCs/>
                <w:sz w:val="21"/>
                <w:szCs w:val="21"/>
              </w:rPr>
              <w:t>P70-71，</w:t>
            </w:r>
            <w:r w:rsidR="00EE2AAA" w:rsidRPr="00EE2AAA">
              <w:rPr>
                <w:rFonts w:hAnsi="宋体" w:cs="Times New Roman" w:hint="eastAsia"/>
                <w:bCs/>
                <w:sz w:val="21"/>
                <w:szCs w:val="21"/>
              </w:rPr>
              <w:t>葫芦水电站</w:t>
            </w:r>
            <w:r w:rsidR="00EE2AAA" w:rsidRPr="00EE2AAA">
              <w:rPr>
                <w:rFonts w:hAnsi="宋体" w:cs="Times New Roman"/>
                <w:bCs/>
                <w:sz w:val="21"/>
                <w:szCs w:val="21"/>
              </w:rPr>
              <w:t>引水</w:t>
            </w:r>
            <w:r w:rsidR="00EE2AAA" w:rsidRPr="00EE2AAA">
              <w:rPr>
                <w:rFonts w:hAnsi="宋体" w:cs="Times New Roman" w:hint="eastAsia"/>
                <w:bCs/>
                <w:sz w:val="21"/>
                <w:szCs w:val="21"/>
              </w:rPr>
              <w:t>至</w:t>
            </w:r>
            <w:r w:rsidR="00EE2AAA" w:rsidRPr="00EE2AAA">
              <w:rPr>
                <w:rFonts w:hAnsi="宋体" w:cs="Times New Roman"/>
                <w:bCs/>
                <w:sz w:val="21"/>
                <w:szCs w:val="21"/>
              </w:rPr>
              <w:t>发电厂房</w:t>
            </w:r>
            <w:r w:rsidR="00EE2AAA" w:rsidRPr="00EE2AAA">
              <w:rPr>
                <w:rFonts w:hAnsi="宋体" w:cs="Times New Roman" w:hint="eastAsia"/>
                <w:bCs/>
                <w:sz w:val="21"/>
                <w:szCs w:val="21"/>
              </w:rPr>
              <w:t>进行发电，在丰水季节来水发电后流向下游，水量没有损</w:t>
            </w:r>
            <w:r w:rsidR="00EE2AAA" w:rsidRPr="00EE2AAA">
              <w:rPr>
                <w:rFonts w:hAnsi="宋体" w:cs="Times New Roman" w:hint="eastAsia"/>
                <w:bCs/>
                <w:sz w:val="21"/>
                <w:szCs w:val="21"/>
              </w:rPr>
              <w:lastRenderedPageBreak/>
              <w:t>失，水质没有被污染，对河道生态系统影响甚微；在枯水季节，为保证水生态系统不受破坏，电站管理单位应在坝址处采取生态流量泄放措施。当来水流量大于其生态流量时，保证河道实际流量不低于生态流量0.051m</w:t>
            </w:r>
            <w:r w:rsidR="00EE2AAA" w:rsidRPr="00EE2AAA">
              <w:rPr>
                <w:rFonts w:hAnsi="宋体" w:cs="Times New Roman"/>
                <w:bCs/>
                <w:sz w:val="21"/>
                <w:szCs w:val="21"/>
                <w:vertAlign w:val="superscript"/>
              </w:rPr>
              <w:t>3</w:t>
            </w:r>
            <w:r w:rsidR="00EE2AAA" w:rsidRPr="00EE2AAA">
              <w:rPr>
                <w:rFonts w:hAnsi="宋体" w:cs="Times New Roman" w:hint="eastAsia"/>
                <w:bCs/>
                <w:sz w:val="21"/>
                <w:szCs w:val="21"/>
              </w:rPr>
              <w:t>/s，当来水流量小于其生态流量时，应泄放所有天然流量。</w:t>
            </w:r>
            <w:r w:rsidR="00EE2AAA" w:rsidRPr="00EE2AAA">
              <w:rPr>
                <w:rFonts w:hAnsi="宋体" w:cs="Times New Roman"/>
                <w:bCs/>
                <w:sz w:val="21"/>
                <w:szCs w:val="21"/>
              </w:rPr>
              <w:t>因此</w:t>
            </w:r>
            <w:r w:rsidR="00EE2AAA" w:rsidRPr="00EE2AAA">
              <w:rPr>
                <w:rFonts w:hAnsi="宋体" w:cs="Times New Roman" w:hint="eastAsia"/>
                <w:bCs/>
                <w:sz w:val="21"/>
                <w:szCs w:val="21"/>
              </w:rPr>
              <w:t>，葫芦水电站的运行发电对水生态系统影响甚微。</w:t>
            </w:r>
          </w:p>
        </w:tc>
      </w:tr>
      <w:tr w:rsidR="00860024" w14:paraId="43177C0A" w14:textId="77777777" w:rsidTr="00707C37">
        <w:tc>
          <w:tcPr>
            <w:tcW w:w="1129" w:type="dxa"/>
            <w:vAlign w:val="center"/>
          </w:tcPr>
          <w:p w14:paraId="67696907" w14:textId="3AE49D5E" w:rsidR="00860024"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lastRenderedPageBreak/>
              <w:t>3</w:t>
            </w:r>
          </w:p>
        </w:tc>
        <w:tc>
          <w:tcPr>
            <w:tcW w:w="3969" w:type="dxa"/>
          </w:tcPr>
          <w:p w14:paraId="51EF1007" w14:textId="4C30D117" w:rsidR="00860024" w:rsidRDefault="00572EEE" w:rsidP="00EC70D5">
            <w:pPr>
              <w:autoSpaceDE w:val="0"/>
              <w:autoSpaceDN w:val="0"/>
              <w:adjustRightInd w:val="0"/>
              <w:jc w:val="center"/>
              <w:rPr>
                <w:rFonts w:ascii="宋体" w:eastAsia="宋体" w:hAnsi="宋体" w:cs="Times New Roman"/>
                <w:bCs/>
                <w:szCs w:val="21"/>
              </w:rPr>
            </w:pPr>
            <w:r w:rsidRPr="00B84A14">
              <w:rPr>
                <w:rFonts w:ascii="宋体" w:eastAsia="宋体" w:hAnsi="宋体"/>
              </w:rPr>
              <w:t>建议对施工期评价按回顾性评价和过程分析作适当补充。开展“有无工程的变化对比、环境背景值、阈值”评价。严格对照同意整改的相关文件要求，核实所提各项整改措施的符合性</w:t>
            </w:r>
            <w:r w:rsidR="00D125B8" w:rsidRPr="00D125B8">
              <w:rPr>
                <w:rFonts w:ascii="宋体" w:eastAsia="宋体" w:hAnsi="宋体"/>
              </w:rPr>
              <w:t>。</w:t>
            </w:r>
          </w:p>
        </w:tc>
        <w:tc>
          <w:tcPr>
            <w:tcW w:w="8850" w:type="dxa"/>
          </w:tcPr>
          <w:p w14:paraId="6BA24205" w14:textId="5B699C33" w:rsidR="00287AD9" w:rsidRPr="00287AD9" w:rsidRDefault="00856268" w:rsidP="00287AD9">
            <w:pPr>
              <w:autoSpaceDE w:val="0"/>
              <w:autoSpaceDN w:val="0"/>
              <w:adjustRightInd w:val="0"/>
              <w:jc w:val="left"/>
              <w:rPr>
                <w:rFonts w:ascii="宋体" w:eastAsia="宋体" w:hAnsi="宋体"/>
              </w:rPr>
            </w:pPr>
            <w:r>
              <w:rPr>
                <w:rFonts w:ascii="宋体" w:eastAsia="宋体" w:hAnsi="宋体" w:hint="eastAsia"/>
              </w:rPr>
              <w:t>P34-35，</w:t>
            </w:r>
            <w:r w:rsidR="00287AD9" w:rsidRPr="00287AD9">
              <w:rPr>
                <w:rFonts w:ascii="宋体" w:eastAsia="宋体" w:hAnsi="宋体" w:hint="eastAsia"/>
              </w:rPr>
              <w:t>补充了施工期回顾性评价：</w:t>
            </w:r>
            <w:r w:rsidR="00287AD9" w:rsidRPr="00287AD9">
              <w:rPr>
                <w:rFonts w:ascii="宋体" w:eastAsia="宋体" w:hAnsi="宋体"/>
              </w:rPr>
              <w:t>在施工期间对施工人员进行了施工区生态保护的宣传教育，并以公告、宣传标语等形式教育施工人员，通过制度化严禁施工人员非法滥砍滥伐林木，减轻了施工对当地陆生动植物的影响。</w:t>
            </w:r>
            <w:r w:rsidR="00287AD9" w:rsidRPr="00287AD9">
              <w:rPr>
                <w:rFonts w:ascii="宋体" w:eastAsia="宋体" w:hAnsi="宋体" w:hint="eastAsia"/>
              </w:rPr>
              <w:t>弃渣场设置在库区淹没区以外，取、</w:t>
            </w:r>
            <w:r w:rsidR="00287AD9" w:rsidRPr="00287AD9">
              <w:rPr>
                <w:rFonts w:ascii="宋体" w:eastAsia="宋体" w:hAnsi="宋体"/>
              </w:rPr>
              <w:t>弃渣场周围设置了</w:t>
            </w:r>
            <w:r w:rsidR="00287AD9" w:rsidRPr="00287AD9">
              <w:rPr>
                <w:rFonts w:ascii="宋体" w:eastAsia="宋体" w:hAnsi="宋体" w:hint="eastAsia"/>
              </w:rPr>
              <w:t>编织袋装土</w:t>
            </w:r>
            <w:r w:rsidR="00287AD9" w:rsidRPr="00287AD9">
              <w:rPr>
                <w:rFonts w:ascii="宋体" w:eastAsia="宋体" w:hAnsi="宋体"/>
              </w:rPr>
              <w:t>挡渣墙、截水沟和排水沟，避免了</w:t>
            </w:r>
            <w:r w:rsidR="00287AD9" w:rsidRPr="00287AD9">
              <w:rPr>
                <w:rFonts w:ascii="宋体" w:eastAsia="宋体" w:hAnsi="宋体" w:hint="eastAsia"/>
              </w:rPr>
              <w:t>水土</w:t>
            </w:r>
            <w:r w:rsidR="00287AD9" w:rsidRPr="00287AD9">
              <w:rPr>
                <w:rFonts w:ascii="宋体" w:eastAsia="宋体" w:hAnsi="宋体"/>
              </w:rPr>
              <w:t>流失造成水质污染和影响鱼类栖息环境</w:t>
            </w:r>
            <w:r w:rsidR="00287AD9" w:rsidRPr="00287AD9">
              <w:rPr>
                <w:rFonts w:ascii="宋体" w:eastAsia="宋体" w:hAnsi="宋体" w:hint="eastAsia"/>
              </w:rPr>
              <w:t>；临时施工场地四周设置排水沟，在施工完成后立即进行施工遗迹清理</w:t>
            </w:r>
            <w:r w:rsidR="00287AD9" w:rsidRPr="00287AD9">
              <w:rPr>
                <w:rFonts w:ascii="宋体" w:eastAsia="宋体" w:hAnsi="宋体"/>
              </w:rPr>
              <w:t>。</w:t>
            </w:r>
            <w:r w:rsidR="00287AD9" w:rsidRPr="00287AD9">
              <w:rPr>
                <w:rFonts w:ascii="宋体" w:eastAsia="宋体" w:hAnsi="宋体" w:hint="eastAsia"/>
              </w:rPr>
              <w:t>临时占地造成一定生物量的损失，植被破坏、野生动物的驱离，在施工结束后，都慢慢得到恢复。项目施工影响对区域的生态影响是短期的可逆的。</w:t>
            </w:r>
          </w:p>
          <w:p w14:paraId="4ACB989A"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建设单位施工期间对工程的水土保持工作比较重视，严格执行了项目建设监理制度。建设过程中未造成较大的水土流失危害。</w:t>
            </w:r>
          </w:p>
          <w:p w14:paraId="7FAA1D3D"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施工期生产废水主要是基坑废水、生产废水和施工人员生活污水，废水经处理后回用于生产、周边区域绿化及降尘等综合利用，并未排入水体。其中：施工期间产生的基坑废水采用沉淀法进行处理；施工期生产废水主要产生于砂石料冲洗、混凝土搅拌、机械修配以及汽车修理等，主要污染物为泥沙、悬浮物、油类，采用自然沉淀处理方法；施工期修建了防渗旱厕，用施肥方式处理施工人员的生活废水，施肥用做电站周围绿化肥料。</w:t>
            </w:r>
          </w:p>
          <w:p w14:paraId="3C30B06F"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施工建设过程中，针对运输车辆、机械设备运行废气；凿裂、钻孔、露天爆破粉尘；砂石料加工系统粉尘以及道路扬尘等，建设单位采取了严禁随地随处乱挖乱放、尽量控制开挖面、运输粉状施工材料的车辆加遮盖物、经常在作业区域洒水、凿岩机的人员配戴防尘口罩等大气污染防治措施。据调查，施工期间未发生大气污染投诉事件。</w:t>
            </w:r>
          </w:p>
          <w:p w14:paraId="32ED7528"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施工期噪声主要是施工机械噪声、施工爆破噪声，会对施工操作人员构成一定影响。据调查，施工单位采取了“合理安排施工作业时间、施工人员佩戴防噪耳塞、施工场地安装临时挡板”等噪声防治措施，施工期间未发生噪声扰民、噪声污染投诉事件。</w:t>
            </w:r>
          </w:p>
          <w:p w14:paraId="09388164" w14:textId="77777777" w:rsidR="00860024" w:rsidRDefault="00287AD9" w:rsidP="00287AD9">
            <w:pPr>
              <w:autoSpaceDE w:val="0"/>
              <w:autoSpaceDN w:val="0"/>
              <w:adjustRightInd w:val="0"/>
              <w:jc w:val="left"/>
              <w:rPr>
                <w:rFonts w:ascii="宋体" w:eastAsia="宋体" w:hAnsi="宋体"/>
              </w:rPr>
            </w:pPr>
            <w:r w:rsidRPr="00287AD9">
              <w:rPr>
                <w:rFonts w:ascii="宋体" w:eastAsia="宋体" w:hAnsi="宋体"/>
              </w:rPr>
              <w:t>据调查，施工期的生活垃圾由施工单位组织人员定期清运，未在作业区设置生活垃圾处置堆存点，避免了对区域生态造成不利影响；旱厕由施工单位组织人员定期清理运送，用做绿化施</w:t>
            </w:r>
            <w:r w:rsidRPr="00287AD9">
              <w:rPr>
                <w:rFonts w:ascii="宋体" w:eastAsia="宋体" w:hAnsi="宋体"/>
              </w:rPr>
              <w:lastRenderedPageBreak/>
              <w:t>肥。建设单位在施工完成后，对于作业区堆放的弃渣进行了及时清运处置。运至周边其它建设项目进行填方使用。</w:t>
            </w:r>
            <w:r w:rsidRPr="00287AD9">
              <w:rPr>
                <w:rFonts w:ascii="宋体" w:eastAsia="宋体" w:hAnsi="宋体" w:hint="eastAsia"/>
              </w:rPr>
              <w:t>目前，项目区周边不存在因本项目建设施工引起的固废污染现象。</w:t>
            </w:r>
          </w:p>
          <w:p w14:paraId="3DB65862" w14:textId="77777777" w:rsidR="0095748B" w:rsidRDefault="0095748B" w:rsidP="00287AD9">
            <w:pPr>
              <w:autoSpaceDE w:val="0"/>
              <w:autoSpaceDN w:val="0"/>
              <w:adjustRightInd w:val="0"/>
              <w:jc w:val="left"/>
              <w:rPr>
                <w:rFonts w:ascii="宋体" w:eastAsia="宋体" w:hAnsi="宋体"/>
              </w:rPr>
            </w:pPr>
            <w:r>
              <w:rPr>
                <w:rFonts w:ascii="宋体" w:eastAsia="宋体" w:hAnsi="宋体" w:hint="eastAsia"/>
              </w:rPr>
              <w:t>已核实各项措施可行性。</w:t>
            </w:r>
          </w:p>
          <w:p w14:paraId="5B46B841" w14:textId="1384F116" w:rsidR="00AC2033" w:rsidRPr="00287AD9" w:rsidRDefault="00AC2033" w:rsidP="00287AD9">
            <w:pPr>
              <w:autoSpaceDE w:val="0"/>
              <w:autoSpaceDN w:val="0"/>
              <w:adjustRightInd w:val="0"/>
              <w:jc w:val="left"/>
              <w:rPr>
                <w:rFonts w:ascii="宋体" w:eastAsia="宋体" w:hAnsi="宋体"/>
              </w:rPr>
            </w:pPr>
            <w:r>
              <w:rPr>
                <w:rFonts w:ascii="宋体" w:eastAsia="宋体" w:hAnsi="宋体" w:hint="eastAsia"/>
              </w:rPr>
              <w:t>已核实各项整改措施。</w:t>
            </w:r>
          </w:p>
        </w:tc>
      </w:tr>
      <w:tr w:rsidR="00D125B8" w14:paraId="1CF1E283" w14:textId="77777777" w:rsidTr="00707C37">
        <w:tc>
          <w:tcPr>
            <w:tcW w:w="1129" w:type="dxa"/>
            <w:vAlign w:val="center"/>
          </w:tcPr>
          <w:p w14:paraId="74035373" w14:textId="1CD4FDCE"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lastRenderedPageBreak/>
              <w:t>4</w:t>
            </w:r>
          </w:p>
        </w:tc>
        <w:tc>
          <w:tcPr>
            <w:tcW w:w="3969" w:type="dxa"/>
          </w:tcPr>
          <w:p w14:paraId="3EA568AD" w14:textId="2CD6FD0B" w:rsidR="00D125B8" w:rsidRDefault="00572EEE" w:rsidP="00EC70D5">
            <w:pPr>
              <w:autoSpaceDE w:val="0"/>
              <w:autoSpaceDN w:val="0"/>
              <w:adjustRightInd w:val="0"/>
              <w:jc w:val="center"/>
              <w:rPr>
                <w:rFonts w:ascii="宋体" w:eastAsia="宋体" w:hAnsi="宋体" w:cs="Times New Roman"/>
                <w:bCs/>
                <w:szCs w:val="21"/>
              </w:rPr>
            </w:pPr>
            <w:r w:rsidRPr="00B84A14">
              <w:rPr>
                <w:rFonts w:ascii="宋体" w:eastAsia="宋体" w:hAnsi="宋体"/>
              </w:rPr>
              <w:t>分坝上小水库、发电引水隧洞、发电厂房、升压站和输电线路等各项工程展开工程分析。应逐一分析各工程组成及其建设带来的环境问题分析，作出相应的评价或影响分析。主体工程内容介绍应给出工程及主要建筑物级别、工程布置和主要建筑物型式、规模及工程特性指标，给出工程平面布置图、枢纽布置图、水库淹没图、施工总布置图（查阅竣工验收资料）、运行调度方式等。对坝下至发电厂房下泄水排口段之间的减水段应纳入重点现状</w:t>
            </w:r>
            <w:r>
              <w:rPr>
                <w:rFonts w:ascii="宋体" w:eastAsia="宋体" w:hAnsi="宋体" w:hint="eastAsia"/>
              </w:rPr>
              <w:t>，</w:t>
            </w:r>
            <w:r w:rsidRPr="00B84A14">
              <w:rPr>
                <w:rFonts w:ascii="宋体" w:eastAsia="宋体" w:hAnsi="宋体"/>
              </w:rPr>
              <w:t>评价内容予以分析。完善项目生态现状调查内容，规范生态图件</w:t>
            </w:r>
            <w:r w:rsidR="00D125B8" w:rsidRPr="00D125B8">
              <w:rPr>
                <w:rFonts w:ascii="宋体" w:eastAsia="宋体" w:hAnsi="宋体"/>
              </w:rPr>
              <w:t>。</w:t>
            </w:r>
          </w:p>
        </w:tc>
        <w:tc>
          <w:tcPr>
            <w:tcW w:w="8850" w:type="dxa"/>
          </w:tcPr>
          <w:p w14:paraId="58C2653C" w14:textId="175AE616" w:rsidR="004C321B" w:rsidRPr="004C321B" w:rsidRDefault="00856268" w:rsidP="004C321B">
            <w:pPr>
              <w:widowControl/>
              <w:adjustRightInd w:val="0"/>
              <w:snapToGrid w:val="0"/>
              <w:rPr>
                <w:rFonts w:ascii="宋体" w:eastAsia="宋体" w:hAnsi="宋体"/>
              </w:rPr>
            </w:pPr>
            <w:r>
              <w:rPr>
                <w:rFonts w:ascii="宋体" w:eastAsia="宋体" w:hAnsi="宋体" w:hint="eastAsia"/>
              </w:rPr>
              <w:t>P38，</w:t>
            </w:r>
            <w:r w:rsidR="004C321B" w:rsidRPr="004C321B">
              <w:rPr>
                <w:rFonts w:ascii="宋体" w:eastAsia="宋体" w:hAnsi="宋体" w:hint="eastAsia"/>
              </w:rPr>
              <w:t>补充</w:t>
            </w:r>
            <w:r w:rsidR="004C321B" w:rsidRPr="004C321B">
              <w:rPr>
                <w:rFonts w:ascii="宋体" w:eastAsia="宋体" w:hAnsi="宋体"/>
              </w:rPr>
              <w:t>对</w:t>
            </w:r>
            <w:r w:rsidR="004C321B" w:rsidRPr="004C321B">
              <w:rPr>
                <w:rFonts w:ascii="宋体" w:eastAsia="宋体" w:hAnsi="宋体" w:hint="eastAsia"/>
              </w:rPr>
              <w:t>坝上小水库</w:t>
            </w:r>
            <w:r w:rsidR="004C321B" w:rsidRPr="004C321B">
              <w:rPr>
                <w:rFonts w:ascii="宋体" w:eastAsia="宋体" w:hAnsi="宋体"/>
              </w:rPr>
              <w:t>水质的影响</w:t>
            </w:r>
          </w:p>
          <w:p w14:paraId="34B292D4" w14:textId="77777777" w:rsidR="004C321B" w:rsidRPr="004C321B" w:rsidRDefault="004C321B" w:rsidP="004C321B">
            <w:pPr>
              <w:widowControl/>
              <w:adjustRightInd w:val="0"/>
              <w:snapToGrid w:val="0"/>
              <w:rPr>
                <w:rFonts w:ascii="宋体" w:eastAsia="宋体" w:hAnsi="宋体"/>
              </w:rPr>
            </w:pPr>
            <w:r w:rsidRPr="004C321B">
              <w:rPr>
                <w:rFonts w:ascii="宋体" w:eastAsia="宋体" w:hAnsi="宋体"/>
              </w:rPr>
              <w:t>据调查，库区内及库尾上游无产生废水的工业污染源。其主要污染源是</w:t>
            </w:r>
            <w:r w:rsidRPr="004C321B">
              <w:rPr>
                <w:rFonts w:ascii="宋体" w:eastAsia="宋体" w:hAnsi="宋体" w:hint="eastAsia"/>
              </w:rPr>
              <w:t>沿岸村民</w:t>
            </w:r>
            <w:r w:rsidRPr="004C321B">
              <w:rPr>
                <w:rFonts w:ascii="宋体" w:eastAsia="宋体" w:hAnsi="宋体"/>
              </w:rPr>
              <w:t>的生活污水和农业污染源，由于本电站建库后将使回水区河宽、水深、流速发生改变，使河流自净能力发生改变，故对库区水质有一定影响，如超出自身的净化能力可能会出现富营养化。</w:t>
            </w:r>
          </w:p>
          <w:p w14:paraId="474DC92D" w14:textId="07E11B7A" w:rsidR="001E07B5" w:rsidRPr="001E07B5" w:rsidRDefault="00460BE0" w:rsidP="00DC06FB">
            <w:pPr>
              <w:widowControl/>
              <w:adjustRightInd w:val="0"/>
              <w:snapToGrid w:val="0"/>
              <w:rPr>
                <w:rFonts w:ascii="宋体" w:eastAsia="宋体" w:hAnsi="宋体"/>
              </w:rPr>
            </w:pPr>
            <w:r w:rsidRPr="00460BE0">
              <w:rPr>
                <w:rFonts w:ascii="宋体" w:eastAsia="宋体" w:hAnsi="宋体"/>
              </w:rPr>
              <w:t>注：根据《电磁辐射环境保护管理办法》和《建设项目环境影响评价分类管理名录》，100kv以下的输变电工程属于豁免管理类，不需进行环评申报；而本项目涉及输变电工程仅为35kv，因此，本环评仅将该部分工程内容列入报告中，但不需对其进行评价</w:t>
            </w:r>
            <w:r w:rsidRPr="00460BE0">
              <w:rPr>
                <w:rFonts w:ascii="宋体" w:eastAsia="宋体" w:hAnsi="宋体" w:hint="eastAsia"/>
              </w:rPr>
              <w:t>。</w:t>
            </w:r>
            <w:r w:rsidR="001E07B5" w:rsidRPr="001E07B5">
              <w:rPr>
                <w:rFonts w:ascii="宋体" w:eastAsia="宋体" w:hAnsi="宋体" w:hint="eastAsia"/>
              </w:rPr>
              <w:t>当地农户的生活用水一般都在其居所附近，取山涧泉水或由当地自来水厂提供，故对当地农户生活用水影响不大。根据调查厂坝间河道内无其他取水工程和工业取水，亦不构成其他影响。</w:t>
            </w:r>
          </w:p>
          <w:p w14:paraId="0E2BA881" w14:textId="6CE91588" w:rsidR="001E07B5" w:rsidRPr="001E07B5" w:rsidRDefault="001E07B5" w:rsidP="00DC06FB">
            <w:pPr>
              <w:widowControl/>
              <w:adjustRightInd w:val="0"/>
              <w:snapToGrid w:val="0"/>
              <w:rPr>
                <w:rFonts w:ascii="宋体" w:eastAsia="宋体" w:hAnsi="宋体"/>
              </w:rPr>
            </w:pPr>
            <w:r w:rsidRPr="001E07B5">
              <w:rPr>
                <w:rFonts w:ascii="宋体" w:eastAsia="宋体" w:hAnsi="宋体" w:hint="eastAsia"/>
              </w:rPr>
              <w:t>特殊干旱年份对农村居民生活、生产如需取水，电站应停止发电，优先加以满足，随时满足下游群众用水需求。电站运行多年以来，并未出现由</w:t>
            </w:r>
            <w:r w:rsidR="00900192">
              <w:rPr>
                <w:rFonts w:ascii="宋体" w:eastAsia="宋体" w:hAnsi="宋体" w:hint="eastAsia"/>
              </w:rPr>
              <w:t>葫芦</w:t>
            </w:r>
            <w:r w:rsidRPr="001E07B5">
              <w:rPr>
                <w:rFonts w:ascii="宋体" w:eastAsia="宋体" w:hAnsi="宋体" w:hint="eastAsia"/>
              </w:rPr>
              <w:t>水电站取用水引起的用水纠纷，故</w:t>
            </w:r>
            <w:r w:rsidR="00900192">
              <w:rPr>
                <w:rFonts w:ascii="宋体" w:eastAsia="宋体" w:hAnsi="宋体" w:hint="eastAsia"/>
              </w:rPr>
              <w:t>葫芦</w:t>
            </w:r>
            <w:r w:rsidRPr="001E07B5">
              <w:rPr>
                <w:rFonts w:ascii="宋体" w:eastAsia="宋体" w:hAnsi="宋体" w:hint="eastAsia"/>
              </w:rPr>
              <w:t>水电站取用水对下游用水户造成的影响甚微。</w:t>
            </w:r>
          </w:p>
          <w:p w14:paraId="3BEC1895" w14:textId="77777777" w:rsidR="001E07B5" w:rsidRPr="001E07B5" w:rsidRDefault="001E07B5" w:rsidP="00DC06FB">
            <w:pPr>
              <w:widowControl/>
              <w:adjustRightInd w:val="0"/>
              <w:snapToGrid w:val="0"/>
              <w:rPr>
                <w:rFonts w:ascii="宋体" w:eastAsia="宋体" w:hAnsi="宋体"/>
              </w:rPr>
            </w:pPr>
            <w:r w:rsidRPr="001E07B5">
              <w:rPr>
                <w:rFonts w:ascii="宋体" w:eastAsia="宋体" w:hAnsi="宋体" w:hint="eastAsia"/>
              </w:rPr>
              <w:t>工程取水需要修建拦河坝，形成淹没区，由于河道处于深山区，河道落差较大，河道窄深，淹没范围内均为灌木、岩石区域，不涉及农民耕地，且淹没区也无居民宅基地，故工程建设对当地居民的生产、生活影响较小。</w:t>
            </w:r>
          </w:p>
          <w:p w14:paraId="6B77DD0D" w14:textId="77777777" w:rsidR="001E07B5" w:rsidRPr="001E07B5" w:rsidRDefault="001E07B5" w:rsidP="00DC06FB">
            <w:pPr>
              <w:widowControl/>
              <w:adjustRightInd w:val="0"/>
              <w:snapToGrid w:val="0"/>
              <w:rPr>
                <w:rFonts w:ascii="宋体" w:eastAsia="宋体" w:hAnsi="宋体"/>
              </w:rPr>
            </w:pPr>
            <w:r w:rsidRPr="001E07B5">
              <w:rPr>
                <w:rFonts w:ascii="宋体" w:eastAsia="宋体" w:hAnsi="宋体" w:hint="eastAsia"/>
              </w:rPr>
              <w:t>本项目取水影响范围内农业灌溉面积较少，无工业用水户，对居民取水影响不大。</w:t>
            </w:r>
          </w:p>
          <w:p w14:paraId="6AAD7F19" w14:textId="584A608E" w:rsidR="00D125B8" w:rsidRPr="00CE6639" w:rsidRDefault="00460BE0" w:rsidP="00460BE0">
            <w:pPr>
              <w:widowControl/>
              <w:adjustRightInd w:val="0"/>
              <w:snapToGrid w:val="0"/>
              <w:rPr>
                <w:rFonts w:ascii="宋体" w:eastAsia="宋体" w:hAnsi="宋体"/>
              </w:rPr>
            </w:pPr>
            <w:r>
              <w:rPr>
                <w:rFonts w:ascii="宋体" w:eastAsia="宋体" w:hAnsi="宋体" w:hint="eastAsia"/>
              </w:rPr>
              <w:t>补充了相关图件，具体见附图。</w:t>
            </w:r>
          </w:p>
        </w:tc>
      </w:tr>
      <w:tr w:rsidR="00D125B8" w14:paraId="25A09731" w14:textId="77777777" w:rsidTr="00707C37">
        <w:tc>
          <w:tcPr>
            <w:tcW w:w="1129" w:type="dxa"/>
            <w:vAlign w:val="center"/>
          </w:tcPr>
          <w:p w14:paraId="0B89AB14" w14:textId="32199ADC"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5</w:t>
            </w:r>
          </w:p>
        </w:tc>
        <w:tc>
          <w:tcPr>
            <w:tcW w:w="3969" w:type="dxa"/>
          </w:tcPr>
          <w:p w14:paraId="3B74C96D" w14:textId="683BB523" w:rsidR="00D125B8" w:rsidRDefault="00572EEE" w:rsidP="00EC70D5">
            <w:pPr>
              <w:autoSpaceDE w:val="0"/>
              <w:autoSpaceDN w:val="0"/>
              <w:adjustRightInd w:val="0"/>
              <w:jc w:val="center"/>
              <w:rPr>
                <w:rFonts w:ascii="宋体" w:eastAsia="宋体" w:hAnsi="宋体" w:cs="Times New Roman"/>
                <w:bCs/>
                <w:szCs w:val="21"/>
              </w:rPr>
            </w:pPr>
            <w:r w:rsidRPr="00B84A14">
              <w:rPr>
                <w:rFonts w:ascii="宋体" w:eastAsia="宋体" w:hAnsi="宋体"/>
              </w:rPr>
              <w:t>明确工程布局、施工布置和水库淹没区是否涉及生态保护红线（风景名胜区、自然保护区、永久基本农田等）。报告书既然已明确“库区内没有发现洄游性鱼类和产卵场”，为何又提出“ 大坝设置过鱼设施，以保证上游库区水生生物与大坝下游水生生物的交流不被阻隔”的</w:t>
            </w:r>
            <w:r w:rsidRPr="00B84A14">
              <w:rPr>
                <w:rFonts w:ascii="宋体" w:eastAsia="宋体" w:hAnsi="宋体"/>
              </w:rPr>
              <w:lastRenderedPageBreak/>
              <w:t>要求？报告书补充分析通过排沙孔下泄生态流量对下游河道的影响，分析水库下泄低温水影响，必要时落实下泄低温水减缓措施</w:t>
            </w:r>
          </w:p>
        </w:tc>
        <w:tc>
          <w:tcPr>
            <w:tcW w:w="8850" w:type="dxa"/>
          </w:tcPr>
          <w:p w14:paraId="3AED037A" w14:textId="5FEE5788" w:rsidR="00DF016E" w:rsidRPr="00DF016E" w:rsidRDefault="00856268" w:rsidP="00856268">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lastRenderedPageBreak/>
              <w:t>P69-70</w:t>
            </w:r>
            <w:r>
              <w:rPr>
                <w:rFonts w:ascii="Times New Roman" w:eastAsia="宋体" w:hAnsi="Times New Roman" w:cs="Times New Roman" w:hint="eastAsia"/>
                <w:szCs w:val="21"/>
              </w:rPr>
              <w:t>，</w:t>
            </w:r>
            <w:r w:rsidR="00DF016E" w:rsidRPr="00DF016E">
              <w:rPr>
                <w:rFonts w:ascii="Times New Roman" w:eastAsia="宋体" w:hAnsi="Times New Roman" w:cs="Times New Roman" w:hint="eastAsia"/>
                <w:szCs w:val="21"/>
              </w:rPr>
              <w:t>葫芦电站取水口有生态流量泄放设施，为泄流闸，闸后为</w:t>
            </w:r>
            <w:r w:rsidR="00DF016E" w:rsidRPr="00DF016E">
              <w:rPr>
                <w:rFonts w:ascii="Times New Roman" w:eastAsia="宋体" w:hAnsi="Times New Roman" w:cs="Times New Roman"/>
                <w:szCs w:val="21"/>
              </w:rPr>
              <w:t>DN1300mm</w:t>
            </w:r>
            <w:r w:rsidR="00DF016E" w:rsidRPr="00DF016E">
              <w:rPr>
                <w:rFonts w:ascii="Times New Roman" w:eastAsia="宋体" w:hAnsi="Times New Roman" w:cs="Times New Roman" w:hint="eastAsia"/>
                <w:szCs w:val="21"/>
              </w:rPr>
              <w:t>涵管。按照《水力计算手册》有压管流计算方法，其计算公式如下：</w:t>
            </w:r>
          </w:p>
          <w:p w14:paraId="31AB2FB8" w14:textId="77777777" w:rsidR="00DF016E" w:rsidRPr="00DF016E" w:rsidRDefault="00DF016E" w:rsidP="00DF016E">
            <w:pPr>
              <w:widowControl/>
              <w:adjustRightInd w:val="0"/>
              <w:snapToGrid w:val="0"/>
              <w:ind w:firstLine="480"/>
              <w:jc w:val="center"/>
              <w:rPr>
                <w:rFonts w:ascii="Times New Roman" w:eastAsia="宋体" w:hAnsi="Times New Roman" w:cs="Times New Roman"/>
                <w:kern w:val="0"/>
                <w:szCs w:val="21"/>
                <w:lang w:bidi="en-US"/>
              </w:rPr>
            </w:pPr>
            <w:r w:rsidRPr="00DF016E">
              <w:rPr>
                <w:rFonts w:ascii="Times New Roman" w:eastAsia="宋体" w:hAnsi="Times New Roman" w:cs="Times New Roman"/>
                <w:kern w:val="0"/>
                <w:position w:val="-66"/>
                <w:szCs w:val="21"/>
                <w:lang w:bidi="en-US"/>
              </w:rPr>
              <w:object w:dxaOrig="2040" w:dyaOrig="1440" w14:anchorId="5DF4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86" o:spid="_x0000_i1025" type="#_x0000_t75" style="width:102pt;height:1in" o:ole="">
                  <v:imagedata r:id="rId6" o:title=""/>
                </v:shape>
                <o:OLEObject Type="Embed" ProgID="Equation.DSMT4" ShapeID="对象 486" DrawAspect="Content" ObjectID="_1662205988" r:id="rId7"/>
              </w:object>
            </w:r>
          </w:p>
          <w:p w14:paraId="6DDE85D3" w14:textId="77777777" w:rsidR="00DF016E" w:rsidRPr="00DF016E" w:rsidRDefault="00DF016E" w:rsidP="00DF016E">
            <w:pPr>
              <w:adjustRightInd w:val="0"/>
              <w:snapToGrid w:val="0"/>
              <w:ind w:firstLineChars="200" w:firstLine="420"/>
              <w:rPr>
                <w:rFonts w:ascii="Times New Roman" w:eastAsia="宋体" w:hAnsi="Times New Roman" w:cs="Times New Roman"/>
                <w:szCs w:val="21"/>
              </w:rPr>
            </w:pPr>
            <w:r w:rsidRPr="00DF016E">
              <w:rPr>
                <w:rFonts w:ascii="Times New Roman" w:eastAsia="宋体" w:hAnsi="Times New Roman" w:cs="Times New Roman" w:hint="eastAsia"/>
                <w:szCs w:val="21"/>
              </w:rPr>
              <w:t>经计算，当泄流涵管过水面积达到</w:t>
            </w:r>
            <w:r w:rsidRPr="00DF016E">
              <w:rPr>
                <w:rFonts w:ascii="Times New Roman" w:eastAsia="宋体" w:hAnsi="Times New Roman" w:cs="Times New Roman"/>
                <w:szCs w:val="21"/>
              </w:rPr>
              <w:t>0.006m</w:t>
            </w:r>
            <w:r w:rsidRPr="00DF016E">
              <w:rPr>
                <w:rFonts w:ascii="Times New Roman" w:eastAsia="宋体" w:hAnsi="Times New Roman" w:cs="Times New Roman"/>
                <w:szCs w:val="21"/>
                <w:vertAlign w:val="superscript"/>
              </w:rPr>
              <w:t>2</w:t>
            </w:r>
            <w:r w:rsidRPr="00DF016E">
              <w:rPr>
                <w:rFonts w:ascii="Times New Roman" w:eastAsia="宋体" w:hAnsi="Times New Roman" w:cs="Times New Roman" w:hint="eastAsia"/>
                <w:szCs w:val="21"/>
              </w:rPr>
              <w:t>时，过流流量为</w:t>
            </w:r>
            <w:r w:rsidRPr="00DF016E">
              <w:rPr>
                <w:rFonts w:ascii="Times New Roman" w:eastAsia="宋体" w:hAnsi="Times New Roman" w:cs="Times New Roman"/>
                <w:szCs w:val="21"/>
              </w:rPr>
              <w:t>0.051m</w:t>
            </w:r>
            <w:r w:rsidRPr="00DF016E">
              <w:rPr>
                <w:rFonts w:ascii="Times New Roman" w:eastAsia="宋体" w:hAnsi="Times New Roman" w:cs="Times New Roman"/>
                <w:szCs w:val="21"/>
                <w:vertAlign w:val="superscript"/>
              </w:rPr>
              <w:t>3</w:t>
            </w:r>
            <w:r w:rsidRPr="00DF016E">
              <w:rPr>
                <w:rFonts w:ascii="Times New Roman" w:eastAsia="宋体" w:hAnsi="Times New Roman" w:cs="Times New Roman"/>
                <w:szCs w:val="21"/>
              </w:rPr>
              <w:t>/s</w:t>
            </w:r>
            <w:r w:rsidRPr="00DF016E">
              <w:rPr>
                <w:rFonts w:ascii="Times New Roman" w:eastAsia="宋体" w:hAnsi="Times New Roman" w:cs="Times New Roman" w:hint="eastAsia"/>
                <w:szCs w:val="21"/>
              </w:rPr>
              <w:t>，满足生态流量泄放</w:t>
            </w:r>
            <w:r w:rsidRPr="00DF016E">
              <w:rPr>
                <w:rFonts w:ascii="Times New Roman" w:eastAsia="宋体" w:hAnsi="Times New Roman" w:cs="Times New Roman" w:hint="eastAsia"/>
                <w:szCs w:val="21"/>
              </w:rPr>
              <w:lastRenderedPageBreak/>
              <w:t>要求。因此生态流量泄放设施改造可采用闸门限位方式，通过控制闸门开度，使过水面积不小于</w:t>
            </w:r>
            <w:r w:rsidRPr="00DF016E">
              <w:rPr>
                <w:rFonts w:ascii="Times New Roman" w:eastAsia="宋体" w:hAnsi="Times New Roman" w:cs="Times New Roman"/>
                <w:szCs w:val="21"/>
              </w:rPr>
              <w:t>0.006m</w:t>
            </w:r>
            <w:r w:rsidRPr="00DF016E">
              <w:rPr>
                <w:rFonts w:ascii="Times New Roman" w:eastAsia="宋体" w:hAnsi="Times New Roman" w:cs="Times New Roman"/>
                <w:szCs w:val="21"/>
                <w:vertAlign w:val="superscript"/>
              </w:rPr>
              <w:t>2</w:t>
            </w:r>
            <w:r w:rsidRPr="00DF016E">
              <w:rPr>
                <w:rFonts w:ascii="Times New Roman" w:eastAsia="宋体" w:hAnsi="Times New Roman" w:cs="Times New Roman" w:hint="eastAsia"/>
                <w:szCs w:val="21"/>
              </w:rPr>
              <w:t>。现状泄流涵管管径为</w:t>
            </w:r>
            <w:r w:rsidRPr="00DF016E">
              <w:rPr>
                <w:rFonts w:ascii="Times New Roman" w:eastAsia="宋体" w:hAnsi="Times New Roman" w:cs="Times New Roman"/>
                <w:szCs w:val="21"/>
              </w:rPr>
              <w:t>DN1300mm</w:t>
            </w:r>
            <w:r w:rsidRPr="00DF016E">
              <w:rPr>
                <w:rFonts w:ascii="Times New Roman" w:eastAsia="宋体" w:hAnsi="Times New Roman" w:cs="Times New Roman" w:hint="eastAsia"/>
                <w:szCs w:val="21"/>
              </w:rPr>
              <w:t>，通过几何关系计算可得闸门开度不小于</w:t>
            </w:r>
            <w:r w:rsidRPr="00DF016E">
              <w:rPr>
                <w:rFonts w:ascii="Times New Roman" w:eastAsia="宋体" w:hAnsi="Times New Roman" w:cs="Times New Roman"/>
                <w:szCs w:val="21"/>
              </w:rPr>
              <w:t>0.03m</w:t>
            </w:r>
            <w:r w:rsidRPr="00DF016E">
              <w:rPr>
                <w:rFonts w:ascii="Times New Roman" w:eastAsia="宋体" w:hAnsi="Times New Roman" w:cs="Times New Roman" w:hint="eastAsia"/>
                <w:szCs w:val="21"/>
              </w:rPr>
              <w:t>。</w:t>
            </w:r>
          </w:p>
          <w:p w14:paraId="01C57421" w14:textId="0C79FD61" w:rsidR="00287AD9" w:rsidRPr="00DF016E" w:rsidRDefault="00287AD9" w:rsidP="00856268">
            <w:pPr>
              <w:pStyle w:val="a8"/>
              <w:adjustRightInd w:val="0"/>
              <w:snapToGrid w:val="0"/>
              <w:spacing w:line="240" w:lineRule="auto"/>
              <w:ind w:firstLineChars="0" w:firstLine="0"/>
              <w:rPr>
                <w:rFonts w:cs="Times New Roman"/>
                <w:sz w:val="21"/>
                <w:szCs w:val="21"/>
              </w:rPr>
            </w:pPr>
            <w:r w:rsidRPr="00DF016E">
              <w:rPr>
                <w:rFonts w:cs="Times New Roman"/>
                <w:sz w:val="21"/>
                <w:szCs w:val="21"/>
              </w:rPr>
              <w:t>根据《歙县小水电清理整改“一站一策”实施方案》，</w:t>
            </w:r>
            <w:r w:rsidR="00900192" w:rsidRPr="00DF016E">
              <w:rPr>
                <w:rFonts w:cs="Times New Roman"/>
                <w:sz w:val="21"/>
                <w:szCs w:val="21"/>
              </w:rPr>
              <w:t>葫芦</w:t>
            </w:r>
            <w:r w:rsidRPr="00DF016E">
              <w:rPr>
                <w:rFonts w:cs="Times New Roman"/>
                <w:sz w:val="21"/>
                <w:szCs w:val="21"/>
              </w:rPr>
              <w:t>水电站采用多年平均流量法核定生态流量，核定后的生态流量0.806 m</w:t>
            </w:r>
            <w:r w:rsidRPr="00DF016E">
              <w:rPr>
                <w:rFonts w:cs="Times New Roman"/>
                <w:sz w:val="21"/>
                <w:szCs w:val="21"/>
                <w:vertAlign w:val="superscript"/>
              </w:rPr>
              <w:t>3</w:t>
            </w:r>
            <w:r w:rsidRPr="00DF016E">
              <w:rPr>
                <w:rFonts w:cs="Times New Roman"/>
                <w:sz w:val="21"/>
                <w:szCs w:val="21"/>
              </w:rPr>
              <w:t>/s，本项目确定为0.806m</w:t>
            </w:r>
            <w:r w:rsidRPr="00DF016E">
              <w:rPr>
                <w:rFonts w:cs="Times New Roman"/>
                <w:sz w:val="21"/>
                <w:szCs w:val="21"/>
                <w:vertAlign w:val="superscript"/>
              </w:rPr>
              <w:t>3</w:t>
            </w:r>
            <w:r w:rsidRPr="00DF016E">
              <w:rPr>
                <w:rFonts w:cs="Times New Roman"/>
                <w:sz w:val="21"/>
                <w:szCs w:val="21"/>
              </w:rPr>
              <w:t>/s，可确保坝后河段水生生态系统保持基本稳定。</w:t>
            </w:r>
          </w:p>
          <w:p w14:paraId="0A60260E" w14:textId="36321A9C" w:rsidR="00D125B8" w:rsidRPr="00DF016E" w:rsidRDefault="00CE6639" w:rsidP="00DF016E">
            <w:pPr>
              <w:pStyle w:val="a8"/>
              <w:adjustRightInd w:val="0"/>
              <w:snapToGrid w:val="0"/>
              <w:spacing w:line="240" w:lineRule="auto"/>
              <w:ind w:firstLineChars="0" w:firstLine="0"/>
              <w:rPr>
                <w:rFonts w:cs="Times New Roman"/>
                <w:sz w:val="21"/>
                <w:szCs w:val="21"/>
              </w:rPr>
            </w:pPr>
            <w:r w:rsidRPr="00DF016E">
              <w:rPr>
                <w:rFonts w:cs="Times New Roman" w:hint="eastAsia"/>
                <w:sz w:val="21"/>
                <w:szCs w:val="21"/>
              </w:rPr>
              <w:t>本项目不涉及生态红线。</w:t>
            </w:r>
          </w:p>
        </w:tc>
      </w:tr>
      <w:tr w:rsidR="00D125B8" w14:paraId="1B9B0BEE" w14:textId="77777777" w:rsidTr="00707C37">
        <w:tc>
          <w:tcPr>
            <w:tcW w:w="1129" w:type="dxa"/>
            <w:vAlign w:val="center"/>
          </w:tcPr>
          <w:p w14:paraId="567C1113" w14:textId="1B56A74A"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lastRenderedPageBreak/>
              <w:t>6</w:t>
            </w:r>
          </w:p>
        </w:tc>
        <w:tc>
          <w:tcPr>
            <w:tcW w:w="3969" w:type="dxa"/>
          </w:tcPr>
          <w:p w14:paraId="70A7E090" w14:textId="5BDA8C40" w:rsidR="00D125B8" w:rsidRPr="00701F30" w:rsidRDefault="00572EEE" w:rsidP="00701F30">
            <w:pPr>
              <w:autoSpaceDE w:val="0"/>
              <w:autoSpaceDN w:val="0"/>
              <w:adjustRightInd w:val="0"/>
              <w:jc w:val="left"/>
              <w:rPr>
                <w:rFonts w:ascii="宋体" w:eastAsia="宋体" w:hAnsi="宋体" w:cs="Times New Roman"/>
                <w:bCs/>
                <w:szCs w:val="21"/>
              </w:rPr>
            </w:pPr>
            <w:r w:rsidRPr="00B84A14">
              <w:rPr>
                <w:rFonts w:ascii="宋体" w:eastAsia="宋体" w:hAnsi="宋体"/>
              </w:rPr>
              <w:t>报告书提出的“鱼类增殖放流整改措施”应进一步明确整改方案（投放种类、投放点、投放尾数等）。核实环保投资估算</w:t>
            </w:r>
          </w:p>
        </w:tc>
        <w:tc>
          <w:tcPr>
            <w:tcW w:w="8850" w:type="dxa"/>
          </w:tcPr>
          <w:p w14:paraId="01FD4A3A" w14:textId="6D8AC163" w:rsidR="00701F30" w:rsidRDefault="00856268" w:rsidP="00701F30">
            <w:pPr>
              <w:autoSpaceDE w:val="0"/>
              <w:autoSpaceDN w:val="0"/>
              <w:adjustRightInd w:val="0"/>
              <w:jc w:val="left"/>
              <w:rPr>
                <w:rFonts w:ascii="宋体" w:eastAsia="宋体" w:hAnsi="宋体" w:cs="Times New Roman"/>
                <w:bCs/>
                <w:szCs w:val="21"/>
              </w:rPr>
            </w:pPr>
            <w:bookmarkStart w:id="1" w:name="_Hlk51577598"/>
            <w:bookmarkStart w:id="2" w:name="_Hlk51570963"/>
            <w:r>
              <w:rPr>
                <w:rFonts w:ascii="宋体" w:eastAsia="宋体" w:hAnsi="宋体" w:cs="Times New Roman" w:hint="eastAsia"/>
                <w:bCs/>
                <w:szCs w:val="21"/>
              </w:rPr>
              <w:t>P45-46，</w:t>
            </w:r>
            <w:r w:rsidR="00BB2331">
              <w:rPr>
                <w:rFonts w:ascii="宋体" w:eastAsia="宋体" w:hAnsi="宋体" w:cs="Times New Roman" w:hint="eastAsia"/>
                <w:bCs/>
                <w:szCs w:val="21"/>
              </w:rPr>
              <w:t>增殖</w:t>
            </w:r>
            <w:r w:rsidR="00701F30" w:rsidRPr="00701F30">
              <w:rPr>
                <w:rFonts w:ascii="宋体" w:eastAsia="宋体" w:hAnsi="宋体" w:cs="Times New Roman"/>
                <w:bCs/>
                <w:szCs w:val="21"/>
              </w:rPr>
              <w:t>放流措施</w:t>
            </w:r>
            <w:r w:rsidR="00701F30" w:rsidRPr="00701F30">
              <w:rPr>
                <w:rFonts w:ascii="宋体" w:eastAsia="宋体" w:hAnsi="宋体" w:cs="Times New Roman" w:hint="eastAsia"/>
                <w:bCs/>
                <w:szCs w:val="21"/>
              </w:rPr>
              <w:t>建议委托</w:t>
            </w:r>
            <w:r w:rsidR="00701F30" w:rsidRPr="00701F30">
              <w:rPr>
                <w:rFonts w:ascii="宋体" w:eastAsia="宋体" w:hAnsi="宋体" w:cs="Times New Roman"/>
                <w:bCs/>
                <w:szCs w:val="21"/>
              </w:rPr>
              <w:t>本地农业渔业部门</w:t>
            </w:r>
            <w:r w:rsidR="00701F30" w:rsidRPr="00701F30">
              <w:rPr>
                <w:rFonts w:ascii="宋体" w:eastAsia="宋体" w:hAnsi="宋体" w:cs="Times New Roman" w:hint="eastAsia"/>
                <w:bCs/>
                <w:szCs w:val="21"/>
              </w:rPr>
              <w:t>进行，并</w:t>
            </w:r>
            <w:r w:rsidR="00701F30" w:rsidRPr="00701F30">
              <w:rPr>
                <w:rFonts w:ascii="宋体" w:eastAsia="宋体" w:hAnsi="宋体" w:cs="Times New Roman"/>
                <w:bCs/>
                <w:szCs w:val="21"/>
              </w:rPr>
              <w:t>建议建设单位与本地农业渔业主管部门协商，预留部分经费用于对渔业资源进行监测和保护。</w:t>
            </w:r>
          </w:p>
          <w:p w14:paraId="197FA9A1" w14:textId="77777777" w:rsidR="00D125B8" w:rsidRDefault="000C51B9" w:rsidP="00701F30">
            <w:pPr>
              <w:autoSpaceDE w:val="0"/>
              <w:autoSpaceDN w:val="0"/>
              <w:adjustRightInd w:val="0"/>
              <w:jc w:val="left"/>
              <w:rPr>
                <w:rFonts w:ascii="宋体" w:eastAsia="宋体" w:hAnsi="宋体" w:cs="Times New Roman"/>
                <w:bCs/>
                <w:szCs w:val="21"/>
              </w:rPr>
            </w:pPr>
            <w:bookmarkStart w:id="3" w:name="_Hlk51577723"/>
            <w:bookmarkEnd w:id="1"/>
            <w:r w:rsidRPr="000C51B9">
              <w:rPr>
                <w:rFonts w:ascii="宋体" w:eastAsia="宋体" w:hAnsi="宋体" w:cs="Times New Roman"/>
                <w:bCs/>
                <w:szCs w:val="21"/>
              </w:rPr>
              <w:t>水电站的建设，由于大坝对河流的阻隔作用以及水文情势的改变，将对江河水生动物特别是洄游性鱼类繁殖将产生明显的影响。据调查，该流域浮游动物主要为清洁水体种类，底栖动物种类中耐清洁种类也较多。总地来讲，随着水体营养增加，浮游植物的种类数量和生物量的增加，水生动物种类和数量也会有一定增多。</w:t>
            </w:r>
            <w:r w:rsidRPr="000C51B9">
              <w:rPr>
                <w:rFonts w:ascii="宋体" w:eastAsia="宋体" w:hAnsi="宋体" w:cs="Times New Roman"/>
                <w:bCs/>
                <w:szCs w:val="21"/>
              </w:rPr>
              <w:br/>
              <w:t>同时，本工程建成蓄水后，将改变库区河段的鱼类生境条件，库区饵料生物生活条件略有改善，将促进库区鱼类的生长和繁殖，为库区渔业发展提供了条件</w:t>
            </w:r>
            <w:r w:rsidR="00701F30">
              <w:rPr>
                <w:rFonts w:ascii="宋体" w:eastAsia="宋体" w:hAnsi="宋体" w:cs="Times New Roman" w:hint="eastAsia"/>
                <w:bCs/>
                <w:szCs w:val="21"/>
              </w:rPr>
              <w:t>。</w:t>
            </w:r>
            <w:bookmarkEnd w:id="2"/>
          </w:p>
          <w:bookmarkEnd w:id="3"/>
          <w:p w14:paraId="735EEC45" w14:textId="6B3332D0" w:rsidR="00C243DC" w:rsidRDefault="00C243DC" w:rsidP="00701F30">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已核实环保投资。</w:t>
            </w:r>
          </w:p>
        </w:tc>
      </w:tr>
      <w:tr w:rsidR="00D125B8" w14:paraId="154E2B1D" w14:textId="77777777" w:rsidTr="00707C37">
        <w:tc>
          <w:tcPr>
            <w:tcW w:w="1129" w:type="dxa"/>
            <w:vAlign w:val="center"/>
          </w:tcPr>
          <w:p w14:paraId="6D5BF166" w14:textId="665C92A7"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7</w:t>
            </w:r>
          </w:p>
        </w:tc>
        <w:tc>
          <w:tcPr>
            <w:tcW w:w="3969" w:type="dxa"/>
          </w:tcPr>
          <w:p w14:paraId="7B48D74D" w14:textId="04D1428F" w:rsidR="00D125B8" w:rsidRDefault="00572EEE" w:rsidP="00EC70D5">
            <w:pPr>
              <w:autoSpaceDE w:val="0"/>
              <w:autoSpaceDN w:val="0"/>
              <w:adjustRightInd w:val="0"/>
              <w:jc w:val="center"/>
              <w:rPr>
                <w:rFonts w:ascii="宋体" w:eastAsia="宋体" w:hAnsi="宋体" w:cs="Times New Roman"/>
                <w:bCs/>
                <w:szCs w:val="21"/>
              </w:rPr>
            </w:pPr>
            <w:r w:rsidRPr="00B84A14">
              <w:rPr>
                <w:rFonts w:ascii="宋体" w:eastAsia="宋体" w:hAnsi="宋体"/>
              </w:rPr>
              <w:t>规范公众参与；对照《水电建设项目环境影响评价文件审批原则（试）》、《关于深化落实水电开发生态环境保护措施的通知》（环发 5 [2014]65 号）等文件，完善文本编制</w:t>
            </w:r>
            <w:r w:rsidR="00D125B8" w:rsidRPr="00D125B8">
              <w:rPr>
                <w:rFonts w:ascii="宋体" w:eastAsia="宋体" w:hAnsi="宋体"/>
              </w:rPr>
              <w:t>。</w:t>
            </w:r>
          </w:p>
        </w:tc>
        <w:tc>
          <w:tcPr>
            <w:tcW w:w="8850" w:type="dxa"/>
          </w:tcPr>
          <w:p w14:paraId="540276CC" w14:textId="77777777" w:rsidR="00D125B8" w:rsidRDefault="00707C37" w:rsidP="00707C37">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已规范公众参与。</w:t>
            </w:r>
          </w:p>
          <w:p w14:paraId="3478B1EA" w14:textId="42EAB93D" w:rsidR="00707C37" w:rsidRDefault="00707C37" w:rsidP="00707C37">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已完善文本。</w:t>
            </w:r>
          </w:p>
        </w:tc>
      </w:tr>
    </w:tbl>
    <w:p w14:paraId="317B3EC2" w14:textId="77777777" w:rsidR="00EC70D5" w:rsidRPr="00EC70D5" w:rsidRDefault="00EC70D5" w:rsidP="00EC70D5">
      <w:pPr>
        <w:autoSpaceDE w:val="0"/>
        <w:autoSpaceDN w:val="0"/>
        <w:adjustRightInd w:val="0"/>
        <w:jc w:val="center"/>
        <w:rPr>
          <w:rFonts w:ascii="宋体" w:eastAsia="宋体" w:hAnsi="宋体" w:cs="Times New Roman"/>
          <w:bCs/>
          <w:szCs w:val="21"/>
        </w:rPr>
      </w:pPr>
    </w:p>
    <w:p w14:paraId="455A25E7" w14:textId="6229CBC1" w:rsidR="00E14D17" w:rsidRPr="00B84A14" w:rsidRDefault="00E14D17" w:rsidP="00E14D17">
      <w:pPr>
        <w:rPr>
          <w:rFonts w:ascii="宋体" w:eastAsia="宋体" w:hAnsi="宋体"/>
        </w:rPr>
      </w:pPr>
    </w:p>
    <w:sectPr w:rsidR="00E14D17" w:rsidRPr="00B84A14" w:rsidSect="00EC70D5">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68FBF" w14:textId="77777777" w:rsidR="00377D5B" w:rsidRDefault="00377D5B" w:rsidP="00EC70D5">
      <w:r>
        <w:separator/>
      </w:r>
    </w:p>
  </w:endnote>
  <w:endnote w:type="continuationSeparator" w:id="0">
    <w:p w14:paraId="32B23D23" w14:textId="77777777" w:rsidR="00377D5B" w:rsidRDefault="00377D5B" w:rsidP="00EC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6649957"/>
      <w:docPartObj>
        <w:docPartGallery w:val="Page Numbers (Bottom of Page)"/>
        <w:docPartUnique/>
      </w:docPartObj>
    </w:sdtPr>
    <w:sdtContent>
      <w:p w14:paraId="47AD004C" w14:textId="0DE01EA8" w:rsidR="00D56EC2" w:rsidRDefault="00D56EC2">
        <w:pPr>
          <w:pStyle w:val="a5"/>
          <w:jc w:val="center"/>
        </w:pPr>
        <w:r>
          <w:fldChar w:fldCharType="begin"/>
        </w:r>
        <w:r>
          <w:instrText>PAGE   \* MERGEFORMAT</w:instrText>
        </w:r>
        <w:r>
          <w:fldChar w:fldCharType="separate"/>
        </w:r>
        <w:r>
          <w:rPr>
            <w:lang w:val="zh-CN"/>
          </w:rPr>
          <w:t>2</w:t>
        </w:r>
        <w:r>
          <w:fldChar w:fldCharType="end"/>
        </w:r>
      </w:p>
    </w:sdtContent>
  </w:sdt>
  <w:p w14:paraId="7EAC9F41" w14:textId="19F9C81C" w:rsidR="00D56EC2" w:rsidRDefault="00D56EC2" w:rsidP="00D56EC2">
    <w:pPr>
      <w:pStyle w:val="a5"/>
      <w:tabs>
        <w:tab w:val="clear" w:pos="4153"/>
        <w:tab w:val="clear" w:pos="8306"/>
        <w:tab w:val="left" w:pos="594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C7CDD" w14:textId="77777777" w:rsidR="00377D5B" w:rsidRDefault="00377D5B" w:rsidP="00EC70D5">
      <w:r>
        <w:separator/>
      </w:r>
    </w:p>
  </w:footnote>
  <w:footnote w:type="continuationSeparator" w:id="0">
    <w:p w14:paraId="2406CBDE" w14:textId="77777777" w:rsidR="00377D5B" w:rsidRDefault="00377D5B" w:rsidP="00EC70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620"/>
    <w:rsid w:val="000C51B9"/>
    <w:rsid w:val="00114446"/>
    <w:rsid w:val="00192CBA"/>
    <w:rsid w:val="001C3766"/>
    <w:rsid w:val="001E07B5"/>
    <w:rsid w:val="002533F2"/>
    <w:rsid w:val="00287AD9"/>
    <w:rsid w:val="002A7C1A"/>
    <w:rsid w:val="002B69AD"/>
    <w:rsid w:val="0033088D"/>
    <w:rsid w:val="00377D5B"/>
    <w:rsid w:val="00385FF4"/>
    <w:rsid w:val="00441D79"/>
    <w:rsid w:val="00460BE0"/>
    <w:rsid w:val="00471212"/>
    <w:rsid w:val="004C321B"/>
    <w:rsid w:val="004E656B"/>
    <w:rsid w:val="00572EEE"/>
    <w:rsid w:val="00701F30"/>
    <w:rsid w:val="00707C37"/>
    <w:rsid w:val="00856268"/>
    <w:rsid w:val="00860024"/>
    <w:rsid w:val="00900192"/>
    <w:rsid w:val="00942212"/>
    <w:rsid w:val="0095748B"/>
    <w:rsid w:val="00A16620"/>
    <w:rsid w:val="00AC2033"/>
    <w:rsid w:val="00B17342"/>
    <w:rsid w:val="00B84A14"/>
    <w:rsid w:val="00BA5DD8"/>
    <w:rsid w:val="00BB2331"/>
    <w:rsid w:val="00BD4CA1"/>
    <w:rsid w:val="00C243DC"/>
    <w:rsid w:val="00CE6639"/>
    <w:rsid w:val="00D125B8"/>
    <w:rsid w:val="00D47C43"/>
    <w:rsid w:val="00D56EC2"/>
    <w:rsid w:val="00DC06FB"/>
    <w:rsid w:val="00DF016E"/>
    <w:rsid w:val="00E14D17"/>
    <w:rsid w:val="00E67F38"/>
    <w:rsid w:val="00EC70D5"/>
    <w:rsid w:val="00EE2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E6B96"/>
  <w15:chartTrackingRefBased/>
  <w15:docId w15:val="{39EBD593-612E-4D69-BE25-6ADABDDE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0D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70D5"/>
    <w:rPr>
      <w:sz w:val="18"/>
      <w:szCs w:val="18"/>
    </w:rPr>
  </w:style>
  <w:style w:type="paragraph" w:styleId="a5">
    <w:name w:val="footer"/>
    <w:basedOn w:val="a"/>
    <w:link w:val="a6"/>
    <w:uiPriority w:val="99"/>
    <w:unhideWhenUsed/>
    <w:rsid w:val="00EC70D5"/>
    <w:pPr>
      <w:tabs>
        <w:tab w:val="center" w:pos="4153"/>
        <w:tab w:val="right" w:pos="8306"/>
      </w:tabs>
      <w:snapToGrid w:val="0"/>
      <w:jc w:val="left"/>
    </w:pPr>
    <w:rPr>
      <w:sz w:val="18"/>
      <w:szCs w:val="18"/>
    </w:rPr>
  </w:style>
  <w:style w:type="character" w:customStyle="1" w:styleId="a6">
    <w:name w:val="页脚 字符"/>
    <w:basedOn w:val="a0"/>
    <w:link w:val="a5"/>
    <w:uiPriority w:val="99"/>
    <w:rsid w:val="00EC70D5"/>
    <w:rPr>
      <w:sz w:val="18"/>
      <w:szCs w:val="18"/>
    </w:rPr>
  </w:style>
  <w:style w:type="table" w:styleId="a7">
    <w:name w:val="Table Grid"/>
    <w:basedOn w:val="a1"/>
    <w:uiPriority w:val="39"/>
    <w:rsid w:val="00EC7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A7C1A"/>
    <w:pPr>
      <w:widowControl w:val="0"/>
      <w:autoSpaceDE w:val="0"/>
      <w:autoSpaceDN w:val="0"/>
      <w:adjustRightInd w:val="0"/>
    </w:pPr>
    <w:rPr>
      <w:rFonts w:ascii="宋体" w:eastAsia="宋体" w:hAnsi="Times New Roman" w:cs="宋体"/>
      <w:color w:val="000000"/>
      <w:kern w:val="0"/>
      <w:sz w:val="24"/>
      <w:szCs w:val="24"/>
    </w:rPr>
  </w:style>
  <w:style w:type="paragraph" w:customStyle="1" w:styleId="a8">
    <w:name w:val="梅林专项正文"/>
    <w:basedOn w:val="a"/>
    <w:qFormat/>
    <w:rsid w:val="00287AD9"/>
    <w:pPr>
      <w:autoSpaceDE w:val="0"/>
      <w:autoSpaceDN w:val="0"/>
      <w:spacing w:line="360" w:lineRule="auto"/>
      <w:ind w:firstLineChars="200" w:firstLine="200"/>
    </w:pPr>
    <w:rPr>
      <w:rFonts w:ascii="宋体" w:eastAsia="宋体" w:hAnsi="宋体" w:cs="宋体"/>
      <w:kern w:val="0"/>
      <w:sz w:val="28"/>
      <w:szCs w:val="2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606</Words>
  <Characters>3459</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38</cp:revision>
  <dcterms:created xsi:type="dcterms:W3CDTF">2020-09-19T01:07:00Z</dcterms:created>
  <dcterms:modified xsi:type="dcterms:W3CDTF">2020-09-21T07:07:00Z</dcterms:modified>
</cp:coreProperties>
</file>