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color w:val="000000"/>
          <w:sz w:val="44"/>
          <w:szCs w:val="44"/>
        </w:rPr>
      </w:pPr>
    </w:p>
    <w:p>
      <w:pPr>
        <w:pStyle w:val="22"/>
        <w:rPr>
          <w:rFonts w:hint="default"/>
        </w:rPr>
      </w:pPr>
    </w:p>
    <w:p>
      <w:pPr>
        <w:pStyle w:val="22"/>
        <w:rPr>
          <w:rFonts w:hint="default"/>
        </w:rPr>
      </w:pPr>
    </w:p>
    <w:p>
      <w:pPr>
        <w:pStyle w:val="22"/>
        <w:rPr>
          <w:rFonts w:hint="default"/>
        </w:rPr>
      </w:pPr>
    </w:p>
    <w:p>
      <w:pPr>
        <w:spacing w:line="360" w:lineRule="auto"/>
        <w:jc w:val="center"/>
        <w:rPr>
          <w:rFonts w:hint="default" w:ascii="Times New Roman" w:hAnsi="Times New Roman" w:eastAsia="宋体" w:cs="Times New Roman"/>
          <w:b/>
          <w:color w:val="000000"/>
          <w:sz w:val="44"/>
          <w:szCs w:val="44"/>
        </w:rPr>
      </w:pPr>
    </w:p>
    <w:p>
      <w:pPr>
        <w:spacing w:line="360" w:lineRule="auto"/>
        <w:jc w:val="center"/>
        <w:rPr>
          <w:rFonts w:hint="default" w:eastAsia="宋体"/>
          <w:b/>
          <w:bCs/>
          <w:sz w:val="44"/>
          <w:szCs w:val="44"/>
          <w:lang w:val="en-US" w:eastAsia="zh-CN"/>
        </w:rPr>
      </w:pPr>
      <w:r>
        <w:rPr>
          <w:rFonts w:hint="eastAsia"/>
          <w:b/>
          <w:bCs/>
          <w:sz w:val="44"/>
          <w:szCs w:val="44"/>
          <w:lang w:val="en-US" w:eastAsia="zh-CN"/>
        </w:rPr>
        <w:t>安徽常宇门窗有限公司</w:t>
      </w:r>
    </w:p>
    <w:p>
      <w:pPr>
        <w:spacing w:line="360" w:lineRule="auto"/>
        <w:jc w:val="center"/>
        <w:rPr>
          <w:rFonts w:hint="eastAsia"/>
          <w:b/>
          <w:bCs/>
          <w:sz w:val="44"/>
          <w:szCs w:val="44"/>
        </w:rPr>
      </w:pPr>
      <w:r>
        <w:rPr>
          <w:rFonts w:hint="eastAsia"/>
          <w:b/>
          <w:bCs/>
          <w:sz w:val="44"/>
          <w:szCs w:val="44"/>
          <w:lang w:val="en-US" w:eastAsia="zh-CN"/>
        </w:rPr>
        <w:t>年产7.5万m</w:t>
      </w:r>
      <w:r>
        <w:rPr>
          <w:rFonts w:hint="eastAsia"/>
          <w:b/>
          <w:bCs/>
          <w:sz w:val="44"/>
          <w:szCs w:val="44"/>
          <w:vertAlign w:val="superscript"/>
          <w:lang w:val="en-US" w:eastAsia="zh-CN"/>
        </w:rPr>
        <w:t>2</w:t>
      </w:r>
      <w:r>
        <w:rPr>
          <w:rFonts w:hint="eastAsia"/>
          <w:b/>
          <w:bCs/>
          <w:sz w:val="44"/>
          <w:szCs w:val="44"/>
          <w:vertAlign w:val="baseline"/>
          <w:lang w:val="en-US" w:eastAsia="zh-CN"/>
        </w:rPr>
        <w:t>铝合金门窗加工生产</w:t>
      </w:r>
      <w:r>
        <w:rPr>
          <w:rFonts w:hint="eastAsia"/>
          <w:b/>
          <w:bCs/>
          <w:sz w:val="44"/>
          <w:szCs w:val="44"/>
        </w:rPr>
        <w:t>项目</w:t>
      </w:r>
    </w:p>
    <w:p>
      <w:pPr>
        <w:spacing w:line="360" w:lineRule="auto"/>
        <w:jc w:val="center"/>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44"/>
          <w:szCs w:val="44"/>
        </w:rPr>
        <w:t>竣工环境保护验收报告</w:t>
      </w:r>
    </w:p>
    <w:p>
      <w:pPr>
        <w:spacing w:line="360" w:lineRule="auto"/>
        <w:jc w:val="center"/>
        <w:rPr>
          <w:rFonts w:hint="default" w:ascii="Times New Roman" w:hAnsi="Times New Roman" w:eastAsia="宋体" w:cs="Times New Roman"/>
          <w:b/>
          <w:color w:val="auto"/>
          <w:sz w:val="44"/>
          <w:szCs w:val="44"/>
        </w:rPr>
      </w:pPr>
    </w:p>
    <w:p>
      <w:pPr>
        <w:jc w:val="center"/>
        <w:rPr>
          <w:rFonts w:hint="default" w:ascii="Times New Roman" w:hAnsi="Times New Roman" w:eastAsia="宋体" w:cs="Times New Roman"/>
        </w:rPr>
      </w:pPr>
    </w:p>
    <w:p>
      <w:pPr>
        <w:tabs>
          <w:tab w:val="left" w:pos="900"/>
        </w:tabs>
        <w:spacing w:line="800" w:lineRule="exact"/>
        <w:rPr>
          <w:rFonts w:hint="default" w:ascii="Times New Roman" w:hAnsi="Times New Roman" w:eastAsia="宋体" w:cs="Times New Roman"/>
          <w:b/>
          <w:sz w:val="32"/>
          <w:szCs w:val="32"/>
        </w:rPr>
      </w:pPr>
    </w:p>
    <w:p>
      <w:pPr>
        <w:spacing w:line="360" w:lineRule="auto"/>
        <w:jc w:val="both"/>
        <w:rPr>
          <w:rFonts w:hint="default" w:ascii="Times New Roman" w:hAnsi="Times New Roman" w:eastAsia="宋体" w:cs="Times New Roman"/>
          <w:b/>
          <w:sz w:val="32"/>
          <w:szCs w:val="32"/>
        </w:rPr>
      </w:pPr>
    </w:p>
    <w:p>
      <w:pPr>
        <w:pStyle w:val="22"/>
        <w:rPr>
          <w:rFonts w:hint="default" w:ascii="Times New Roman" w:hAnsi="Times New Roman" w:eastAsia="宋体" w:cs="Times New Roman"/>
          <w:b/>
          <w:sz w:val="32"/>
          <w:szCs w:val="32"/>
        </w:rPr>
      </w:pPr>
    </w:p>
    <w:p>
      <w:pPr>
        <w:pStyle w:val="22"/>
        <w:rPr>
          <w:rFonts w:hint="default" w:ascii="Times New Roman" w:hAnsi="Times New Roman" w:eastAsia="宋体" w:cs="Times New Roman"/>
          <w:b/>
          <w:sz w:val="32"/>
          <w:szCs w:val="32"/>
        </w:rPr>
      </w:pPr>
    </w:p>
    <w:p>
      <w:pPr>
        <w:pStyle w:val="22"/>
        <w:rPr>
          <w:rFonts w:hint="default" w:ascii="Times New Roman" w:hAnsi="Times New Roman" w:eastAsia="宋体" w:cs="Times New Roman"/>
          <w:b/>
          <w:sz w:val="32"/>
          <w:szCs w:val="32"/>
        </w:rPr>
      </w:pPr>
    </w:p>
    <w:p>
      <w:pPr>
        <w:pStyle w:val="22"/>
        <w:rPr>
          <w:rFonts w:hint="default" w:ascii="Times New Roman" w:hAnsi="Times New Roman" w:eastAsia="宋体" w:cs="Times New Roman"/>
          <w:b/>
          <w:sz w:val="32"/>
          <w:szCs w:val="32"/>
        </w:rPr>
      </w:pPr>
    </w:p>
    <w:p>
      <w:pPr>
        <w:pStyle w:val="22"/>
        <w:rPr>
          <w:rFonts w:hint="default" w:ascii="Times New Roman" w:hAnsi="Times New Roman" w:eastAsia="宋体" w:cs="Times New Roman"/>
          <w:b/>
          <w:sz w:val="32"/>
          <w:szCs w:val="32"/>
        </w:rPr>
      </w:pPr>
    </w:p>
    <w:p>
      <w:pPr>
        <w:spacing w:line="360"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rPr>
        <w:t>安徽常宇门窗有限公司</w:t>
      </w:r>
    </w:p>
    <w:p>
      <w:pPr>
        <w:spacing w:line="360" w:lineRule="auto"/>
        <w:jc w:val="center"/>
        <w:rPr>
          <w:rFonts w:hint="default" w:ascii="Times New Roman" w:hAnsi="Times New Roman" w:eastAsia="宋体" w:cs="Times New Roman"/>
          <w:b/>
          <w:color w:val="000000"/>
          <w:sz w:val="72"/>
          <w:szCs w:val="72"/>
        </w:rPr>
      </w:pPr>
      <w:r>
        <w:rPr>
          <w:rFonts w:hint="default" w:ascii="Times New Roman" w:hAnsi="Times New Roman" w:eastAsia="宋体" w:cs="Times New Roman"/>
          <w:sz w:val="36"/>
          <w:szCs w:val="36"/>
        </w:rPr>
        <w:t>二〇二〇年</w:t>
      </w:r>
      <w:r>
        <w:rPr>
          <w:rFonts w:hint="eastAsia" w:cs="Times New Roman"/>
          <w:sz w:val="36"/>
          <w:szCs w:val="36"/>
          <w:lang w:val="en-US" w:eastAsia="zh-CN"/>
        </w:rPr>
        <w:t>九</w:t>
      </w:r>
      <w:r>
        <w:rPr>
          <w:rFonts w:hint="eastAsia" w:ascii="Times New Roman" w:hAnsi="Times New Roman" w:cs="Times New Roman"/>
          <w:sz w:val="36"/>
          <w:szCs w:val="36"/>
          <w:lang w:val="en-US" w:eastAsia="zh-CN"/>
        </w:rPr>
        <w:t>月</w:t>
      </w:r>
      <w:r>
        <w:rPr>
          <w:rFonts w:hint="default" w:ascii="Times New Roman" w:hAnsi="Times New Roman" w:eastAsia="宋体" w:cs="Times New Roman"/>
          <w:b/>
          <w:color w:val="000000"/>
          <w:sz w:val="96"/>
          <w:szCs w:val="96"/>
        </w:rPr>
        <w:br w:type="page"/>
      </w:r>
    </w:p>
    <w:p>
      <w:pPr>
        <w:jc w:val="both"/>
        <w:rPr>
          <w:rFonts w:hint="default" w:ascii="Times New Roman" w:hAnsi="Times New Roman" w:eastAsia="宋体" w:cs="Times New Roman"/>
          <w:b/>
          <w:sz w:val="32"/>
          <w:szCs w:val="28"/>
        </w:rPr>
      </w:pPr>
    </w:p>
    <w:p>
      <w:pPr>
        <w:jc w:val="center"/>
        <w:rPr>
          <w:rFonts w:hint="default" w:ascii="Times New Roman" w:hAnsi="Times New Roman" w:eastAsia="宋体" w:cs="Times New Roman"/>
          <w:b/>
          <w:sz w:val="32"/>
          <w:szCs w:val="28"/>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52"/>
          <w:szCs w:val="52"/>
        </w:rPr>
        <w:t>第一部分</w:t>
      </w: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tbl>
      <w:tblPr>
        <w:tblStyle w:val="15"/>
        <w:tblW w:w="8940" w:type="dxa"/>
        <w:tblInd w:w="93" w:type="dxa"/>
        <w:tblLayout w:type="fixed"/>
        <w:tblCellMar>
          <w:top w:w="0" w:type="dxa"/>
          <w:left w:w="108" w:type="dxa"/>
          <w:bottom w:w="0" w:type="dxa"/>
          <w:right w:w="108" w:type="dxa"/>
        </w:tblCellMar>
      </w:tblPr>
      <w:tblGrid>
        <w:gridCol w:w="8940"/>
      </w:tblGrid>
      <w:tr>
        <w:tblPrEx>
          <w:tblCellMar>
            <w:top w:w="0" w:type="dxa"/>
            <w:left w:w="108" w:type="dxa"/>
            <w:bottom w:w="0" w:type="dxa"/>
            <w:right w:w="108" w:type="dxa"/>
          </w:tblCellMar>
        </w:tblPrEx>
        <w:trPr>
          <w:trHeight w:val="1339" w:hRule="atLeast"/>
        </w:trPr>
        <w:tc>
          <w:tcPr>
            <w:tcW w:w="8940" w:type="dxa"/>
            <w:noWrap w:val="0"/>
            <w:vAlign w:val="top"/>
          </w:tcPr>
          <w:p>
            <w:pPr>
              <w:jc w:val="center"/>
              <w:rPr>
                <w:rFonts w:hint="default" w:ascii="Times New Roman" w:hAnsi="Times New Roman" w:eastAsia="宋体" w:cs="Times New Roman"/>
                <w:b/>
                <w:spacing w:val="6"/>
                <w:w w:val="94"/>
                <w:kern w:val="0"/>
                <w:sz w:val="48"/>
                <w:szCs w:val="48"/>
              </w:rPr>
            </w:pPr>
            <w:r>
              <w:rPr>
                <w:rFonts w:hint="default" w:ascii="Times New Roman" w:hAnsi="Times New Roman" w:eastAsia="宋体" w:cs="Times New Roman"/>
                <w:b/>
                <w:spacing w:val="8"/>
                <w:w w:val="94"/>
                <w:kern w:val="0"/>
                <w:sz w:val="48"/>
                <w:szCs w:val="48"/>
              </w:rPr>
              <w:t>建设项目竣工环境保护验</w:t>
            </w:r>
            <w:r>
              <w:rPr>
                <w:rFonts w:hint="default" w:ascii="Times New Roman" w:hAnsi="Times New Roman" w:eastAsia="宋体" w:cs="Times New Roman"/>
                <w:b/>
                <w:spacing w:val="6"/>
                <w:w w:val="94"/>
                <w:kern w:val="0"/>
                <w:sz w:val="48"/>
                <w:szCs w:val="48"/>
              </w:rPr>
              <w:t>收</w:t>
            </w:r>
          </w:p>
          <w:p>
            <w:pPr>
              <w:jc w:val="center"/>
              <w:rPr>
                <w:rFonts w:hint="default" w:ascii="Times New Roman" w:hAnsi="Times New Roman" w:eastAsia="宋体" w:cs="Times New Roman"/>
                <w:b/>
                <w:spacing w:val="20"/>
                <w:sz w:val="72"/>
                <w:szCs w:val="72"/>
                <w:lang w:val="en-US" w:eastAsia="zh-CN"/>
              </w:rPr>
            </w:pPr>
            <w:r>
              <w:rPr>
                <w:rFonts w:hint="default" w:ascii="Times New Roman" w:hAnsi="Times New Roman" w:eastAsia="宋体" w:cs="Times New Roman"/>
                <w:b/>
                <w:spacing w:val="20"/>
                <w:sz w:val="48"/>
                <w:szCs w:val="48"/>
              </w:rPr>
              <w:t>监测报告</w:t>
            </w:r>
            <w:r>
              <w:rPr>
                <w:rFonts w:hint="default" w:ascii="Times New Roman" w:hAnsi="Times New Roman" w:eastAsia="宋体" w:cs="Times New Roman"/>
                <w:b/>
                <w:spacing w:val="20"/>
                <w:sz w:val="48"/>
                <w:szCs w:val="48"/>
                <w:lang w:val="en-US" w:eastAsia="zh-CN"/>
              </w:rPr>
              <w:t>表</w:t>
            </w:r>
          </w:p>
        </w:tc>
      </w:tr>
      <w:tr>
        <w:tblPrEx>
          <w:tblCellMar>
            <w:top w:w="0" w:type="dxa"/>
            <w:left w:w="108" w:type="dxa"/>
            <w:bottom w:w="0" w:type="dxa"/>
            <w:right w:w="108" w:type="dxa"/>
          </w:tblCellMar>
        </w:tblPrEx>
        <w:tc>
          <w:tcPr>
            <w:tcW w:w="8940" w:type="dxa"/>
            <w:noWrap w:val="0"/>
            <w:vAlign w:val="top"/>
          </w:tcPr>
          <w:p>
            <w:pPr>
              <w:jc w:val="center"/>
              <w:rPr>
                <w:rFonts w:hint="default" w:ascii="Times New Roman" w:hAnsi="Times New Roman" w:eastAsia="宋体" w:cs="Times New Roman"/>
                <w:b/>
                <w:spacing w:val="20"/>
                <w:sz w:val="72"/>
                <w:szCs w:val="72"/>
              </w:rPr>
            </w:pPr>
          </w:p>
        </w:tc>
      </w:tr>
    </w:tbl>
    <w:p>
      <w:pPr>
        <w:spacing w:beforeLines="50" w:line="360" w:lineRule="auto"/>
        <w:jc w:val="center"/>
        <w:rPr>
          <w:rFonts w:hint="default" w:ascii="Times New Roman" w:hAnsi="Times New Roman" w:eastAsia="宋体" w:cs="Times New Roman"/>
          <w:spacing w:val="20"/>
          <w:sz w:val="52"/>
          <w:szCs w:val="52"/>
        </w:rPr>
      </w:pPr>
      <w:r>
        <w:rPr>
          <w:rFonts w:hint="default" w:ascii="Times New Roman" w:hAnsi="Times New Roman" w:eastAsia="宋体" w:cs="Times New Roman"/>
          <w:spacing w:val="20"/>
          <w:sz w:val="52"/>
          <w:szCs w:val="52"/>
        </w:rPr>
        <w:br w:type="page"/>
      </w:r>
    </w:p>
    <w:p>
      <w:pPr>
        <w:spacing w:beforeLines="50" w:line="360" w:lineRule="auto"/>
        <w:jc w:val="both"/>
        <w:rPr>
          <w:rFonts w:hint="default" w:ascii="Times New Roman" w:hAnsi="Times New Roman" w:eastAsia="宋体" w:cs="Times New Roman"/>
          <w:spacing w:val="20"/>
          <w:sz w:val="52"/>
          <w:szCs w:val="52"/>
        </w:rPr>
      </w:pPr>
    </w:p>
    <w:p>
      <w:pPr>
        <w:jc w:val="center"/>
        <w:rPr>
          <w:b/>
          <w:bCs/>
          <w:sz w:val="44"/>
          <w:szCs w:val="44"/>
        </w:rPr>
      </w:pPr>
      <w:r>
        <w:rPr>
          <w:rFonts w:hint="eastAsia"/>
          <w:b/>
          <w:bCs/>
          <w:sz w:val="44"/>
          <w:szCs w:val="44"/>
          <w:lang w:val="en-US" w:eastAsia="zh-CN"/>
        </w:rPr>
        <w:t xml:space="preserve"> </w:t>
      </w:r>
      <w:r>
        <w:rPr>
          <w:rFonts w:hint="eastAsia"/>
          <w:b/>
          <w:bCs/>
          <w:sz w:val="44"/>
          <w:szCs w:val="44"/>
        </w:rPr>
        <w:t xml:space="preserve">     </w:t>
      </w:r>
    </w:p>
    <w:p>
      <w:pPr>
        <w:rPr>
          <w:b/>
          <w:bCs/>
          <w:sz w:val="44"/>
          <w:szCs w:val="44"/>
        </w:rPr>
      </w:pPr>
    </w:p>
    <w:p>
      <w:pPr>
        <w:spacing w:line="360" w:lineRule="auto"/>
        <w:jc w:val="center"/>
        <w:rPr>
          <w:rFonts w:hint="eastAsia"/>
          <w:b/>
          <w:bCs/>
          <w:sz w:val="44"/>
          <w:szCs w:val="44"/>
        </w:rPr>
      </w:pPr>
      <w:r>
        <w:rPr>
          <w:rFonts w:hint="eastAsia"/>
          <w:b/>
          <w:bCs/>
          <w:sz w:val="44"/>
          <w:szCs w:val="44"/>
        </w:rPr>
        <w:t>安徽常宇门窗有限公司</w:t>
      </w:r>
    </w:p>
    <w:p>
      <w:pPr>
        <w:spacing w:line="360" w:lineRule="auto"/>
        <w:jc w:val="center"/>
        <w:rPr>
          <w:b/>
          <w:bCs/>
          <w:sz w:val="44"/>
          <w:szCs w:val="44"/>
        </w:rPr>
      </w:pPr>
      <w:r>
        <w:rPr>
          <w:rFonts w:hint="eastAsia"/>
          <w:b/>
          <w:bCs/>
          <w:sz w:val="44"/>
          <w:szCs w:val="44"/>
        </w:rPr>
        <w:t>年产7.5万m</w:t>
      </w:r>
      <w:r>
        <w:rPr>
          <w:rFonts w:hint="eastAsia"/>
          <w:b/>
          <w:bCs/>
          <w:sz w:val="44"/>
          <w:szCs w:val="44"/>
          <w:vertAlign w:val="superscript"/>
        </w:rPr>
        <w:t>2</w:t>
      </w:r>
      <w:r>
        <w:rPr>
          <w:rFonts w:hint="eastAsia"/>
          <w:b/>
          <w:bCs/>
          <w:sz w:val="44"/>
          <w:szCs w:val="44"/>
        </w:rPr>
        <w:t>铝合金门窗加工生产项目</w:t>
      </w:r>
    </w:p>
    <w:p>
      <w:pPr>
        <w:spacing w:line="360" w:lineRule="auto"/>
        <w:jc w:val="center"/>
        <w:rPr>
          <w:b/>
          <w:bCs/>
          <w:sz w:val="44"/>
          <w:szCs w:val="44"/>
        </w:rPr>
      </w:pPr>
      <w:r>
        <w:rPr>
          <w:rFonts w:hint="eastAsia"/>
          <w:b/>
          <w:bCs/>
          <w:sz w:val="44"/>
          <w:szCs w:val="44"/>
        </w:rPr>
        <w:t>竣工环境保护验收监测报告表</w:t>
      </w:r>
    </w:p>
    <w:p>
      <w:pPr>
        <w:adjustRightInd w:val="0"/>
        <w:snapToGrid w:val="0"/>
        <w:jc w:val="center"/>
        <w:rPr>
          <w:bCs/>
          <w:sz w:val="32"/>
          <w:szCs w:val="32"/>
        </w:rPr>
      </w:pPr>
    </w:p>
    <w:p>
      <w:pPr>
        <w:adjustRightInd w:val="0"/>
        <w:snapToGrid w:val="0"/>
        <w:jc w:val="center"/>
        <w:rPr>
          <w:bCs/>
          <w:sz w:val="32"/>
          <w:szCs w:val="32"/>
        </w:rPr>
      </w:pPr>
    </w:p>
    <w:p>
      <w:pPr>
        <w:adjustRightInd w:val="0"/>
        <w:snapToGrid w:val="0"/>
        <w:jc w:val="center"/>
        <w:rPr>
          <w:bCs/>
          <w:sz w:val="32"/>
          <w:szCs w:val="32"/>
        </w:rPr>
      </w:pPr>
    </w:p>
    <w:p>
      <w:pPr>
        <w:jc w:val="center"/>
        <w:rPr>
          <w:sz w:val="32"/>
          <w:szCs w:val="32"/>
        </w:rPr>
      </w:pPr>
    </w:p>
    <w:p>
      <w:pPr>
        <w:jc w:val="both"/>
        <w:rPr>
          <w:sz w:val="32"/>
          <w:szCs w:val="32"/>
        </w:rPr>
      </w:pPr>
    </w:p>
    <w:p>
      <w:pPr>
        <w:pStyle w:val="22"/>
      </w:pPr>
    </w:p>
    <w:p>
      <w:pPr>
        <w:jc w:val="center"/>
        <w:rPr>
          <w:sz w:val="32"/>
          <w:szCs w:val="32"/>
        </w:rPr>
      </w:pPr>
    </w:p>
    <w:p>
      <w:pPr>
        <w:jc w:val="center"/>
        <w:rPr>
          <w:sz w:val="32"/>
          <w:szCs w:val="32"/>
        </w:rPr>
      </w:pPr>
    </w:p>
    <w:p>
      <w:pPr>
        <w:rPr>
          <w:sz w:val="32"/>
          <w:szCs w:val="32"/>
        </w:rPr>
      </w:pPr>
    </w:p>
    <w:p>
      <w:pPr>
        <w:jc w:val="center"/>
        <w:rPr>
          <w:sz w:val="32"/>
          <w:szCs w:val="32"/>
        </w:rPr>
      </w:pPr>
      <w:r>
        <w:rPr>
          <w:sz w:val="32"/>
          <w:szCs w:val="32"/>
        </w:rPr>
        <w:t>建设单位：</w:t>
      </w:r>
      <w:r>
        <w:rPr>
          <w:rFonts w:hint="eastAsia"/>
          <w:sz w:val="32"/>
          <w:szCs w:val="32"/>
        </w:rPr>
        <w:t>安徽常宇门窗有限公司</w:t>
      </w:r>
    </w:p>
    <w:p>
      <w:pPr>
        <w:ind w:firstLine="1600" w:firstLineChars="500"/>
        <w:jc w:val="both"/>
        <w:rPr>
          <w:sz w:val="32"/>
          <w:szCs w:val="32"/>
        </w:rPr>
      </w:pPr>
      <w:r>
        <w:rPr>
          <w:rFonts w:hint="eastAsia"/>
          <w:sz w:val="32"/>
          <w:szCs w:val="32"/>
        </w:rPr>
        <w:t xml:space="preserve"> </w:t>
      </w:r>
      <w:r>
        <w:rPr>
          <w:sz w:val="32"/>
          <w:szCs w:val="32"/>
        </w:rPr>
        <w:t>编制单位：</w:t>
      </w:r>
      <w:r>
        <w:rPr>
          <w:rFonts w:hint="eastAsia"/>
          <w:sz w:val="32"/>
          <w:szCs w:val="32"/>
        </w:rPr>
        <w:t>安徽常宇门窗有限公司</w:t>
      </w:r>
    </w:p>
    <w:p>
      <w:pPr>
        <w:ind w:firstLine="720" w:firstLineChars="225"/>
        <w:rPr>
          <w:sz w:val="32"/>
          <w:szCs w:val="32"/>
        </w:rPr>
      </w:pPr>
    </w:p>
    <w:p>
      <w:pPr>
        <w:rPr>
          <w:sz w:val="32"/>
          <w:szCs w:val="32"/>
        </w:rPr>
      </w:pPr>
    </w:p>
    <w:p>
      <w:pPr>
        <w:jc w:val="center"/>
        <w:rPr>
          <w:sz w:val="28"/>
          <w:szCs w:val="28"/>
        </w:rPr>
      </w:pPr>
      <w:r>
        <w:rPr>
          <w:sz w:val="32"/>
          <w:szCs w:val="32"/>
        </w:rPr>
        <w:t>二〇二〇年</w:t>
      </w:r>
      <w:r>
        <w:rPr>
          <w:rFonts w:hint="eastAsia"/>
          <w:sz w:val="32"/>
          <w:szCs w:val="32"/>
          <w:lang w:val="en-US" w:eastAsia="zh-CN"/>
        </w:rPr>
        <w:t>九</w:t>
      </w:r>
      <w:r>
        <w:rPr>
          <w:sz w:val="32"/>
          <w:szCs w:val="32"/>
        </w:rPr>
        <w:t>月</w:t>
      </w:r>
    </w:p>
    <w:p>
      <w:pPr>
        <w:jc w:val="center"/>
        <w:rPr>
          <w:sz w:val="28"/>
          <w:szCs w:val="28"/>
        </w:rPr>
      </w:pPr>
    </w:p>
    <w:p>
      <w:pPr>
        <w:widowControl/>
        <w:adjustRightInd w:val="0"/>
        <w:snapToGrid w:val="0"/>
        <w:spacing w:after="200" w:line="360" w:lineRule="auto"/>
        <w:jc w:val="left"/>
        <w:rPr>
          <w:rFonts w:ascii="仿宋_GB2312" w:hAnsi="Tahoma" w:eastAsia="仿宋_GB2312" w:cs="仿宋_GB2312"/>
          <w:b/>
          <w:color w:val="000000"/>
          <w:kern w:val="0"/>
          <w:sz w:val="28"/>
          <w:szCs w:val="22"/>
          <w:lang w:bidi="ar"/>
        </w:rPr>
      </w:pPr>
    </w:p>
    <w:p>
      <w:pPr>
        <w:widowControl/>
        <w:adjustRightInd w:val="0"/>
        <w:snapToGrid w:val="0"/>
        <w:spacing w:after="200" w:line="360" w:lineRule="auto"/>
        <w:jc w:val="left"/>
        <w:rPr>
          <w:rFonts w:ascii="仿宋_GB2312" w:hAnsi="Tahoma" w:eastAsia="仿宋_GB2312" w:cs="仿宋_GB2312"/>
          <w:b/>
          <w:color w:val="000000"/>
          <w:kern w:val="0"/>
          <w:sz w:val="28"/>
          <w:szCs w:val="22"/>
          <w:lang w:bidi="ar"/>
        </w:rPr>
        <w:sectPr>
          <w:headerReference r:id="rId4" w:type="first"/>
          <w:headerReference r:id="rId3"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9"/>
      </w:pPr>
    </w:p>
    <w:p>
      <w:pPr>
        <w:widowControl/>
        <w:adjustRightInd w:val="0"/>
        <w:snapToGrid w:val="0"/>
        <w:spacing w:after="200" w:line="360" w:lineRule="auto"/>
        <w:jc w:val="left"/>
        <w:rPr>
          <w:rFonts w:hint="eastAsia" w:ascii="仿宋_GB2312" w:eastAsia="仿宋_GB2312" w:cs="仿宋_GB2312"/>
          <w:color w:val="000000"/>
          <w:sz w:val="28"/>
          <w:szCs w:val="22"/>
          <w:lang w:val="en-US" w:eastAsia="zh-CN"/>
        </w:rPr>
      </w:pPr>
      <w:r>
        <w:rPr>
          <w:rFonts w:hint="eastAsia" w:ascii="仿宋_GB2312" w:hAnsi="Tahoma" w:eastAsia="仿宋_GB2312" w:cs="仿宋_GB2312"/>
          <w:b/>
          <w:color w:val="000000"/>
          <w:kern w:val="0"/>
          <w:sz w:val="28"/>
          <w:szCs w:val="22"/>
          <w:lang w:bidi="ar"/>
        </w:rPr>
        <w:t>建设单位法人代表：</w:t>
      </w:r>
    </w:p>
    <w:p>
      <w:pPr>
        <w:widowControl/>
        <w:adjustRightInd w:val="0"/>
        <w:snapToGrid w:val="0"/>
        <w:spacing w:after="200" w:line="360" w:lineRule="auto"/>
        <w:jc w:val="left"/>
        <w:rPr>
          <w:rFonts w:hint="eastAsia" w:ascii="仿宋_GB2312" w:eastAsia="仿宋_GB2312" w:cs="仿宋_GB2312"/>
          <w:color w:val="000000"/>
          <w:sz w:val="28"/>
          <w:szCs w:val="22"/>
          <w:lang w:val="en-US" w:eastAsia="zh-CN"/>
        </w:rPr>
      </w:pPr>
      <w:r>
        <w:rPr>
          <w:rFonts w:hint="eastAsia" w:ascii="仿宋_GB2312" w:hAnsi="Tahoma" w:eastAsia="仿宋_GB2312" w:cs="仿宋_GB2312"/>
          <w:b/>
          <w:color w:val="000000"/>
          <w:kern w:val="0"/>
          <w:sz w:val="28"/>
          <w:szCs w:val="22"/>
          <w:lang w:bidi="ar"/>
        </w:rPr>
        <w:t>编制单位法人代表：</w:t>
      </w:r>
    </w:p>
    <w:p>
      <w:pPr>
        <w:widowControl/>
        <w:adjustRightInd w:val="0"/>
        <w:snapToGrid w:val="0"/>
        <w:spacing w:after="200" w:line="360" w:lineRule="auto"/>
        <w:jc w:val="left"/>
        <w:rPr>
          <w:rFonts w:hint="eastAsia" w:ascii="仿宋_GB2312" w:hAnsi="Tahoma" w:eastAsia="仿宋_GB2312" w:cs="仿宋_GB2312"/>
          <w:b/>
          <w:bCs/>
          <w:color w:val="000000"/>
          <w:kern w:val="0"/>
          <w:sz w:val="28"/>
          <w:szCs w:val="22"/>
          <w:lang w:bidi="ar"/>
        </w:rPr>
      </w:pPr>
      <w:r>
        <w:rPr>
          <w:rFonts w:hint="eastAsia" w:ascii="仿宋_GB2312" w:hAnsi="Tahoma" w:eastAsia="仿宋_GB2312" w:cs="仿宋_GB2312"/>
          <w:b/>
          <w:bCs/>
          <w:color w:val="000000"/>
          <w:kern w:val="0"/>
          <w:sz w:val="28"/>
          <w:szCs w:val="22"/>
          <w:lang w:bidi="ar"/>
        </w:rPr>
        <w:t>项  目 负 责 人 ：</w:t>
      </w:r>
    </w:p>
    <w:p>
      <w:pPr>
        <w:widowControl/>
        <w:adjustRightInd w:val="0"/>
        <w:snapToGrid w:val="0"/>
        <w:spacing w:after="200" w:line="360" w:lineRule="auto"/>
        <w:jc w:val="left"/>
        <w:rPr>
          <w:rFonts w:hint="eastAsia" w:ascii="仿宋_GB2312" w:eastAsia="仿宋_GB2312" w:cs="仿宋_GB2312"/>
          <w:color w:val="000000"/>
          <w:sz w:val="28"/>
          <w:szCs w:val="22"/>
          <w:lang w:val="en-US" w:eastAsia="zh-CN"/>
        </w:rPr>
      </w:pPr>
      <w:r>
        <w:rPr>
          <w:rFonts w:hint="eastAsia" w:ascii="仿宋_GB2312" w:hAnsi="Tahoma" w:eastAsia="仿宋_GB2312" w:cs="仿宋_GB2312"/>
          <w:b/>
          <w:bCs/>
          <w:color w:val="000000"/>
          <w:kern w:val="0"/>
          <w:sz w:val="28"/>
          <w:szCs w:val="22"/>
          <w:lang w:bidi="ar"/>
        </w:rPr>
        <w:t>填     表    人 ：</w:t>
      </w:r>
    </w:p>
    <w:p>
      <w:pPr>
        <w:widowControl/>
        <w:adjustRightInd w:val="0"/>
        <w:snapToGrid w:val="0"/>
        <w:spacing w:after="200" w:line="360" w:lineRule="auto"/>
        <w:jc w:val="left"/>
        <w:rPr>
          <w:rFonts w:ascii="仿宋_GB2312" w:eastAsia="仿宋_GB2312" w:cs="仿宋_GB2312"/>
          <w:color w:val="000000"/>
          <w:sz w:val="28"/>
          <w:szCs w:val="22"/>
        </w:rPr>
      </w:pP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r>
        <w:rPr>
          <w:rFonts w:hint="eastAsia" w:ascii="仿宋_GB2312" w:hAnsi="Tahoma" w:eastAsia="仿宋_GB2312" w:cs="仿宋_GB2312"/>
          <w:color w:val="000000"/>
          <w:kern w:val="0"/>
          <w:sz w:val="28"/>
          <w:szCs w:val="22"/>
          <w:lang w:bidi="ar"/>
        </w:rPr>
        <w:tab/>
      </w: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p>
    <w:p>
      <w:pPr>
        <w:widowControl/>
        <w:tabs>
          <w:tab w:val="left" w:pos="984"/>
        </w:tabs>
        <w:adjustRightInd w:val="0"/>
        <w:snapToGrid w:val="0"/>
        <w:spacing w:after="200" w:line="360" w:lineRule="auto"/>
        <w:jc w:val="left"/>
        <w:rPr>
          <w:rFonts w:ascii="仿宋_GB2312" w:eastAsia="仿宋_GB2312" w:cs="仿宋_GB2312"/>
          <w:color w:val="000000"/>
          <w:sz w:val="28"/>
          <w:szCs w:val="22"/>
        </w:rPr>
      </w:pPr>
    </w:p>
    <w:p>
      <w:pPr>
        <w:rPr>
          <w:sz w:val="32"/>
          <w:szCs w:val="32"/>
        </w:rPr>
      </w:pPr>
    </w:p>
    <w:tbl>
      <w:tblPr>
        <w:tblStyle w:val="16"/>
        <w:tblpPr w:leftFromText="180" w:rightFromText="180" w:vertAnchor="text" w:horzAnchor="page" w:tblpX="1611" w:tblpY="149"/>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0"/>
        <w:gridCol w:w="45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4380"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建设单位：安徽常宇门窗有限公司</w:t>
            </w:r>
          </w:p>
        </w:tc>
        <w:tc>
          <w:tcPr>
            <w:tcW w:w="4589"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编制单位：安徽常宇门窗有限公司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4380"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default"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电话:13866774761</w:t>
            </w:r>
          </w:p>
        </w:tc>
        <w:tc>
          <w:tcPr>
            <w:tcW w:w="4589" w:type="dxa"/>
            <w:noWrap w:val="0"/>
            <w:vAlign w:val="top"/>
          </w:tcPr>
          <w:p>
            <w:pPr>
              <w:keepNext w:val="0"/>
              <w:keepLines w:val="0"/>
              <w:widowControl/>
              <w:suppressLineNumbers w:val="0"/>
              <w:adjustRightInd w:val="0"/>
              <w:snapToGrid w:val="0"/>
              <w:spacing w:before="0" w:beforeAutospacing="0" w:after="200" w:afterAutospacing="0" w:line="360" w:lineRule="auto"/>
              <w:ind w:right="0"/>
              <w:jc w:val="both"/>
              <w:rPr>
                <w:rFonts w:hint="default"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电话: 13866774761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4380"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 xml:space="preserve">传真：—— </w:t>
            </w:r>
          </w:p>
        </w:tc>
        <w:tc>
          <w:tcPr>
            <w:tcW w:w="4589"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4380"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default"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邮编：230000</w:t>
            </w:r>
          </w:p>
        </w:tc>
        <w:tc>
          <w:tcPr>
            <w:tcW w:w="4589"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default"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邮编：230000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4" w:hRule="atLeast"/>
        </w:trPr>
        <w:tc>
          <w:tcPr>
            <w:tcW w:w="4380"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eastAsia="仿宋_GB2312" w:cs="仿宋_GB2312"/>
                <w:color w:val="000000"/>
                <w:sz w:val="28"/>
                <w:szCs w:val="22"/>
                <w:vertAlign w:val="baseline"/>
                <w:lang w:val="en-US"/>
              </w:rPr>
            </w:pPr>
            <w:r>
              <w:rPr>
                <w:rFonts w:hint="eastAsia" w:ascii="仿宋_GB2312" w:hAnsi="Tahoma" w:eastAsia="仿宋_GB2312" w:cs="仿宋_GB2312"/>
                <w:snapToGrid/>
                <w:color w:val="000000"/>
                <w:kern w:val="0"/>
                <w:sz w:val="28"/>
                <w:szCs w:val="22"/>
                <w:lang w:val="en-US" w:eastAsia="zh-CN" w:bidi="ar"/>
              </w:rPr>
              <w:t>地址:合肥市肥西县桃花工业园繁华大道与方兴大道交口东南侧综合楼</w:t>
            </w:r>
          </w:p>
        </w:tc>
        <w:tc>
          <w:tcPr>
            <w:tcW w:w="4589" w:type="dxa"/>
            <w:noWrap w:val="0"/>
            <w:vAlign w:val="top"/>
          </w:tcPr>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hAnsi="Tahoma" w:eastAsia="仿宋_GB2312" w:cs="仿宋_GB2312"/>
                <w:snapToGrid/>
                <w:color w:val="000000"/>
                <w:kern w:val="0"/>
                <w:sz w:val="28"/>
                <w:szCs w:val="22"/>
                <w:lang w:val="en-US" w:eastAsia="zh-CN" w:bidi="ar"/>
              </w:rPr>
            </w:pPr>
            <w:r>
              <w:rPr>
                <w:rFonts w:hint="eastAsia" w:ascii="仿宋_GB2312" w:hAnsi="Tahoma" w:eastAsia="仿宋_GB2312" w:cs="仿宋_GB2312"/>
                <w:snapToGrid/>
                <w:color w:val="000000"/>
                <w:kern w:val="0"/>
                <w:sz w:val="28"/>
                <w:szCs w:val="22"/>
                <w:lang w:val="en-US" w:eastAsia="zh-CN" w:bidi="ar"/>
              </w:rPr>
              <w:t>地址：合肥市肥西县桃花工业园繁华大道与方兴大道交口东南侧综合楼</w:t>
            </w:r>
          </w:p>
          <w:p>
            <w:pPr>
              <w:keepNext w:val="0"/>
              <w:keepLines w:val="0"/>
              <w:widowControl/>
              <w:suppressLineNumbers w:val="0"/>
              <w:adjustRightInd w:val="0"/>
              <w:snapToGrid w:val="0"/>
              <w:spacing w:before="0" w:beforeAutospacing="0" w:after="200" w:afterAutospacing="0" w:line="360" w:lineRule="auto"/>
              <w:ind w:right="0"/>
              <w:jc w:val="left"/>
              <w:rPr>
                <w:rFonts w:hint="eastAsia" w:ascii="仿宋_GB2312" w:eastAsia="仿宋_GB2312" w:cs="仿宋_GB2312"/>
                <w:color w:val="000000"/>
                <w:sz w:val="28"/>
                <w:szCs w:val="22"/>
                <w:vertAlign w:val="baseline"/>
                <w:lang w:val="en-US"/>
              </w:rPr>
            </w:pPr>
          </w:p>
        </w:tc>
      </w:tr>
    </w:tbl>
    <w:p>
      <w:pPr>
        <w:spacing w:line="360" w:lineRule="auto"/>
        <w:rPr>
          <w:b/>
          <w:color w:val="000000"/>
          <w:sz w:val="32"/>
          <w:szCs w:val="32"/>
        </w:rPr>
        <w:sectPr>
          <w:pgSz w:w="11906" w:h="16838"/>
          <w:pgMar w:top="1440" w:right="1797" w:bottom="1440" w:left="1797" w:header="851" w:footer="992" w:gutter="0"/>
          <w:pgBorders>
            <w:top w:val="none" w:sz="0" w:space="0"/>
            <w:left w:val="none" w:sz="0" w:space="0"/>
            <w:bottom w:val="none" w:sz="0" w:space="0"/>
            <w:right w:val="none" w:sz="0" w:space="0"/>
          </w:pgBorders>
          <w:cols w:space="720" w:num="1"/>
          <w:titlePg/>
          <w:docGrid w:type="lines" w:linePitch="312" w:charSpace="0"/>
        </w:sectPr>
      </w:pPr>
    </w:p>
    <w:p>
      <w:pPr>
        <w:tabs>
          <w:tab w:val="left" w:pos="1755"/>
        </w:tabs>
        <w:snapToGrid w:val="0"/>
        <w:spacing w:line="360" w:lineRule="auto"/>
        <w:jc w:val="center"/>
        <w:rPr>
          <w:kern w:val="0"/>
          <w:sz w:val="32"/>
          <w:szCs w:val="32"/>
          <w:lang w:val="en-GB"/>
        </w:rPr>
      </w:pPr>
      <w:bookmarkStart w:id="0" w:name="_Toc17367"/>
      <w:bookmarkStart w:id="1" w:name="_Toc212"/>
      <w:bookmarkStart w:id="2" w:name="_Toc30160"/>
      <w:bookmarkStart w:id="3" w:name="_Toc9053_WPSOffice_Level1"/>
      <w:bookmarkStart w:id="4" w:name="_Toc5291"/>
      <w:r>
        <w:rPr>
          <w:b/>
          <w:bCs/>
          <w:sz w:val="32"/>
          <w:szCs w:val="32"/>
        </w:rPr>
        <w:t>前</w:t>
      </w:r>
      <w:r>
        <w:rPr>
          <w:rFonts w:hint="eastAsia"/>
          <w:b/>
          <w:bCs/>
          <w:sz w:val="32"/>
          <w:szCs w:val="32"/>
          <w:lang w:val="en-US" w:eastAsia="zh-CN"/>
        </w:rPr>
        <w:t xml:space="preserve">  </w:t>
      </w:r>
      <w:r>
        <w:rPr>
          <w:rFonts w:hint="eastAsia"/>
          <w:b/>
          <w:bCs/>
          <w:sz w:val="32"/>
          <w:szCs w:val="32"/>
        </w:rPr>
        <w:t xml:space="preserve"> </w:t>
      </w:r>
      <w:r>
        <w:rPr>
          <w:b/>
          <w:bCs/>
          <w:sz w:val="32"/>
          <w:szCs w:val="32"/>
        </w:rPr>
        <w:t>言</w:t>
      </w:r>
      <w:bookmarkEnd w:id="0"/>
      <w:bookmarkEnd w:id="1"/>
      <w:bookmarkEnd w:id="2"/>
      <w:bookmarkEnd w:id="3"/>
      <w:bookmarkEnd w:id="4"/>
    </w:p>
    <w:p>
      <w:pPr>
        <w:adjustRightInd w:val="0"/>
        <w:snapToGrid w:val="0"/>
        <w:spacing w:line="360" w:lineRule="auto"/>
        <w:ind w:firstLine="480" w:firstLineChars="200"/>
        <w:rPr>
          <w:kern w:val="0"/>
          <w:sz w:val="24"/>
        </w:rPr>
      </w:pP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铝合金门窗加工生产项目位于合肥市肥西县桃花工业园繁华大道与方兴大道交口东南侧综合楼（北纬</w:t>
      </w:r>
      <w:r>
        <w:rPr>
          <w:rFonts w:hint="eastAsia"/>
          <w:kern w:val="0"/>
          <w:sz w:val="24"/>
          <w:lang w:val="en-US" w:eastAsia="zh-CN"/>
        </w:rPr>
        <w:t>31.777134</w:t>
      </w:r>
      <w:r>
        <w:rPr>
          <w:rFonts w:hint="eastAsia"/>
          <w:kern w:val="0"/>
          <w:sz w:val="24"/>
        </w:rPr>
        <w:t>东经</w:t>
      </w:r>
      <w:r>
        <w:rPr>
          <w:rFonts w:hint="eastAsia"/>
          <w:kern w:val="0"/>
          <w:sz w:val="24"/>
          <w:lang w:val="en-US" w:eastAsia="zh-CN"/>
        </w:rPr>
        <w:t>117.106287</w:t>
      </w:r>
      <w:r>
        <w:rPr>
          <w:rFonts w:hint="eastAsia"/>
          <w:kern w:val="0"/>
          <w:sz w:val="24"/>
        </w:rPr>
        <w:t>）</w:t>
      </w:r>
      <w:r>
        <w:rPr>
          <w:rFonts w:hint="eastAsia"/>
          <w:kern w:val="0"/>
          <w:sz w:val="24"/>
          <w:lang w:eastAsia="zh-CN"/>
        </w:rPr>
        <w:t>，</w:t>
      </w:r>
      <w:r>
        <w:rPr>
          <w:rFonts w:hint="eastAsia"/>
          <w:kern w:val="0"/>
          <w:sz w:val="24"/>
        </w:rPr>
        <w:t>本项目</w:t>
      </w:r>
      <w:r>
        <w:rPr>
          <w:rFonts w:hint="eastAsia"/>
          <w:kern w:val="0"/>
          <w:sz w:val="24"/>
          <w:lang w:val="en-US" w:eastAsia="zh-CN"/>
        </w:rPr>
        <w:t>建筑</w:t>
      </w:r>
      <w:r>
        <w:rPr>
          <w:rFonts w:hint="eastAsia"/>
          <w:kern w:val="0"/>
          <w:sz w:val="24"/>
        </w:rPr>
        <w:t>面积约</w:t>
      </w:r>
      <w:r>
        <w:rPr>
          <w:rFonts w:hint="eastAsia"/>
          <w:color w:val="000000" w:themeColor="text1"/>
          <w:kern w:val="0"/>
          <w:sz w:val="24"/>
          <w14:textFill>
            <w14:solidFill>
              <w14:schemeClr w14:val="tx1"/>
            </w14:solidFill>
          </w14:textFill>
        </w:rPr>
        <w:t>为</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00m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vertAlign w:val="baseline"/>
          <w:lang w:eastAsia="zh-CN"/>
          <w14:textFill>
            <w14:solidFill>
              <w14:schemeClr w14:val="tx1"/>
            </w14:solidFill>
          </w14:textFill>
        </w:rPr>
        <w:t>，项目建成后可生产</w:t>
      </w:r>
      <w:r>
        <w:rPr>
          <w:rFonts w:hint="eastAsia"/>
          <w:kern w:val="0"/>
          <w:sz w:val="24"/>
        </w:rPr>
        <w:t>年产7.5万m</w:t>
      </w:r>
      <w:r>
        <w:rPr>
          <w:rFonts w:hint="eastAsia"/>
          <w:kern w:val="0"/>
          <w:sz w:val="24"/>
          <w:vertAlign w:val="superscript"/>
        </w:rPr>
        <w:t>2</w:t>
      </w:r>
      <w:r>
        <w:rPr>
          <w:rFonts w:hint="eastAsia"/>
          <w:kern w:val="0"/>
          <w:sz w:val="24"/>
        </w:rPr>
        <w:t>铝合金门窗</w:t>
      </w:r>
      <w:r>
        <w:rPr>
          <w:rFonts w:hint="eastAsia"/>
          <w:color w:val="000000" w:themeColor="text1"/>
          <w:kern w:val="0"/>
          <w:sz w:val="24"/>
          <w14:textFill>
            <w14:solidFill>
              <w14:schemeClr w14:val="tx1"/>
            </w14:solidFill>
          </w14:textFill>
        </w:rPr>
        <w:t>。</w:t>
      </w:r>
    </w:p>
    <w:p>
      <w:pPr>
        <w:adjustRightInd w:val="0"/>
        <w:snapToGrid w:val="0"/>
        <w:spacing w:line="360" w:lineRule="auto"/>
        <w:ind w:firstLine="480" w:firstLineChars="200"/>
        <w:rPr>
          <w:rFonts w:hint="default" w:eastAsia="宋体"/>
          <w:sz w:val="24"/>
          <w:lang w:val="en-US" w:eastAsia="zh-CN"/>
        </w:rPr>
      </w:pPr>
      <w:r>
        <w:rPr>
          <w:rFonts w:hint="eastAsia"/>
          <w:kern w:val="0"/>
          <w:sz w:val="24"/>
        </w:rPr>
        <w:t>201</w:t>
      </w:r>
      <w:r>
        <w:rPr>
          <w:rFonts w:hint="eastAsia"/>
          <w:kern w:val="0"/>
          <w:sz w:val="24"/>
          <w:lang w:val="en-US" w:eastAsia="zh-CN"/>
        </w:rPr>
        <w:t>9</w:t>
      </w:r>
      <w:r>
        <w:rPr>
          <w:rFonts w:hint="eastAsia"/>
          <w:kern w:val="0"/>
          <w:sz w:val="24"/>
        </w:rPr>
        <w:t>年</w:t>
      </w:r>
      <w:r>
        <w:rPr>
          <w:rFonts w:hint="eastAsia"/>
          <w:kern w:val="0"/>
          <w:sz w:val="24"/>
          <w:lang w:val="en-US" w:eastAsia="zh-CN"/>
        </w:rPr>
        <w:t>7</w:t>
      </w:r>
      <w:r>
        <w:rPr>
          <w:rFonts w:hint="eastAsia"/>
          <w:kern w:val="0"/>
          <w:sz w:val="24"/>
        </w:rPr>
        <w:t>月由</w:t>
      </w:r>
      <w:r>
        <w:rPr>
          <w:rFonts w:hint="eastAsia"/>
          <w:kern w:val="0"/>
          <w:sz w:val="24"/>
          <w:lang w:val="en-US" w:eastAsia="zh-CN"/>
        </w:rPr>
        <w:t>江苏苏辰勘察设计研究院</w:t>
      </w:r>
      <w:r>
        <w:rPr>
          <w:rFonts w:hint="eastAsia"/>
          <w:kern w:val="0"/>
          <w:sz w:val="24"/>
        </w:rPr>
        <w:t>有限公司编写《安徽常宇门窗有限公司年产7.5万m</w:t>
      </w:r>
      <w:r>
        <w:rPr>
          <w:rFonts w:hint="eastAsia"/>
          <w:kern w:val="0"/>
          <w:sz w:val="24"/>
          <w:vertAlign w:val="superscript"/>
        </w:rPr>
        <w:t>2</w:t>
      </w:r>
      <w:r>
        <w:rPr>
          <w:rFonts w:hint="eastAsia"/>
          <w:kern w:val="0"/>
          <w:sz w:val="24"/>
        </w:rPr>
        <w:t>铝合金门窗加工生产项目环境影响报告表》，201</w:t>
      </w:r>
      <w:r>
        <w:rPr>
          <w:rFonts w:hint="eastAsia"/>
          <w:kern w:val="0"/>
          <w:sz w:val="24"/>
          <w:lang w:val="en-US" w:eastAsia="zh-CN"/>
        </w:rPr>
        <w:t>9</w:t>
      </w:r>
      <w:r>
        <w:rPr>
          <w:rFonts w:hint="eastAsia"/>
          <w:kern w:val="0"/>
          <w:sz w:val="24"/>
        </w:rPr>
        <w:t>年</w:t>
      </w:r>
      <w:r>
        <w:rPr>
          <w:rFonts w:hint="eastAsia"/>
          <w:kern w:val="0"/>
          <w:sz w:val="24"/>
          <w:lang w:val="en-US" w:eastAsia="zh-CN"/>
        </w:rPr>
        <w:t>8</w:t>
      </w:r>
      <w:r>
        <w:rPr>
          <w:rFonts w:hint="eastAsia"/>
          <w:kern w:val="0"/>
          <w:sz w:val="24"/>
        </w:rPr>
        <w:t>月</w:t>
      </w:r>
      <w:r>
        <w:rPr>
          <w:rFonts w:hint="eastAsia"/>
          <w:kern w:val="0"/>
          <w:sz w:val="24"/>
          <w:lang w:val="en-US" w:eastAsia="zh-CN"/>
        </w:rPr>
        <w:t>2</w:t>
      </w:r>
      <w:r>
        <w:rPr>
          <w:rFonts w:hint="eastAsia"/>
          <w:kern w:val="0"/>
          <w:sz w:val="24"/>
        </w:rPr>
        <w:t>0日取得批复（</w:t>
      </w:r>
      <w:r>
        <w:rPr>
          <w:rFonts w:hint="eastAsia"/>
          <w:kern w:val="0"/>
          <w:sz w:val="24"/>
          <w:lang w:val="en-US" w:eastAsia="zh-CN"/>
        </w:rPr>
        <w:t>肥</w:t>
      </w:r>
      <w:r>
        <w:rPr>
          <w:rFonts w:hint="eastAsia"/>
          <w:kern w:val="0"/>
          <w:sz w:val="24"/>
        </w:rPr>
        <w:t>环建审字[201</w:t>
      </w:r>
      <w:r>
        <w:rPr>
          <w:rFonts w:hint="eastAsia"/>
          <w:kern w:val="0"/>
          <w:sz w:val="24"/>
          <w:lang w:val="en-US" w:eastAsia="zh-CN"/>
        </w:rPr>
        <w:t>9</w:t>
      </w:r>
      <w:r>
        <w:rPr>
          <w:rFonts w:hint="eastAsia"/>
          <w:kern w:val="0"/>
          <w:sz w:val="24"/>
        </w:rPr>
        <w:t>] 1</w:t>
      </w:r>
      <w:r>
        <w:rPr>
          <w:rFonts w:hint="eastAsia"/>
          <w:kern w:val="0"/>
          <w:sz w:val="24"/>
          <w:lang w:val="en-US" w:eastAsia="zh-CN"/>
        </w:rPr>
        <w:t>28</w:t>
      </w:r>
      <w:r>
        <w:rPr>
          <w:rFonts w:hint="eastAsia"/>
          <w:kern w:val="0"/>
          <w:sz w:val="24"/>
        </w:rPr>
        <w:t>号）。</w:t>
      </w:r>
      <w:r>
        <w:rPr>
          <w:rFonts w:hint="eastAsia"/>
          <w:color w:val="auto"/>
          <w:kern w:val="0"/>
          <w:sz w:val="24"/>
        </w:rPr>
        <w:t>本次验收针对</w:t>
      </w:r>
      <w:r>
        <w:rPr>
          <w:rFonts w:hint="eastAsia"/>
          <w:kern w:val="0"/>
          <w:sz w:val="24"/>
        </w:rPr>
        <w:t>年产7.5万m</w:t>
      </w:r>
      <w:r>
        <w:rPr>
          <w:rFonts w:hint="eastAsia"/>
          <w:kern w:val="0"/>
          <w:sz w:val="24"/>
          <w:vertAlign w:val="superscript"/>
        </w:rPr>
        <w:t>2</w:t>
      </w:r>
      <w:r>
        <w:rPr>
          <w:rFonts w:hint="eastAsia"/>
          <w:kern w:val="0"/>
          <w:sz w:val="24"/>
        </w:rPr>
        <w:t>铝合金门窗加工生产项目</w:t>
      </w:r>
      <w:r>
        <w:rPr>
          <w:rFonts w:hint="eastAsia"/>
          <w:color w:val="auto"/>
          <w:kern w:val="0"/>
          <w:sz w:val="24"/>
        </w:rPr>
        <w:t>进行</w:t>
      </w:r>
      <w:r>
        <w:rPr>
          <w:rFonts w:hint="eastAsia"/>
          <w:color w:val="auto"/>
          <w:kern w:val="0"/>
          <w:sz w:val="24"/>
          <w:lang w:val="en-US" w:eastAsia="zh-CN"/>
        </w:rPr>
        <w:t>整体</w:t>
      </w:r>
      <w:r>
        <w:rPr>
          <w:rFonts w:hint="eastAsia"/>
          <w:color w:val="auto"/>
          <w:kern w:val="0"/>
          <w:sz w:val="24"/>
        </w:rPr>
        <w:t>验收。</w:t>
      </w:r>
    </w:p>
    <w:p>
      <w:pPr>
        <w:pStyle w:val="6"/>
        <w:kinsoku w:val="0"/>
        <w:overflowPunct w:val="0"/>
        <w:spacing w:after="0" w:line="360" w:lineRule="auto"/>
        <w:ind w:firstLine="480" w:firstLineChars="200"/>
        <w:rPr>
          <w:sz w:val="24"/>
        </w:rPr>
      </w:pPr>
      <w:r>
        <w:rPr>
          <w:rFonts w:hint="eastAsia"/>
          <w:sz w:val="24"/>
        </w:rPr>
        <w:t>本</w:t>
      </w:r>
      <w:r>
        <w:rPr>
          <w:sz w:val="24"/>
        </w:rPr>
        <w:t>项目设计总投资</w:t>
      </w:r>
      <w:r>
        <w:rPr>
          <w:rFonts w:hint="eastAsia"/>
          <w:sz w:val="24"/>
          <w:lang w:val="en-US" w:eastAsia="zh-CN"/>
        </w:rPr>
        <w:t>5</w:t>
      </w:r>
      <w:r>
        <w:rPr>
          <w:sz w:val="24"/>
        </w:rPr>
        <w:t>00</w:t>
      </w:r>
      <w:r>
        <w:rPr>
          <w:rFonts w:hint="eastAsia"/>
          <w:sz w:val="24"/>
        </w:rPr>
        <w:t>万</w:t>
      </w:r>
      <w:r>
        <w:rPr>
          <w:sz w:val="24"/>
        </w:rPr>
        <w:t>元，其中环保投资</w:t>
      </w:r>
      <w:r>
        <w:rPr>
          <w:rFonts w:hint="eastAsia"/>
          <w:sz w:val="24"/>
          <w:lang w:val="en-US" w:eastAsia="zh-CN"/>
        </w:rPr>
        <w:t>7</w:t>
      </w:r>
      <w:r>
        <w:rPr>
          <w:sz w:val="24"/>
        </w:rPr>
        <w:t>万元，占总投资的</w:t>
      </w:r>
      <w:r>
        <w:rPr>
          <w:rFonts w:hint="eastAsia"/>
          <w:sz w:val="24"/>
        </w:rPr>
        <w:t>1</w:t>
      </w:r>
      <w:r>
        <w:rPr>
          <w:sz w:val="24"/>
        </w:rPr>
        <w:t>.</w:t>
      </w:r>
      <w:r>
        <w:rPr>
          <w:rFonts w:hint="eastAsia"/>
          <w:sz w:val="24"/>
          <w:lang w:val="en-US" w:eastAsia="zh-CN"/>
        </w:rPr>
        <w:t>4</w:t>
      </w:r>
      <w:r>
        <w:rPr>
          <w:sz w:val="24"/>
        </w:rPr>
        <w:t>%；实际总投资</w:t>
      </w:r>
      <w:r>
        <w:rPr>
          <w:rFonts w:hint="eastAsia"/>
          <w:sz w:val="24"/>
          <w:lang w:val="en-US" w:eastAsia="zh-CN"/>
        </w:rPr>
        <w:t>5</w:t>
      </w:r>
      <w:r>
        <w:rPr>
          <w:rFonts w:hint="eastAsia"/>
          <w:sz w:val="24"/>
        </w:rPr>
        <w:t>0</w:t>
      </w:r>
      <w:r>
        <w:rPr>
          <w:rFonts w:hint="eastAsia"/>
          <w:sz w:val="24"/>
          <w:lang w:val="en-US" w:eastAsia="zh-CN"/>
        </w:rPr>
        <w:t>0</w:t>
      </w:r>
      <w:r>
        <w:rPr>
          <w:rFonts w:hint="eastAsia"/>
          <w:sz w:val="24"/>
        </w:rPr>
        <w:t>万</w:t>
      </w:r>
      <w:r>
        <w:rPr>
          <w:sz w:val="24"/>
        </w:rPr>
        <w:t>元，其中环保投资</w:t>
      </w:r>
      <w:r>
        <w:rPr>
          <w:rFonts w:hint="eastAsia"/>
          <w:sz w:val="24"/>
          <w:lang w:val="en-US" w:eastAsia="zh-CN"/>
        </w:rPr>
        <w:t>7</w:t>
      </w:r>
      <w:r>
        <w:rPr>
          <w:sz w:val="24"/>
        </w:rPr>
        <w:t>万元，占总投资的</w:t>
      </w:r>
      <w:r>
        <w:rPr>
          <w:rFonts w:hint="eastAsia"/>
          <w:sz w:val="24"/>
          <w:lang w:val="en-US" w:eastAsia="zh-CN"/>
        </w:rPr>
        <w:t>1.4</w:t>
      </w:r>
      <w:r>
        <w:rPr>
          <w:sz w:val="24"/>
        </w:rPr>
        <w:t>%。</w:t>
      </w:r>
    </w:p>
    <w:p>
      <w:pPr>
        <w:spacing w:line="360" w:lineRule="auto"/>
        <w:ind w:firstLine="480" w:firstLineChars="200"/>
        <w:rPr>
          <w:color w:val="auto"/>
          <w:sz w:val="24"/>
        </w:rPr>
      </w:pPr>
      <w:r>
        <w:rPr>
          <w:sz w:val="24"/>
        </w:rPr>
        <w:t>根据《中华人民共和国环境保护法》（修订）（主席令第9号）、《关于修改&lt;建设项目环境保护管理条例&gt;的决定》（国务院令第682号）、</w:t>
      </w:r>
      <w:r>
        <w:rPr>
          <w:rFonts w:hint="eastAsia"/>
          <w:sz w:val="24"/>
        </w:rPr>
        <w:t>《关于发布＜建设项目竣工环境保护验收暂行办法＞的公告》（国环规环评</w:t>
      </w:r>
      <w:r>
        <w:rPr>
          <w:kern w:val="0"/>
          <w:sz w:val="24"/>
        </w:rPr>
        <w:t>[20</w:t>
      </w:r>
      <w:r>
        <w:rPr>
          <w:rFonts w:hint="eastAsia"/>
          <w:kern w:val="0"/>
          <w:sz w:val="24"/>
        </w:rPr>
        <w:t>17</w:t>
      </w:r>
      <w:r>
        <w:rPr>
          <w:kern w:val="0"/>
          <w:sz w:val="24"/>
        </w:rPr>
        <w:t>]</w:t>
      </w:r>
      <w:r>
        <w:rPr>
          <w:rFonts w:hint="eastAsia"/>
          <w:kern w:val="0"/>
          <w:sz w:val="24"/>
        </w:rPr>
        <w:t>4</w:t>
      </w:r>
      <w:r>
        <w:rPr>
          <w:kern w:val="0"/>
          <w:sz w:val="24"/>
        </w:rPr>
        <w:t>号</w:t>
      </w:r>
      <w:r>
        <w:rPr>
          <w:rFonts w:hint="eastAsia"/>
          <w:sz w:val="24"/>
        </w:rPr>
        <w:t>）、《</w:t>
      </w:r>
      <w:r>
        <w:rPr>
          <w:rStyle w:val="18"/>
          <w:b w:val="0"/>
          <w:bCs w:val="0"/>
          <w:color w:val="000000"/>
          <w:sz w:val="24"/>
          <w:shd w:val="clear" w:color="auto" w:fill="FFFFFF"/>
        </w:rPr>
        <w:t>关于</w:t>
      </w:r>
      <w:r>
        <w:rPr>
          <w:rStyle w:val="18"/>
          <w:rFonts w:hint="eastAsia"/>
          <w:b w:val="0"/>
          <w:bCs w:val="0"/>
          <w:color w:val="000000"/>
          <w:sz w:val="24"/>
          <w:shd w:val="clear" w:color="auto" w:fill="FFFFFF"/>
        </w:rPr>
        <w:t>发布</w:t>
      </w:r>
      <w:r>
        <w:rPr>
          <w:rStyle w:val="18"/>
          <w:b w:val="0"/>
          <w:bCs w:val="0"/>
          <w:color w:val="000000"/>
          <w:sz w:val="24"/>
          <w:shd w:val="clear" w:color="auto" w:fill="FFFFFF"/>
        </w:rPr>
        <w:t>＜建设项目竣工环</w:t>
      </w:r>
      <w:r>
        <w:rPr>
          <w:rStyle w:val="18"/>
          <w:b w:val="0"/>
          <w:bCs w:val="0"/>
          <w:sz w:val="24"/>
          <w:shd w:val="clear" w:color="auto" w:fill="FFFFFF"/>
        </w:rPr>
        <w:t>境保护验收技术指南 污染影响类＞</w:t>
      </w:r>
      <w:r>
        <w:rPr>
          <w:rStyle w:val="18"/>
          <w:rFonts w:hint="eastAsia"/>
          <w:b w:val="0"/>
          <w:bCs w:val="0"/>
          <w:sz w:val="24"/>
          <w:shd w:val="clear" w:color="auto" w:fill="FFFFFF"/>
        </w:rPr>
        <w:t>的公告</w:t>
      </w:r>
      <w:r>
        <w:rPr>
          <w:rFonts w:hint="eastAsia"/>
          <w:sz w:val="24"/>
        </w:rPr>
        <w:t>》（公告</w:t>
      </w:r>
      <w:r>
        <w:rPr>
          <w:sz w:val="24"/>
        </w:rPr>
        <w:t>[201</w:t>
      </w:r>
      <w:r>
        <w:rPr>
          <w:rFonts w:hint="eastAsia"/>
          <w:sz w:val="24"/>
        </w:rPr>
        <w:t>8</w:t>
      </w:r>
      <w:r>
        <w:rPr>
          <w:sz w:val="24"/>
        </w:rPr>
        <w:t>]</w:t>
      </w:r>
      <w:r>
        <w:rPr>
          <w:rFonts w:hint="eastAsia"/>
          <w:sz w:val="24"/>
        </w:rPr>
        <w:t>9</w:t>
      </w:r>
      <w:r>
        <w:rPr>
          <w:sz w:val="24"/>
        </w:rPr>
        <w:t>号</w:t>
      </w:r>
      <w:r>
        <w:rPr>
          <w:rFonts w:hint="eastAsia"/>
          <w:sz w:val="24"/>
        </w:rPr>
        <w:t>）等国家有关环保法规，</w:t>
      </w:r>
      <w:r>
        <w:rPr>
          <w:sz w:val="24"/>
        </w:rPr>
        <w:t>20</w:t>
      </w:r>
      <w:r>
        <w:rPr>
          <w:rFonts w:hint="eastAsia"/>
          <w:sz w:val="24"/>
          <w:lang w:val="en-US" w:eastAsia="zh-CN"/>
        </w:rPr>
        <w:t>20</w:t>
      </w:r>
      <w:r>
        <w:rPr>
          <w:sz w:val="24"/>
        </w:rPr>
        <w:t>年</w:t>
      </w:r>
      <w:r>
        <w:rPr>
          <w:rFonts w:hint="eastAsia"/>
          <w:sz w:val="24"/>
          <w:lang w:val="en-US" w:eastAsia="zh-CN"/>
        </w:rPr>
        <w:t>8</w:t>
      </w:r>
      <w:r>
        <w:rPr>
          <w:sz w:val="24"/>
        </w:rPr>
        <w:t>月，</w:t>
      </w:r>
      <w:r>
        <w:rPr>
          <w:rFonts w:hint="eastAsia"/>
          <w:sz w:val="24"/>
        </w:rPr>
        <w:t>我公司</w:t>
      </w:r>
      <w:r>
        <w:rPr>
          <w:sz w:val="24"/>
        </w:rPr>
        <w:t>对</w:t>
      </w:r>
      <w:r>
        <w:rPr>
          <w:rFonts w:hint="eastAsia"/>
          <w:kern w:val="0"/>
          <w:sz w:val="24"/>
        </w:rPr>
        <w:t>年产7.5万m</w:t>
      </w:r>
      <w:r>
        <w:rPr>
          <w:rFonts w:hint="eastAsia"/>
          <w:kern w:val="0"/>
          <w:sz w:val="24"/>
          <w:vertAlign w:val="superscript"/>
        </w:rPr>
        <w:t>2</w:t>
      </w:r>
      <w:r>
        <w:rPr>
          <w:rFonts w:hint="eastAsia"/>
          <w:kern w:val="0"/>
          <w:sz w:val="24"/>
        </w:rPr>
        <w:t>铝合金门窗加工生产项目</w:t>
      </w:r>
      <w:r>
        <w:rPr>
          <w:rFonts w:hint="eastAsia"/>
          <w:sz w:val="24"/>
        </w:rPr>
        <w:t>自行</w:t>
      </w:r>
      <w:r>
        <w:rPr>
          <w:sz w:val="24"/>
        </w:rPr>
        <w:t>开展建设</w:t>
      </w:r>
      <w:r>
        <w:rPr>
          <w:color w:val="auto"/>
          <w:sz w:val="24"/>
        </w:rPr>
        <w:t>项目竣工环境保护验收</w:t>
      </w:r>
      <w:r>
        <w:rPr>
          <w:rFonts w:hint="eastAsia"/>
          <w:color w:val="auto"/>
          <w:sz w:val="24"/>
        </w:rPr>
        <w:t>工作</w:t>
      </w:r>
      <w:r>
        <w:rPr>
          <w:color w:val="auto"/>
          <w:sz w:val="24"/>
        </w:rPr>
        <w:t>。</w:t>
      </w:r>
    </w:p>
    <w:p>
      <w:pPr>
        <w:spacing w:line="360" w:lineRule="auto"/>
        <w:ind w:firstLine="480" w:firstLineChars="200"/>
        <w:rPr>
          <w:sz w:val="24"/>
        </w:rPr>
      </w:pPr>
      <w:r>
        <w:rPr>
          <w:color w:val="auto"/>
          <w:sz w:val="24"/>
        </w:rPr>
        <w:t>20</w:t>
      </w:r>
      <w:r>
        <w:rPr>
          <w:rFonts w:hint="eastAsia"/>
          <w:color w:val="auto"/>
          <w:sz w:val="24"/>
          <w:lang w:val="en-US" w:eastAsia="zh-CN"/>
        </w:rPr>
        <w:t>20</w:t>
      </w:r>
      <w:r>
        <w:rPr>
          <w:color w:val="auto"/>
          <w:sz w:val="24"/>
        </w:rPr>
        <w:t>年</w:t>
      </w:r>
      <w:r>
        <w:rPr>
          <w:rFonts w:hint="eastAsia"/>
          <w:color w:val="auto"/>
          <w:sz w:val="24"/>
          <w:lang w:val="en-US" w:eastAsia="zh-CN"/>
        </w:rPr>
        <w:t>8</w:t>
      </w:r>
      <w:r>
        <w:rPr>
          <w:color w:val="auto"/>
          <w:sz w:val="24"/>
        </w:rPr>
        <w:t>月</w:t>
      </w:r>
      <w:r>
        <w:rPr>
          <w:rFonts w:hint="eastAsia"/>
          <w:color w:val="auto"/>
          <w:sz w:val="24"/>
          <w:lang w:val="en-US" w:eastAsia="zh-CN"/>
        </w:rPr>
        <w:t>10</w:t>
      </w:r>
      <w:r>
        <w:rPr>
          <w:color w:val="auto"/>
          <w:sz w:val="24"/>
        </w:rPr>
        <w:t>日~</w:t>
      </w:r>
      <w:r>
        <w:rPr>
          <w:rFonts w:hint="eastAsia"/>
          <w:color w:val="auto"/>
          <w:sz w:val="24"/>
          <w:lang w:val="en-US" w:eastAsia="zh-CN"/>
        </w:rPr>
        <w:t>11</w:t>
      </w:r>
      <w:r>
        <w:rPr>
          <w:color w:val="auto"/>
          <w:sz w:val="24"/>
        </w:rPr>
        <w:t>日，</w:t>
      </w:r>
      <w:r>
        <w:rPr>
          <w:rFonts w:hint="eastAsia"/>
          <w:color w:val="auto"/>
          <w:sz w:val="24"/>
        </w:rPr>
        <w:t>受我公司委托，安徽尚德谱检测技术有限责任公司对该项目进行现场验收监测</w:t>
      </w:r>
      <w:r>
        <w:rPr>
          <w:rFonts w:hint="eastAsia"/>
          <w:color w:val="auto"/>
          <w:sz w:val="24"/>
          <w:lang w:eastAsia="zh-CN"/>
        </w:rPr>
        <w:t>，</w:t>
      </w:r>
      <w:r>
        <w:rPr>
          <w:color w:val="auto"/>
          <w:sz w:val="24"/>
        </w:rPr>
        <w:t>根据监测结果及环境管理检查情况，编写了《</w:t>
      </w: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sz w:val="24"/>
        </w:rPr>
        <w:t>竣工环境保护验收监测报告</w:t>
      </w:r>
      <w:r>
        <w:rPr>
          <w:rFonts w:hint="eastAsia"/>
          <w:sz w:val="24"/>
        </w:rPr>
        <w:t>表</w:t>
      </w:r>
      <w:r>
        <w:rPr>
          <w:sz w:val="24"/>
        </w:rPr>
        <w:t>》。</w:t>
      </w:r>
    </w:p>
    <w:p>
      <w:pPr>
        <w:spacing w:line="360" w:lineRule="auto"/>
        <w:rPr>
          <w:b/>
          <w:color w:val="000000"/>
          <w:sz w:val="28"/>
          <w:szCs w:val="28"/>
        </w:rPr>
      </w:pPr>
    </w:p>
    <w:p>
      <w:pPr>
        <w:spacing w:line="360" w:lineRule="auto"/>
        <w:rPr>
          <w:rFonts w:hint="eastAsia"/>
          <w:b/>
          <w:color w:val="000000"/>
          <w:sz w:val="28"/>
          <w:szCs w:val="28"/>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360" w:lineRule="auto"/>
        <w:rPr>
          <w:b/>
          <w:color w:val="000000"/>
          <w:sz w:val="28"/>
          <w:szCs w:val="28"/>
        </w:rPr>
      </w:pPr>
      <w:r>
        <w:rPr>
          <w:rFonts w:hint="eastAsia"/>
          <w:b/>
          <w:color w:val="000000"/>
          <w:sz w:val="28"/>
          <w:szCs w:val="28"/>
        </w:rPr>
        <w:t>表一、建设项目基本情况</w:t>
      </w:r>
    </w:p>
    <w:tbl>
      <w:tblPr>
        <w:tblStyle w:val="15"/>
        <w:tblW w:w="95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2092"/>
        <w:gridCol w:w="2064"/>
        <w:gridCol w:w="1789"/>
        <w:gridCol w:w="1176"/>
        <w:gridCol w:w="1020"/>
        <w:gridCol w:w="13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建设项目名称</w:t>
            </w:r>
          </w:p>
        </w:tc>
        <w:tc>
          <w:tcPr>
            <w:tcW w:w="7431" w:type="dxa"/>
            <w:gridSpan w:val="5"/>
            <w:tcMar>
              <w:left w:w="57" w:type="dxa"/>
              <w:right w:w="57" w:type="dxa"/>
            </w:tcMar>
            <w:vAlign w:val="center"/>
          </w:tcPr>
          <w:p>
            <w:pPr>
              <w:jc w:val="center"/>
              <w:rPr>
                <w:sz w:val="24"/>
              </w:rPr>
            </w:pPr>
            <w:r>
              <w:rPr>
                <w:rFonts w:hint="eastAsia"/>
                <w:kern w:val="0"/>
                <w:sz w:val="24"/>
              </w:rPr>
              <w:t>年产7.5万m</w:t>
            </w:r>
            <w:r>
              <w:rPr>
                <w:rFonts w:hint="eastAsia"/>
                <w:kern w:val="0"/>
                <w:sz w:val="24"/>
                <w:vertAlign w:val="superscript"/>
              </w:rPr>
              <w:t>2</w:t>
            </w:r>
            <w:r>
              <w:rPr>
                <w:rFonts w:hint="eastAsia"/>
                <w:kern w:val="0"/>
                <w:sz w:val="24"/>
              </w:rPr>
              <w:t>铝合金门窗加工生产项目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建设单位名称</w:t>
            </w:r>
          </w:p>
        </w:tc>
        <w:tc>
          <w:tcPr>
            <w:tcW w:w="7431" w:type="dxa"/>
            <w:gridSpan w:val="5"/>
            <w:tcMar>
              <w:left w:w="57" w:type="dxa"/>
              <w:right w:w="57" w:type="dxa"/>
            </w:tcMar>
            <w:vAlign w:val="center"/>
          </w:tcPr>
          <w:p>
            <w:pPr>
              <w:jc w:val="center"/>
              <w:rPr>
                <w:sz w:val="24"/>
              </w:rPr>
            </w:pPr>
            <w:r>
              <w:rPr>
                <w:rFonts w:hint="eastAsia"/>
                <w:kern w:val="0"/>
                <w:sz w:val="24"/>
              </w:rPr>
              <w:t>安徽常宇门窗有限公司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建设项目性质</w:t>
            </w:r>
          </w:p>
        </w:tc>
        <w:tc>
          <w:tcPr>
            <w:tcW w:w="7431" w:type="dxa"/>
            <w:gridSpan w:val="5"/>
            <w:tcMar>
              <w:left w:w="57" w:type="dxa"/>
              <w:right w:w="57" w:type="dxa"/>
            </w:tcMar>
            <w:vAlign w:val="center"/>
          </w:tcPr>
          <w:p>
            <w:pPr>
              <w:adjustRightInd w:val="0"/>
              <w:snapToGrid w:val="0"/>
              <w:jc w:val="center"/>
              <w:rPr>
                <w:sz w:val="24"/>
              </w:rPr>
            </w:pPr>
            <w:r>
              <w:rPr>
                <w:rFonts w:hint="eastAsia"/>
                <w:color w:val="000000"/>
                <w:sz w:val="24"/>
              </w:rPr>
              <w:t>新建</w:t>
            </w:r>
            <w:r>
              <w:rPr>
                <w:rFonts w:hint="eastAsia"/>
                <w:b/>
                <w:bCs/>
                <w:color w:val="000000"/>
                <w:sz w:val="24"/>
              </w:rPr>
              <w:t>√</w:t>
            </w:r>
            <w:r>
              <w:rPr>
                <w:rFonts w:hint="eastAsia"/>
                <w:color w:val="000000"/>
                <w:sz w:val="24"/>
              </w:rPr>
              <w:t xml:space="preserve"> </w:t>
            </w:r>
            <w:r>
              <w:rPr>
                <w:rFonts w:hint="eastAsia"/>
                <w:b/>
                <w:bCs/>
                <w:color w:val="000000"/>
                <w:sz w:val="24"/>
              </w:rPr>
              <w:t xml:space="preserve"> </w:t>
            </w:r>
            <w:r>
              <w:rPr>
                <w:rFonts w:hint="eastAsia"/>
                <w:color w:val="000000"/>
                <w:sz w:val="24"/>
              </w:rPr>
              <w:t xml:space="preserve">扩建    技改   改建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主要产品名称</w:t>
            </w:r>
          </w:p>
        </w:tc>
        <w:tc>
          <w:tcPr>
            <w:tcW w:w="7431" w:type="dxa"/>
            <w:gridSpan w:val="5"/>
            <w:tcMar>
              <w:left w:w="57" w:type="dxa"/>
              <w:right w:w="57" w:type="dxa"/>
            </w:tcMar>
            <w:vAlign w:val="center"/>
          </w:tcPr>
          <w:p>
            <w:pPr>
              <w:adjustRightInd w:val="0"/>
              <w:snapToGrid w:val="0"/>
              <w:jc w:val="center"/>
              <w:rPr>
                <w:color w:val="000000"/>
                <w:sz w:val="24"/>
              </w:rPr>
            </w:pPr>
            <w:r>
              <w:rPr>
                <w:rFonts w:hint="eastAsia"/>
                <w:kern w:val="0"/>
                <w:sz w:val="24"/>
              </w:rPr>
              <w:t>铝合金门窗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设计生产能力</w:t>
            </w:r>
          </w:p>
        </w:tc>
        <w:tc>
          <w:tcPr>
            <w:tcW w:w="7431" w:type="dxa"/>
            <w:gridSpan w:val="5"/>
            <w:tcMar>
              <w:left w:w="57" w:type="dxa"/>
              <w:right w:w="57" w:type="dxa"/>
            </w:tcMar>
            <w:vAlign w:val="center"/>
          </w:tcPr>
          <w:p>
            <w:pPr>
              <w:adjustRightInd w:val="0"/>
              <w:snapToGrid w:val="0"/>
              <w:jc w:val="center"/>
              <w:rPr>
                <w:color w:val="000000"/>
                <w:sz w:val="24"/>
              </w:rPr>
            </w:pPr>
            <w:r>
              <w:rPr>
                <w:rFonts w:hint="eastAsia"/>
                <w:kern w:val="0"/>
                <w:sz w:val="24"/>
              </w:rPr>
              <w:t>年产7.5万m</w:t>
            </w:r>
            <w:r>
              <w:rPr>
                <w:rFonts w:hint="eastAsia"/>
                <w:kern w:val="0"/>
                <w:sz w:val="24"/>
                <w:vertAlign w:val="superscript"/>
              </w:rPr>
              <w:t>2</w:t>
            </w:r>
            <w:r>
              <w:rPr>
                <w:rFonts w:hint="eastAsia"/>
                <w:kern w:val="0"/>
                <w:sz w:val="24"/>
              </w:rPr>
              <w:t>铝合金门窗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实际生产能力</w:t>
            </w:r>
          </w:p>
        </w:tc>
        <w:tc>
          <w:tcPr>
            <w:tcW w:w="7431" w:type="dxa"/>
            <w:gridSpan w:val="5"/>
            <w:tcMar>
              <w:left w:w="57" w:type="dxa"/>
              <w:right w:w="57" w:type="dxa"/>
            </w:tcMar>
            <w:vAlign w:val="center"/>
          </w:tcPr>
          <w:p>
            <w:pPr>
              <w:adjustRightInd w:val="0"/>
              <w:snapToGrid w:val="0"/>
              <w:jc w:val="center"/>
              <w:rPr>
                <w:sz w:val="24"/>
              </w:rPr>
            </w:pPr>
            <w:r>
              <w:rPr>
                <w:rFonts w:hint="eastAsia"/>
                <w:kern w:val="0"/>
                <w:sz w:val="24"/>
              </w:rPr>
              <w:t>年产7.5万m</w:t>
            </w:r>
            <w:r>
              <w:rPr>
                <w:rFonts w:hint="eastAsia"/>
                <w:kern w:val="0"/>
                <w:sz w:val="24"/>
                <w:vertAlign w:val="superscript"/>
              </w:rPr>
              <w:t>2</w:t>
            </w:r>
            <w:r>
              <w:rPr>
                <w:rFonts w:hint="eastAsia"/>
                <w:kern w:val="0"/>
                <w:sz w:val="24"/>
              </w:rPr>
              <w:t>铝合金门窗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92" w:type="dxa"/>
            <w:tcMar>
              <w:left w:w="57" w:type="dxa"/>
              <w:right w:w="57" w:type="dxa"/>
            </w:tcMar>
            <w:vAlign w:val="center"/>
          </w:tcPr>
          <w:p>
            <w:pPr>
              <w:jc w:val="center"/>
              <w:rPr>
                <w:sz w:val="24"/>
              </w:rPr>
            </w:pPr>
            <w:r>
              <w:rPr>
                <w:rFonts w:hint="eastAsia"/>
                <w:sz w:val="24"/>
              </w:rPr>
              <w:t>建设项目现状</w:t>
            </w:r>
            <w:r>
              <w:rPr>
                <w:sz w:val="24"/>
              </w:rPr>
              <w:t>环评时间</w:t>
            </w:r>
          </w:p>
        </w:tc>
        <w:tc>
          <w:tcPr>
            <w:tcW w:w="2064" w:type="dxa"/>
            <w:tcMar>
              <w:left w:w="57" w:type="dxa"/>
              <w:right w:w="57" w:type="dxa"/>
            </w:tcMar>
            <w:vAlign w:val="center"/>
          </w:tcPr>
          <w:p>
            <w:pPr>
              <w:jc w:val="center"/>
              <w:rPr>
                <w:rFonts w:hint="default" w:eastAsia="宋体"/>
                <w:sz w:val="24"/>
                <w:lang w:val="en-US" w:eastAsia="zh-CN"/>
              </w:rPr>
            </w:pPr>
            <w:r>
              <w:rPr>
                <w:rFonts w:hint="eastAsia"/>
                <w:sz w:val="24"/>
              </w:rPr>
              <w:t>201</w:t>
            </w:r>
            <w:r>
              <w:rPr>
                <w:rFonts w:hint="eastAsia"/>
                <w:sz w:val="24"/>
                <w:lang w:val="en-US" w:eastAsia="zh-CN"/>
              </w:rPr>
              <w:t>9.7</w:t>
            </w:r>
          </w:p>
        </w:tc>
        <w:tc>
          <w:tcPr>
            <w:tcW w:w="1789" w:type="dxa"/>
            <w:tcMar>
              <w:left w:w="57" w:type="dxa"/>
              <w:right w:w="57" w:type="dxa"/>
            </w:tcMar>
            <w:vAlign w:val="center"/>
          </w:tcPr>
          <w:p>
            <w:pPr>
              <w:jc w:val="center"/>
              <w:rPr>
                <w:sz w:val="24"/>
              </w:rPr>
            </w:pPr>
            <w:r>
              <w:rPr>
                <w:sz w:val="24"/>
              </w:rPr>
              <w:t>开工</w:t>
            </w:r>
            <w:r>
              <w:rPr>
                <w:rFonts w:hint="eastAsia"/>
                <w:sz w:val="24"/>
              </w:rPr>
              <w:t>建设时间</w:t>
            </w:r>
          </w:p>
        </w:tc>
        <w:tc>
          <w:tcPr>
            <w:tcW w:w="3578" w:type="dxa"/>
            <w:gridSpan w:val="3"/>
            <w:tcMar>
              <w:left w:w="57" w:type="dxa"/>
              <w:right w:w="57" w:type="dxa"/>
            </w:tcMar>
            <w:vAlign w:val="center"/>
          </w:tcPr>
          <w:p>
            <w:pPr>
              <w:jc w:val="center"/>
              <w:rPr>
                <w:rFonts w:hint="default" w:eastAsia="宋体"/>
                <w:sz w:val="24"/>
                <w:lang w:val="en-US" w:eastAsia="zh-CN"/>
              </w:rPr>
            </w:pPr>
            <w:r>
              <w:rPr>
                <w:rFonts w:hint="eastAsia"/>
                <w:sz w:val="24"/>
              </w:rPr>
              <w:t>201</w:t>
            </w:r>
            <w:r>
              <w:rPr>
                <w:rFonts w:hint="eastAsia"/>
                <w:sz w:val="24"/>
                <w:lang w:val="en-US" w:eastAsia="zh-CN"/>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43" w:hRule="atLeast"/>
          <w:jc w:val="center"/>
        </w:trPr>
        <w:tc>
          <w:tcPr>
            <w:tcW w:w="5945" w:type="dxa"/>
            <w:gridSpan w:val="3"/>
            <w:tcMar>
              <w:left w:w="57" w:type="dxa"/>
              <w:right w:w="57" w:type="dxa"/>
            </w:tcMar>
            <w:vAlign w:val="center"/>
          </w:tcPr>
          <w:p>
            <w:pPr>
              <w:jc w:val="center"/>
              <w:rPr>
                <w:color w:val="auto"/>
                <w:sz w:val="24"/>
              </w:rPr>
            </w:pPr>
            <w:r>
              <w:rPr>
                <w:rFonts w:hint="eastAsia"/>
                <w:color w:val="auto"/>
                <w:sz w:val="24"/>
              </w:rPr>
              <w:t>验收现场</w:t>
            </w:r>
            <w:r>
              <w:rPr>
                <w:color w:val="auto"/>
                <w:sz w:val="24"/>
              </w:rPr>
              <w:t>监测时间</w:t>
            </w:r>
          </w:p>
        </w:tc>
        <w:tc>
          <w:tcPr>
            <w:tcW w:w="3578" w:type="dxa"/>
            <w:gridSpan w:val="3"/>
            <w:tcMar>
              <w:left w:w="57" w:type="dxa"/>
              <w:right w:w="57" w:type="dxa"/>
            </w:tcMar>
            <w:vAlign w:val="center"/>
          </w:tcPr>
          <w:p>
            <w:pPr>
              <w:jc w:val="center"/>
              <w:rPr>
                <w:rFonts w:hint="default" w:eastAsia="宋体"/>
                <w:color w:val="auto"/>
                <w:sz w:val="24"/>
                <w:lang w:val="en-US" w:eastAsia="zh-CN"/>
              </w:rPr>
            </w:pPr>
            <w:r>
              <w:rPr>
                <w:color w:val="auto"/>
                <w:sz w:val="24"/>
              </w:rPr>
              <w:t>20</w:t>
            </w:r>
            <w:r>
              <w:rPr>
                <w:rFonts w:hint="eastAsia"/>
                <w:color w:val="auto"/>
                <w:sz w:val="24"/>
                <w:lang w:val="en-US" w:eastAsia="zh-CN"/>
              </w:rPr>
              <w:t>20.8.10</w:t>
            </w:r>
            <w:r>
              <w:rPr>
                <w:rFonts w:hint="eastAsia"/>
                <w:color w:val="auto"/>
                <w:sz w:val="24"/>
              </w:rPr>
              <w:t>~</w:t>
            </w:r>
            <w:r>
              <w:rPr>
                <w:rFonts w:hint="eastAsia"/>
                <w:color w:val="auto"/>
                <w:sz w:val="24"/>
                <w:lang w:val="en-US" w:eastAsia="zh-CN"/>
              </w:rPr>
              <w:t>8.11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环评</w:t>
            </w:r>
            <w:r>
              <w:rPr>
                <w:rFonts w:hint="eastAsia"/>
                <w:sz w:val="24"/>
              </w:rPr>
              <w:t>报告表</w:t>
            </w:r>
          </w:p>
          <w:p>
            <w:pPr>
              <w:jc w:val="center"/>
              <w:rPr>
                <w:sz w:val="24"/>
              </w:rPr>
            </w:pPr>
            <w:r>
              <w:rPr>
                <w:sz w:val="24"/>
              </w:rPr>
              <w:t>审批部门</w:t>
            </w:r>
          </w:p>
        </w:tc>
        <w:tc>
          <w:tcPr>
            <w:tcW w:w="2064" w:type="dxa"/>
            <w:tcMar>
              <w:left w:w="57" w:type="dxa"/>
              <w:right w:w="57" w:type="dxa"/>
            </w:tcMar>
            <w:vAlign w:val="center"/>
          </w:tcPr>
          <w:p>
            <w:pPr>
              <w:jc w:val="center"/>
              <w:rPr>
                <w:sz w:val="24"/>
              </w:rPr>
            </w:pPr>
            <w:r>
              <w:rPr>
                <w:rFonts w:hint="eastAsia"/>
                <w:sz w:val="24"/>
                <w:lang w:val="en-US" w:eastAsia="zh-CN"/>
              </w:rPr>
              <w:t>肥西县环境保护</w:t>
            </w:r>
            <w:r>
              <w:rPr>
                <w:rFonts w:hint="eastAsia"/>
                <w:sz w:val="24"/>
              </w:rPr>
              <w:t>局</w:t>
            </w:r>
          </w:p>
        </w:tc>
        <w:tc>
          <w:tcPr>
            <w:tcW w:w="1789" w:type="dxa"/>
            <w:tcMar>
              <w:left w:w="57" w:type="dxa"/>
              <w:right w:w="57" w:type="dxa"/>
            </w:tcMar>
            <w:vAlign w:val="center"/>
          </w:tcPr>
          <w:p>
            <w:pPr>
              <w:jc w:val="center"/>
              <w:rPr>
                <w:sz w:val="24"/>
              </w:rPr>
            </w:pPr>
            <w:r>
              <w:rPr>
                <w:sz w:val="24"/>
              </w:rPr>
              <w:t>环评报告表</w:t>
            </w:r>
          </w:p>
          <w:p>
            <w:pPr>
              <w:jc w:val="center"/>
              <w:rPr>
                <w:sz w:val="24"/>
              </w:rPr>
            </w:pPr>
            <w:r>
              <w:rPr>
                <w:sz w:val="24"/>
              </w:rPr>
              <w:t>编制单位</w:t>
            </w:r>
          </w:p>
        </w:tc>
        <w:tc>
          <w:tcPr>
            <w:tcW w:w="3578" w:type="dxa"/>
            <w:gridSpan w:val="3"/>
            <w:tcMar>
              <w:left w:w="57" w:type="dxa"/>
              <w:right w:w="57" w:type="dxa"/>
            </w:tcMar>
            <w:vAlign w:val="center"/>
          </w:tcPr>
          <w:p>
            <w:pPr>
              <w:jc w:val="center"/>
              <w:rPr>
                <w:sz w:val="24"/>
              </w:rPr>
            </w:pPr>
            <w:r>
              <w:rPr>
                <w:rFonts w:hint="eastAsia"/>
                <w:kern w:val="0"/>
                <w:sz w:val="24"/>
                <w:lang w:val="en-US" w:eastAsia="zh-CN"/>
              </w:rPr>
              <w:t>江苏苏辰勘察设计研究院</w:t>
            </w:r>
            <w:r>
              <w:rPr>
                <w:rFonts w:hint="eastAsia"/>
                <w:kern w:val="0"/>
                <w:sz w:val="24"/>
              </w:rPr>
              <w:t>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环保设施设计单位</w:t>
            </w:r>
          </w:p>
        </w:tc>
        <w:tc>
          <w:tcPr>
            <w:tcW w:w="2064" w:type="dxa"/>
            <w:tcMar>
              <w:left w:w="57" w:type="dxa"/>
              <w:right w:w="57" w:type="dxa"/>
            </w:tcMar>
            <w:vAlign w:val="center"/>
          </w:tcPr>
          <w:p>
            <w:pPr>
              <w:jc w:val="center"/>
              <w:rPr>
                <w:sz w:val="24"/>
              </w:rPr>
            </w:pPr>
            <w:r>
              <w:rPr>
                <w:rFonts w:hint="eastAsia"/>
                <w:sz w:val="24"/>
              </w:rPr>
              <w:t>——</w:t>
            </w:r>
          </w:p>
        </w:tc>
        <w:tc>
          <w:tcPr>
            <w:tcW w:w="1789" w:type="dxa"/>
            <w:tcMar>
              <w:left w:w="57" w:type="dxa"/>
              <w:right w:w="57" w:type="dxa"/>
            </w:tcMar>
            <w:vAlign w:val="center"/>
          </w:tcPr>
          <w:p>
            <w:pPr>
              <w:jc w:val="center"/>
              <w:rPr>
                <w:sz w:val="24"/>
              </w:rPr>
            </w:pPr>
            <w:r>
              <w:rPr>
                <w:sz w:val="24"/>
              </w:rPr>
              <w:t>环保设施施工单位</w:t>
            </w:r>
          </w:p>
        </w:tc>
        <w:tc>
          <w:tcPr>
            <w:tcW w:w="3578" w:type="dxa"/>
            <w:gridSpan w:val="3"/>
            <w:tcMar>
              <w:left w:w="57" w:type="dxa"/>
              <w:right w:w="57" w:type="dxa"/>
            </w:tcMar>
            <w:vAlign w:val="center"/>
          </w:tcPr>
          <w:p>
            <w:pPr>
              <w:jc w:val="center"/>
              <w:rPr>
                <w:sz w:val="24"/>
              </w:rPr>
            </w:pPr>
            <w:r>
              <w:rPr>
                <w:rFonts w:hint="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投资总概算</w:t>
            </w:r>
          </w:p>
        </w:tc>
        <w:tc>
          <w:tcPr>
            <w:tcW w:w="2064" w:type="dxa"/>
            <w:tcMar>
              <w:left w:w="57" w:type="dxa"/>
              <w:right w:w="57" w:type="dxa"/>
            </w:tcMar>
            <w:vAlign w:val="center"/>
          </w:tcPr>
          <w:p>
            <w:pPr>
              <w:jc w:val="center"/>
              <w:rPr>
                <w:sz w:val="24"/>
              </w:rPr>
            </w:pPr>
            <w:r>
              <w:rPr>
                <w:rFonts w:hint="eastAsia"/>
                <w:sz w:val="24"/>
                <w:lang w:val="en-US" w:eastAsia="zh-CN"/>
              </w:rPr>
              <w:t>5</w:t>
            </w:r>
            <w:r>
              <w:rPr>
                <w:rFonts w:hint="eastAsia"/>
                <w:sz w:val="24"/>
              </w:rPr>
              <w:t>00</w:t>
            </w:r>
            <w:r>
              <w:rPr>
                <w:sz w:val="24"/>
              </w:rPr>
              <w:t>万元</w:t>
            </w:r>
          </w:p>
        </w:tc>
        <w:tc>
          <w:tcPr>
            <w:tcW w:w="1789" w:type="dxa"/>
            <w:tcMar>
              <w:left w:w="57" w:type="dxa"/>
              <w:right w:w="57" w:type="dxa"/>
            </w:tcMar>
            <w:vAlign w:val="center"/>
          </w:tcPr>
          <w:p>
            <w:pPr>
              <w:jc w:val="center"/>
              <w:rPr>
                <w:sz w:val="24"/>
              </w:rPr>
            </w:pPr>
            <w:r>
              <w:rPr>
                <w:sz w:val="24"/>
              </w:rPr>
              <w:t>环保投资</w:t>
            </w:r>
          </w:p>
          <w:p>
            <w:pPr>
              <w:jc w:val="center"/>
              <w:rPr>
                <w:sz w:val="24"/>
              </w:rPr>
            </w:pPr>
            <w:r>
              <w:rPr>
                <w:sz w:val="24"/>
              </w:rPr>
              <w:t>总概算</w:t>
            </w:r>
          </w:p>
        </w:tc>
        <w:tc>
          <w:tcPr>
            <w:tcW w:w="1176" w:type="dxa"/>
            <w:tcMar>
              <w:left w:w="57" w:type="dxa"/>
              <w:right w:w="57" w:type="dxa"/>
            </w:tcMar>
            <w:vAlign w:val="center"/>
          </w:tcPr>
          <w:p>
            <w:pPr>
              <w:jc w:val="center"/>
              <w:rPr>
                <w:sz w:val="24"/>
              </w:rPr>
            </w:pPr>
            <w:r>
              <w:rPr>
                <w:rFonts w:hint="eastAsia"/>
                <w:sz w:val="24"/>
                <w:lang w:val="en-US" w:eastAsia="zh-CN"/>
              </w:rPr>
              <w:t>7</w:t>
            </w:r>
            <w:r>
              <w:rPr>
                <w:sz w:val="24"/>
              </w:rPr>
              <w:t>万元</w:t>
            </w:r>
          </w:p>
        </w:tc>
        <w:tc>
          <w:tcPr>
            <w:tcW w:w="1020" w:type="dxa"/>
            <w:tcMar>
              <w:left w:w="57" w:type="dxa"/>
              <w:right w:w="57" w:type="dxa"/>
            </w:tcMar>
            <w:vAlign w:val="center"/>
          </w:tcPr>
          <w:p>
            <w:pPr>
              <w:jc w:val="center"/>
              <w:rPr>
                <w:sz w:val="24"/>
              </w:rPr>
            </w:pPr>
            <w:r>
              <w:rPr>
                <w:sz w:val="24"/>
              </w:rPr>
              <w:t>比例</w:t>
            </w:r>
          </w:p>
        </w:tc>
        <w:tc>
          <w:tcPr>
            <w:tcW w:w="1382" w:type="dxa"/>
            <w:tcMar>
              <w:left w:w="57" w:type="dxa"/>
              <w:right w:w="57" w:type="dxa"/>
            </w:tcMar>
            <w:vAlign w:val="center"/>
          </w:tcPr>
          <w:p>
            <w:pPr>
              <w:jc w:val="center"/>
              <w:rPr>
                <w:sz w:val="24"/>
              </w:rPr>
            </w:pPr>
            <w:r>
              <w:rPr>
                <w:rFonts w:hint="eastAsia"/>
                <w:sz w:val="24"/>
                <w:lang w:val="en-US" w:eastAsia="zh-CN"/>
              </w:rPr>
              <w:t>1.4</w:t>
            </w:r>
            <w:r>
              <w:rPr>
                <w:rFonts w:hint="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实际总投资</w:t>
            </w:r>
          </w:p>
        </w:tc>
        <w:tc>
          <w:tcPr>
            <w:tcW w:w="2064" w:type="dxa"/>
            <w:tcMar>
              <w:left w:w="57" w:type="dxa"/>
              <w:right w:w="57" w:type="dxa"/>
            </w:tcMar>
            <w:vAlign w:val="center"/>
          </w:tcPr>
          <w:p>
            <w:pPr>
              <w:jc w:val="center"/>
              <w:rPr>
                <w:color w:val="auto"/>
                <w:sz w:val="24"/>
              </w:rPr>
            </w:pPr>
            <w:r>
              <w:rPr>
                <w:rFonts w:hint="eastAsia"/>
                <w:color w:val="auto"/>
                <w:sz w:val="24"/>
                <w:lang w:val="en-US" w:eastAsia="zh-CN"/>
              </w:rPr>
              <w:t>5</w:t>
            </w:r>
            <w:r>
              <w:rPr>
                <w:rFonts w:hint="eastAsia"/>
                <w:color w:val="auto"/>
                <w:sz w:val="24"/>
              </w:rPr>
              <w:t>0</w:t>
            </w:r>
            <w:r>
              <w:rPr>
                <w:rFonts w:hint="eastAsia"/>
                <w:color w:val="auto"/>
                <w:sz w:val="24"/>
                <w:lang w:val="en-US" w:eastAsia="zh-CN"/>
              </w:rPr>
              <w:t>0</w:t>
            </w:r>
            <w:r>
              <w:rPr>
                <w:color w:val="auto"/>
                <w:sz w:val="24"/>
              </w:rPr>
              <w:t>万元</w:t>
            </w:r>
          </w:p>
        </w:tc>
        <w:tc>
          <w:tcPr>
            <w:tcW w:w="1789" w:type="dxa"/>
            <w:tcMar>
              <w:left w:w="57" w:type="dxa"/>
              <w:right w:w="57" w:type="dxa"/>
            </w:tcMar>
            <w:vAlign w:val="center"/>
          </w:tcPr>
          <w:p>
            <w:pPr>
              <w:jc w:val="center"/>
              <w:rPr>
                <w:color w:val="auto"/>
                <w:sz w:val="24"/>
              </w:rPr>
            </w:pPr>
            <w:r>
              <w:rPr>
                <w:color w:val="auto"/>
                <w:sz w:val="24"/>
              </w:rPr>
              <w:t>环保投资</w:t>
            </w:r>
          </w:p>
        </w:tc>
        <w:tc>
          <w:tcPr>
            <w:tcW w:w="1176" w:type="dxa"/>
            <w:tcMar>
              <w:left w:w="57" w:type="dxa"/>
              <w:right w:w="57" w:type="dxa"/>
            </w:tcMar>
            <w:vAlign w:val="center"/>
          </w:tcPr>
          <w:p>
            <w:pPr>
              <w:jc w:val="center"/>
              <w:rPr>
                <w:color w:val="auto"/>
                <w:sz w:val="24"/>
              </w:rPr>
            </w:pPr>
            <w:r>
              <w:rPr>
                <w:rFonts w:hint="eastAsia"/>
                <w:color w:val="auto"/>
                <w:sz w:val="24"/>
                <w:lang w:val="en-US" w:eastAsia="zh-CN"/>
              </w:rPr>
              <w:t>7</w:t>
            </w:r>
            <w:r>
              <w:rPr>
                <w:color w:val="auto"/>
                <w:sz w:val="24"/>
              </w:rPr>
              <w:t>万元</w:t>
            </w:r>
          </w:p>
        </w:tc>
        <w:tc>
          <w:tcPr>
            <w:tcW w:w="1020" w:type="dxa"/>
            <w:tcMar>
              <w:left w:w="57" w:type="dxa"/>
              <w:right w:w="57" w:type="dxa"/>
            </w:tcMar>
            <w:vAlign w:val="center"/>
          </w:tcPr>
          <w:p>
            <w:pPr>
              <w:jc w:val="center"/>
              <w:rPr>
                <w:color w:val="auto"/>
                <w:sz w:val="24"/>
              </w:rPr>
            </w:pPr>
            <w:r>
              <w:rPr>
                <w:color w:val="auto"/>
                <w:sz w:val="24"/>
              </w:rPr>
              <w:t>比例</w:t>
            </w:r>
          </w:p>
        </w:tc>
        <w:tc>
          <w:tcPr>
            <w:tcW w:w="1382" w:type="dxa"/>
            <w:tcMar>
              <w:left w:w="57" w:type="dxa"/>
              <w:right w:w="57" w:type="dxa"/>
            </w:tcMar>
            <w:vAlign w:val="center"/>
          </w:tcPr>
          <w:p>
            <w:pPr>
              <w:jc w:val="center"/>
              <w:rPr>
                <w:color w:val="auto"/>
                <w:sz w:val="24"/>
              </w:rPr>
            </w:pPr>
            <w:r>
              <w:rPr>
                <w:rFonts w:hint="eastAsia"/>
                <w:color w:val="auto"/>
                <w:sz w:val="24"/>
                <w:lang w:val="en-US" w:eastAsia="zh-CN"/>
              </w:rPr>
              <w:t>1.4</w:t>
            </w:r>
            <w:r>
              <w:rPr>
                <w:rFonts w:hint="eastAsia"/>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3" w:hRule="atLeast"/>
          <w:jc w:val="center"/>
        </w:trPr>
        <w:tc>
          <w:tcPr>
            <w:tcW w:w="2092" w:type="dxa"/>
            <w:tcMar>
              <w:left w:w="57" w:type="dxa"/>
              <w:right w:w="57" w:type="dxa"/>
            </w:tcMar>
            <w:vAlign w:val="center"/>
          </w:tcPr>
          <w:p>
            <w:pPr>
              <w:jc w:val="center"/>
              <w:rPr>
                <w:sz w:val="24"/>
              </w:rPr>
            </w:pPr>
            <w:r>
              <w:rPr>
                <w:sz w:val="24"/>
              </w:rPr>
              <w:t>验收监测依据</w:t>
            </w:r>
          </w:p>
        </w:tc>
        <w:tc>
          <w:tcPr>
            <w:tcW w:w="7431" w:type="dxa"/>
            <w:gridSpan w:val="5"/>
            <w:tcMar>
              <w:left w:w="57" w:type="dxa"/>
              <w:right w:w="57" w:type="dxa"/>
            </w:tcMar>
            <w:vAlign w:val="center"/>
          </w:tcPr>
          <w:p>
            <w:pPr>
              <w:spacing w:line="360" w:lineRule="auto"/>
              <w:rPr>
                <w:color w:val="auto"/>
                <w:sz w:val="24"/>
              </w:rPr>
            </w:pPr>
            <w:r>
              <w:rPr>
                <w:color w:val="auto"/>
                <w:sz w:val="24"/>
              </w:rPr>
              <w:t>1、《中华人民共和国环境保护法》（修订），中华人民共和国主席令第9号令，2015年1月；</w:t>
            </w:r>
          </w:p>
          <w:p>
            <w:pPr>
              <w:spacing w:line="360" w:lineRule="auto"/>
              <w:rPr>
                <w:color w:val="auto"/>
                <w:sz w:val="24"/>
              </w:rPr>
            </w:pPr>
            <w:r>
              <w:rPr>
                <w:color w:val="auto"/>
                <w:sz w:val="24"/>
              </w:rPr>
              <w:t>2、《关于修改&lt;建设项目环境保护管理条例&gt;的决定》，中华人民共和国国务院令第682号，2017年10月1日实施；</w:t>
            </w:r>
          </w:p>
          <w:p>
            <w:pPr>
              <w:spacing w:line="360" w:lineRule="auto"/>
              <w:rPr>
                <w:color w:val="auto"/>
                <w:kern w:val="0"/>
                <w:sz w:val="24"/>
              </w:rPr>
            </w:pPr>
            <w:r>
              <w:rPr>
                <w:color w:val="auto"/>
                <w:sz w:val="24"/>
                <w:shd w:val="clear" w:color="auto" w:fill="FFFFFF"/>
              </w:rPr>
              <w:t>3、《</w:t>
            </w:r>
            <w:r>
              <w:rPr>
                <w:color w:val="auto"/>
                <w:sz w:val="24"/>
              </w:rPr>
              <w:t>关于发布</w:t>
            </w:r>
            <w:r>
              <w:rPr>
                <w:rStyle w:val="18"/>
                <w:b w:val="0"/>
                <w:bCs w:val="0"/>
                <w:color w:val="auto"/>
                <w:sz w:val="24"/>
                <w:shd w:val="clear" w:color="auto" w:fill="FFFFFF"/>
              </w:rPr>
              <w:t>＜</w:t>
            </w:r>
            <w:r>
              <w:rPr>
                <w:color w:val="auto"/>
                <w:sz w:val="24"/>
              </w:rPr>
              <w:t>建设项目竣工环境保护验收暂行办法</w:t>
            </w:r>
            <w:r>
              <w:rPr>
                <w:rStyle w:val="18"/>
                <w:b w:val="0"/>
                <w:bCs w:val="0"/>
                <w:color w:val="auto"/>
                <w:sz w:val="24"/>
                <w:shd w:val="clear" w:color="auto" w:fill="FFFFFF"/>
              </w:rPr>
              <w:t>＞</w:t>
            </w:r>
            <w:r>
              <w:rPr>
                <w:color w:val="auto"/>
                <w:sz w:val="24"/>
              </w:rPr>
              <w:t>的公告</w:t>
            </w:r>
            <w:r>
              <w:rPr>
                <w:color w:val="auto"/>
                <w:sz w:val="24"/>
                <w:shd w:val="clear" w:color="auto" w:fill="FFFFFF"/>
              </w:rPr>
              <w:t>》</w:t>
            </w:r>
            <w:r>
              <w:rPr>
                <w:color w:val="auto"/>
                <w:sz w:val="24"/>
              </w:rPr>
              <w:t>，国环规环评</w:t>
            </w:r>
            <w:r>
              <w:rPr>
                <w:color w:val="auto"/>
                <w:kern w:val="0"/>
                <w:sz w:val="24"/>
              </w:rPr>
              <w:t>[2017]4号，2017年11月20日；</w:t>
            </w:r>
          </w:p>
          <w:p>
            <w:pPr>
              <w:spacing w:line="360" w:lineRule="auto"/>
              <w:rPr>
                <w:color w:val="auto"/>
                <w:sz w:val="24"/>
              </w:rPr>
            </w:pPr>
            <w:r>
              <w:rPr>
                <w:color w:val="auto"/>
                <w:sz w:val="24"/>
              </w:rPr>
              <w:t>4、《</w:t>
            </w:r>
            <w:r>
              <w:rPr>
                <w:rStyle w:val="18"/>
                <w:b w:val="0"/>
                <w:bCs w:val="0"/>
                <w:color w:val="auto"/>
                <w:sz w:val="24"/>
                <w:shd w:val="clear" w:color="auto" w:fill="FFFFFF"/>
              </w:rPr>
              <w:t>关于发布＜建设项目竣工环境保护验收技术指南 污染影响类＞的公告</w:t>
            </w:r>
            <w:r>
              <w:rPr>
                <w:color w:val="auto"/>
                <w:sz w:val="24"/>
              </w:rPr>
              <w:t>》，公告[2018]9号，2018年5月15日；</w:t>
            </w:r>
          </w:p>
          <w:p>
            <w:pPr>
              <w:spacing w:line="360" w:lineRule="auto"/>
              <w:rPr>
                <w:rStyle w:val="18"/>
                <w:b w:val="0"/>
                <w:bCs w:val="0"/>
                <w:color w:val="auto"/>
                <w:sz w:val="24"/>
                <w:shd w:val="clear" w:color="auto" w:fill="FFFFFF"/>
              </w:rPr>
            </w:pPr>
            <w:r>
              <w:rPr>
                <w:color w:val="auto"/>
                <w:sz w:val="24"/>
              </w:rPr>
              <w:t>5、</w:t>
            </w:r>
            <w:r>
              <w:rPr>
                <w:rFonts w:hint="eastAsia"/>
                <w:kern w:val="0"/>
                <w:sz w:val="24"/>
                <w:lang w:val="en-US" w:eastAsia="zh-CN"/>
              </w:rPr>
              <w:t>江苏苏辰勘察设计研究院</w:t>
            </w:r>
            <w:r>
              <w:rPr>
                <w:rFonts w:hint="eastAsia"/>
                <w:kern w:val="0"/>
                <w:sz w:val="24"/>
              </w:rPr>
              <w:t>有限公司</w:t>
            </w:r>
            <w:r>
              <w:rPr>
                <w:sz w:val="24"/>
              </w:rPr>
              <w:t>《</w:t>
            </w: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sz w:val="24"/>
              </w:rPr>
              <w:t>环境影响报告表》，201</w:t>
            </w:r>
            <w:r>
              <w:rPr>
                <w:rFonts w:hint="eastAsia"/>
                <w:sz w:val="24"/>
                <w:lang w:val="en-US" w:eastAsia="zh-CN"/>
              </w:rPr>
              <w:t>9</w:t>
            </w:r>
            <w:r>
              <w:rPr>
                <w:sz w:val="24"/>
              </w:rPr>
              <w:t>年</w:t>
            </w:r>
            <w:r>
              <w:rPr>
                <w:rFonts w:hint="eastAsia"/>
                <w:sz w:val="24"/>
                <w:lang w:val="en-US" w:eastAsia="zh-CN"/>
              </w:rPr>
              <w:t>7</w:t>
            </w:r>
            <w:r>
              <w:rPr>
                <w:sz w:val="24"/>
              </w:rPr>
              <w:t>月</w:t>
            </w:r>
            <w:r>
              <w:rPr>
                <w:rStyle w:val="18"/>
                <w:b w:val="0"/>
                <w:bCs w:val="0"/>
                <w:color w:val="auto"/>
                <w:sz w:val="24"/>
                <w:shd w:val="clear" w:color="auto" w:fill="FFFFFF"/>
              </w:rPr>
              <w:t>；</w:t>
            </w:r>
          </w:p>
          <w:p>
            <w:pPr>
              <w:spacing w:line="360" w:lineRule="auto"/>
              <w:rPr>
                <w:sz w:val="24"/>
              </w:rPr>
            </w:pPr>
            <w:r>
              <w:rPr>
                <w:color w:val="auto"/>
                <w:sz w:val="24"/>
              </w:rPr>
              <w:t>6、</w:t>
            </w:r>
            <w:r>
              <w:rPr>
                <w:rFonts w:hint="eastAsia"/>
                <w:sz w:val="24"/>
                <w:lang w:val="en-US" w:eastAsia="zh-CN"/>
              </w:rPr>
              <w:t>肥西县环境保护</w:t>
            </w:r>
            <w:r>
              <w:rPr>
                <w:rFonts w:hint="eastAsia"/>
                <w:sz w:val="24"/>
              </w:rPr>
              <w:t>局</w:t>
            </w:r>
            <w:r>
              <w:rPr>
                <w:sz w:val="24"/>
              </w:rPr>
              <w:t>（批复）《关于</w:t>
            </w: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sz w:val="24"/>
              </w:rPr>
              <w:t>环境影响报告表的批复》</w:t>
            </w:r>
            <w:r>
              <w:rPr>
                <w:rFonts w:hint="eastAsia"/>
                <w:kern w:val="0"/>
                <w:sz w:val="24"/>
                <w:lang w:val="en-US" w:eastAsia="zh-CN"/>
              </w:rPr>
              <w:t>肥</w:t>
            </w:r>
            <w:r>
              <w:rPr>
                <w:rFonts w:hint="eastAsia"/>
                <w:kern w:val="0"/>
                <w:sz w:val="24"/>
              </w:rPr>
              <w:t>环建审字[201</w:t>
            </w:r>
            <w:r>
              <w:rPr>
                <w:rFonts w:hint="eastAsia"/>
                <w:kern w:val="0"/>
                <w:sz w:val="24"/>
                <w:lang w:val="en-US" w:eastAsia="zh-CN"/>
              </w:rPr>
              <w:t>9</w:t>
            </w:r>
            <w:r>
              <w:rPr>
                <w:rFonts w:hint="eastAsia"/>
                <w:kern w:val="0"/>
                <w:sz w:val="24"/>
              </w:rPr>
              <w:t>] 1</w:t>
            </w:r>
            <w:r>
              <w:rPr>
                <w:rFonts w:hint="eastAsia"/>
                <w:kern w:val="0"/>
                <w:sz w:val="24"/>
                <w:lang w:val="en-US" w:eastAsia="zh-CN"/>
              </w:rPr>
              <w:t>28</w:t>
            </w:r>
            <w:r>
              <w:rPr>
                <w:rFonts w:hint="eastAsia"/>
                <w:kern w:val="0"/>
                <w:sz w:val="24"/>
              </w:rPr>
              <w:t>号</w:t>
            </w:r>
            <w:r>
              <w:rPr>
                <w:sz w:val="24"/>
              </w:rPr>
              <w:t>，201</w:t>
            </w:r>
            <w:r>
              <w:rPr>
                <w:rFonts w:hint="eastAsia"/>
                <w:sz w:val="24"/>
                <w:lang w:val="en-US" w:eastAsia="zh-CN"/>
              </w:rPr>
              <w:t>9</w:t>
            </w:r>
            <w:r>
              <w:rPr>
                <w:sz w:val="24"/>
              </w:rPr>
              <w:t>年</w:t>
            </w:r>
            <w:r>
              <w:rPr>
                <w:rFonts w:hint="eastAsia"/>
                <w:sz w:val="24"/>
                <w:lang w:val="en-US" w:eastAsia="zh-CN"/>
              </w:rPr>
              <w:t>8</w:t>
            </w:r>
            <w:r>
              <w:rPr>
                <w:sz w:val="24"/>
              </w:rPr>
              <w:t>月</w:t>
            </w:r>
            <w:r>
              <w:rPr>
                <w:rFonts w:hint="eastAsia"/>
                <w:sz w:val="24"/>
                <w:lang w:val="en-US" w:eastAsia="zh-CN"/>
              </w:rPr>
              <w:t>2</w:t>
            </w:r>
            <w:r>
              <w:rPr>
                <w:rFonts w:hint="eastAsia"/>
                <w:sz w:val="24"/>
              </w:rPr>
              <w:t>0</w:t>
            </w:r>
            <w:r>
              <w:rPr>
                <w:sz w:val="24"/>
              </w:rPr>
              <w:t>日</w:t>
            </w:r>
            <w:r>
              <w:rPr>
                <w:rFonts w:hint="eastAsia"/>
                <w:bCs/>
                <w:color w:val="auto"/>
                <w:sz w:val="24"/>
                <w:lang w:eastAsia="zh-CN"/>
              </w:rPr>
              <w:t>；</w:t>
            </w:r>
          </w:p>
          <w:p>
            <w:pPr>
              <w:spacing w:line="360" w:lineRule="auto"/>
              <w:rPr>
                <w:sz w:val="24"/>
              </w:rPr>
            </w:pPr>
            <w:r>
              <w:rPr>
                <w:rFonts w:hint="eastAsia"/>
                <w:sz w:val="24"/>
                <w:lang w:val="en-US" w:eastAsia="zh-CN"/>
              </w:rPr>
              <w:t>7、</w:t>
            </w:r>
            <w:r>
              <w:rPr>
                <w:rFonts w:hint="eastAsia"/>
                <w:kern w:val="0"/>
                <w:sz w:val="24"/>
                <w:lang w:val="en-US" w:eastAsia="zh-CN"/>
              </w:rPr>
              <w:t xml:space="preserve"> </w:t>
            </w:r>
            <w:r>
              <w:rPr>
                <w:sz w:val="24"/>
              </w:rPr>
              <w:t>企业提供相关资料。</w:t>
            </w:r>
          </w:p>
          <w:p>
            <w:pPr>
              <w:pStyle w:val="9"/>
              <w:rPr>
                <w:rFonts w:hint="default"/>
                <w:lang w:val="en-US" w:eastAsia="zh-CN"/>
              </w:rPr>
            </w:pPr>
          </w:p>
          <w:p>
            <w:pPr>
              <w:spacing w:line="360" w:lineRule="auto"/>
              <w:rPr>
                <w:rFonts w:hint="default" w:eastAsia="宋体"/>
                <w:color w:val="auto"/>
                <w:sz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92" w:type="dxa"/>
            <w:tcMar>
              <w:left w:w="57" w:type="dxa"/>
              <w:right w:w="57" w:type="dxa"/>
            </w:tcMar>
            <w:vAlign w:val="center"/>
          </w:tcPr>
          <w:p>
            <w:pPr>
              <w:jc w:val="center"/>
              <w:rPr>
                <w:rFonts w:hint="eastAsia" w:eastAsia="宋体"/>
                <w:sz w:val="24"/>
                <w:lang w:eastAsia="zh-CN"/>
              </w:rPr>
            </w:pPr>
            <w:r>
              <w:rPr>
                <w:sz w:val="24"/>
              </w:rPr>
              <w:t>验收监测</w:t>
            </w:r>
            <w:r>
              <w:rPr>
                <w:rFonts w:hint="eastAsia"/>
                <w:sz w:val="24"/>
              </w:rPr>
              <w:t>评价</w:t>
            </w:r>
            <w:r>
              <w:rPr>
                <w:sz w:val="24"/>
              </w:rPr>
              <w:t>标准</w:t>
            </w:r>
            <w:r>
              <w:rPr>
                <w:rFonts w:hint="eastAsia"/>
                <w:sz w:val="24"/>
              </w:rPr>
              <w:t>、</w:t>
            </w:r>
            <w:r>
              <w:rPr>
                <w:sz w:val="24"/>
              </w:rPr>
              <w:t>标号、级别</w:t>
            </w:r>
            <w:r>
              <w:rPr>
                <w:rFonts w:hint="eastAsia"/>
                <w:sz w:val="24"/>
              </w:rPr>
              <w:t>、</w:t>
            </w:r>
            <w:r>
              <w:rPr>
                <w:rFonts w:hint="eastAsia"/>
                <w:sz w:val="24"/>
                <w:lang w:eastAsia="zh-CN"/>
              </w:rPr>
              <w:t>限值</w:t>
            </w:r>
          </w:p>
        </w:tc>
        <w:tc>
          <w:tcPr>
            <w:tcW w:w="7431" w:type="dxa"/>
            <w:gridSpan w:val="5"/>
            <w:tcMar>
              <w:left w:w="57" w:type="dxa"/>
              <w:right w:w="57" w:type="dxa"/>
            </w:tcMar>
            <w:vAlign w:val="center"/>
          </w:tcPr>
          <w:p>
            <w:pPr>
              <w:numPr>
                <w:ilvl w:val="0"/>
                <w:numId w:val="2"/>
              </w:numPr>
              <w:snapToGrid w:val="0"/>
              <w:spacing w:line="480" w:lineRule="exact"/>
              <w:ind w:firstLine="480" w:firstLineChars="200"/>
              <w:rPr>
                <w:rFonts w:hint="eastAsia"/>
                <w:sz w:val="24"/>
              </w:rPr>
            </w:pPr>
            <w:r>
              <w:rPr>
                <w:rFonts w:hint="eastAsia"/>
                <w:bCs/>
                <w:sz w:val="24"/>
              </w:rPr>
              <w:t>废水：</w:t>
            </w:r>
            <w:r>
              <w:rPr>
                <w:sz w:val="24"/>
              </w:rPr>
              <w:t>项目污水应执行“清污分流，</w:t>
            </w:r>
            <w:r>
              <w:rPr>
                <w:rFonts w:hint="eastAsia"/>
                <w:sz w:val="24"/>
              </w:rPr>
              <w:t>雨</w:t>
            </w:r>
            <w:r>
              <w:rPr>
                <w:sz w:val="24"/>
              </w:rPr>
              <w:t>污分流”。项目污水包括生活污水和</w:t>
            </w:r>
            <w:r>
              <w:rPr>
                <w:rFonts w:hint="eastAsia"/>
                <w:sz w:val="24"/>
                <w:lang w:val="en-US" w:eastAsia="zh-CN"/>
              </w:rPr>
              <w:t>保洁</w:t>
            </w:r>
            <w:r>
              <w:rPr>
                <w:sz w:val="24"/>
              </w:rPr>
              <w:t>废水，生活污水</w:t>
            </w:r>
            <w:r>
              <w:rPr>
                <w:rFonts w:hint="eastAsia"/>
                <w:sz w:val="24"/>
                <w:lang w:eastAsia="zh-CN"/>
              </w:rPr>
              <w:t>、</w:t>
            </w:r>
            <w:r>
              <w:rPr>
                <w:rFonts w:hint="eastAsia"/>
                <w:sz w:val="24"/>
                <w:lang w:val="en-US" w:eastAsia="zh-CN"/>
              </w:rPr>
              <w:t>保洁</w:t>
            </w:r>
            <w:r>
              <w:rPr>
                <w:sz w:val="24"/>
              </w:rPr>
              <w:t>废水经化粪池处理后，满足</w:t>
            </w:r>
            <w:r>
              <w:rPr>
                <w:rFonts w:hint="eastAsia"/>
                <w:sz w:val="24"/>
                <w:lang w:val="en-US" w:eastAsia="zh-CN"/>
              </w:rPr>
              <w:t>西部组团</w:t>
            </w:r>
            <w:r>
              <w:rPr>
                <w:rFonts w:hint="eastAsia"/>
                <w:sz w:val="24"/>
              </w:rPr>
              <w:t>污水处理厂</w:t>
            </w:r>
            <w:r>
              <w:rPr>
                <w:sz w:val="24"/>
              </w:rPr>
              <w:t>接</w:t>
            </w:r>
            <w:r>
              <w:rPr>
                <w:rFonts w:hint="eastAsia"/>
                <w:sz w:val="24"/>
              </w:rPr>
              <w:t>管</w:t>
            </w:r>
            <w:r>
              <w:rPr>
                <w:sz w:val="24"/>
              </w:rPr>
              <w:t>标准，未规定的执行《污水综合排放标准》（GB8978-1996）中的三级标准，通过市政污水管网排入</w:t>
            </w:r>
            <w:r>
              <w:rPr>
                <w:rFonts w:hint="eastAsia"/>
                <w:sz w:val="24"/>
                <w:lang w:val="en-US" w:eastAsia="zh-CN"/>
              </w:rPr>
              <w:t>西部组团</w:t>
            </w:r>
            <w:r>
              <w:rPr>
                <w:rFonts w:hint="eastAsia"/>
                <w:sz w:val="24"/>
              </w:rPr>
              <w:t>污水处理厂</w:t>
            </w:r>
            <w:r>
              <w:rPr>
                <w:sz w:val="24"/>
              </w:rPr>
              <w:t>处理后排入</w:t>
            </w:r>
            <w:r>
              <w:rPr>
                <w:rFonts w:hint="eastAsia"/>
                <w:sz w:val="24"/>
                <w:lang w:val="en-US" w:eastAsia="zh-CN"/>
              </w:rPr>
              <w:t>派河</w:t>
            </w:r>
            <w:r>
              <w:rPr>
                <w:rFonts w:hint="eastAsia"/>
                <w:sz w:val="24"/>
              </w:rPr>
              <w:t>。</w:t>
            </w:r>
          </w:p>
          <w:p>
            <w:pPr>
              <w:adjustRightInd w:val="0"/>
              <w:snapToGrid w:val="0"/>
              <w:jc w:val="center"/>
              <w:rPr>
                <w:b/>
                <w:sz w:val="21"/>
                <w:szCs w:val="21"/>
              </w:rPr>
            </w:pPr>
            <w:r>
              <w:rPr>
                <w:rFonts w:hint="eastAsia"/>
                <w:b/>
                <w:sz w:val="21"/>
                <w:szCs w:val="21"/>
              </w:rPr>
              <w:t>表1-</w:t>
            </w:r>
            <w:r>
              <w:rPr>
                <w:rFonts w:hint="eastAsia"/>
                <w:b/>
                <w:sz w:val="21"/>
                <w:szCs w:val="21"/>
                <w:lang w:val="en-US" w:eastAsia="zh-CN"/>
              </w:rPr>
              <w:t>1</w:t>
            </w:r>
            <w:r>
              <w:rPr>
                <w:rFonts w:hint="eastAsia"/>
                <w:b/>
                <w:sz w:val="21"/>
                <w:szCs w:val="21"/>
              </w:rPr>
              <w:t xml:space="preserve"> 废水污染物标准限值  （单位：mg/L,pH为无量纲）</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2"/>
              <w:gridCol w:w="791"/>
              <w:gridCol w:w="826"/>
              <w:gridCol w:w="908"/>
              <w:gridCol w:w="647"/>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pct"/>
                  <w:noWrap w:val="0"/>
                  <w:vAlign w:val="center"/>
                </w:tcPr>
                <w:p>
                  <w:pPr>
                    <w:jc w:val="center"/>
                    <w:rPr>
                      <w:rFonts w:ascii="Times New Roman" w:hAnsi="Times New Roman"/>
                      <w:color w:val="auto"/>
                      <w:spacing w:val="0"/>
                    </w:rPr>
                  </w:pPr>
                  <w:r>
                    <w:rPr>
                      <w:rFonts w:ascii="Times New Roman" w:hAnsi="Times New Roman"/>
                      <w:color w:val="auto"/>
                      <w:spacing w:val="0"/>
                    </w:rPr>
                    <w:t>项目</w:t>
                  </w:r>
                </w:p>
              </w:tc>
              <w:tc>
                <w:tcPr>
                  <w:tcW w:w="541" w:type="pct"/>
                  <w:noWrap w:val="0"/>
                  <w:vAlign w:val="center"/>
                </w:tcPr>
                <w:p>
                  <w:pPr>
                    <w:jc w:val="center"/>
                    <w:rPr>
                      <w:rFonts w:ascii="Times New Roman" w:hAnsi="Times New Roman"/>
                      <w:color w:val="auto"/>
                      <w:spacing w:val="0"/>
                    </w:rPr>
                  </w:pPr>
                  <w:r>
                    <w:rPr>
                      <w:rFonts w:ascii="Times New Roman" w:hAnsi="Times New Roman"/>
                      <w:color w:val="auto"/>
                      <w:spacing w:val="0"/>
                    </w:rPr>
                    <w:t>pH</w:t>
                  </w:r>
                </w:p>
              </w:tc>
              <w:tc>
                <w:tcPr>
                  <w:tcW w:w="565" w:type="pct"/>
                  <w:noWrap w:val="0"/>
                  <w:vAlign w:val="center"/>
                </w:tcPr>
                <w:p>
                  <w:pPr>
                    <w:jc w:val="center"/>
                    <w:rPr>
                      <w:rFonts w:ascii="Times New Roman" w:hAnsi="Times New Roman"/>
                      <w:color w:val="auto"/>
                      <w:spacing w:val="0"/>
                    </w:rPr>
                  </w:pPr>
                  <w:r>
                    <w:rPr>
                      <w:rFonts w:ascii="Times New Roman" w:hAnsi="Times New Roman"/>
                      <w:color w:val="auto"/>
                      <w:spacing w:val="0"/>
                    </w:rPr>
                    <w:t>COD</w:t>
                  </w:r>
                </w:p>
              </w:tc>
              <w:tc>
                <w:tcPr>
                  <w:tcW w:w="621" w:type="pct"/>
                  <w:noWrap w:val="0"/>
                  <w:vAlign w:val="center"/>
                </w:tcPr>
                <w:p>
                  <w:pPr>
                    <w:jc w:val="center"/>
                    <w:rPr>
                      <w:rFonts w:ascii="Times New Roman" w:hAnsi="Times New Roman"/>
                      <w:color w:val="auto"/>
                      <w:spacing w:val="0"/>
                    </w:rPr>
                  </w:pPr>
                  <w:r>
                    <w:rPr>
                      <w:rFonts w:ascii="Times New Roman" w:hAnsi="Times New Roman"/>
                      <w:color w:val="auto"/>
                      <w:spacing w:val="0"/>
                    </w:rPr>
                    <w:t>BOD</w:t>
                  </w:r>
                  <w:r>
                    <w:rPr>
                      <w:rFonts w:ascii="Times New Roman" w:hAnsi="Times New Roman"/>
                      <w:color w:val="auto"/>
                      <w:spacing w:val="0"/>
                      <w:vertAlign w:val="subscript"/>
                    </w:rPr>
                    <w:t>5</w:t>
                  </w:r>
                </w:p>
              </w:tc>
              <w:tc>
                <w:tcPr>
                  <w:tcW w:w="443" w:type="pct"/>
                  <w:noWrap w:val="0"/>
                  <w:vAlign w:val="center"/>
                </w:tcPr>
                <w:p>
                  <w:pPr>
                    <w:jc w:val="center"/>
                    <w:rPr>
                      <w:rFonts w:ascii="Times New Roman" w:hAnsi="Times New Roman"/>
                      <w:color w:val="auto"/>
                      <w:spacing w:val="0"/>
                    </w:rPr>
                  </w:pPr>
                  <w:r>
                    <w:rPr>
                      <w:rFonts w:ascii="Times New Roman" w:hAnsi="Times New Roman"/>
                      <w:color w:val="auto"/>
                      <w:spacing w:val="0"/>
                    </w:rPr>
                    <w:t>SS</w:t>
                  </w:r>
                </w:p>
              </w:tc>
              <w:tc>
                <w:tcPr>
                  <w:tcW w:w="506" w:type="pct"/>
                  <w:noWrap w:val="0"/>
                  <w:vAlign w:val="center"/>
                </w:tcPr>
                <w:p>
                  <w:pPr>
                    <w:jc w:val="center"/>
                    <w:rPr>
                      <w:rFonts w:ascii="Times New Roman" w:hAnsi="Times New Roman"/>
                      <w:color w:val="auto"/>
                      <w:spacing w:val="0"/>
                    </w:rPr>
                  </w:pPr>
                  <w:r>
                    <w:rPr>
                      <w:rFonts w:ascii="Times New Roman" w:hAnsi="Times New Roman"/>
                      <w:color w:val="auto"/>
                      <w:spacing w:val="0"/>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pct"/>
                  <w:noWrap w:val="0"/>
                  <w:vAlign w:val="center"/>
                </w:tcPr>
                <w:p>
                  <w:pPr>
                    <w:jc w:val="center"/>
                    <w:rPr>
                      <w:rFonts w:ascii="Times New Roman" w:hAnsi="Times New Roman"/>
                      <w:color w:val="auto"/>
                      <w:spacing w:val="0"/>
                    </w:rPr>
                  </w:pPr>
                  <w:r>
                    <w:rPr>
                      <w:rFonts w:ascii="Times New Roman" w:hAnsi="Times New Roman"/>
                      <w:color w:val="auto"/>
                      <w:spacing w:val="0"/>
                    </w:rPr>
                    <w:t>《污水综合排放标准》（GB8978-1996）</w:t>
                  </w:r>
                </w:p>
              </w:tc>
              <w:tc>
                <w:tcPr>
                  <w:tcW w:w="541" w:type="pct"/>
                  <w:noWrap w:val="0"/>
                  <w:vAlign w:val="center"/>
                </w:tcPr>
                <w:p>
                  <w:pPr>
                    <w:jc w:val="center"/>
                    <w:rPr>
                      <w:rFonts w:ascii="Times New Roman" w:hAnsi="Times New Roman"/>
                      <w:color w:val="auto"/>
                      <w:spacing w:val="0"/>
                    </w:rPr>
                  </w:pPr>
                  <w:r>
                    <w:rPr>
                      <w:rFonts w:ascii="Times New Roman" w:hAnsi="Times New Roman"/>
                      <w:color w:val="auto"/>
                      <w:spacing w:val="0"/>
                    </w:rPr>
                    <w:t>6~9</w:t>
                  </w:r>
                </w:p>
              </w:tc>
              <w:tc>
                <w:tcPr>
                  <w:tcW w:w="565" w:type="pct"/>
                  <w:noWrap w:val="0"/>
                  <w:vAlign w:val="center"/>
                </w:tcPr>
                <w:p>
                  <w:pPr>
                    <w:jc w:val="center"/>
                    <w:rPr>
                      <w:rFonts w:ascii="Times New Roman" w:hAnsi="Times New Roman"/>
                      <w:color w:val="auto"/>
                      <w:spacing w:val="0"/>
                    </w:rPr>
                  </w:pPr>
                  <w:r>
                    <w:rPr>
                      <w:rFonts w:ascii="Times New Roman" w:hAnsi="Times New Roman"/>
                      <w:color w:val="auto"/>
                      <w:spacing w:val="0"/>
                    </w:rPr>
                    <w:t>500</w:t>
                  </w:r>
                </w:p>
              </w:tc>
              <w:tc>
                <w:tcPr>
                  <w:tcW w:w="621" w:type="pct"/>
                  <w:noWrap w:val="0"/>
                  <w:vAlign w:val="center"/>
                </w:tcPr>
                <w:p>
                  <w:pPr>
                    <w:jc w:val="center"/>
                    <w:rPr>
                      <w:rFonts w:ascii="Times New Roman" w:hAnsi="Times New Roman"/>
                      <w:color w:val="auto"/>
                      <w:spacing w:val="0"/>
                    </w:rPr>
                  </w:pPr>
                  <w:r>
                    <w:rPr>
                      <w:rFonts w:ascii="Times New Roman" w:hAnsi="Times New Roman"/>
                      <w:color w:val="auto"/>
                      <w:spacing w:val="0"/>
                    </w:rPr>
                    <w:t>300</w:t>
                  </w:r>
                </w:p>
              </w:tc>
              <w:tc>
                <w:tcPr>
                  <w:tcW w:w="443" w:type="pct"/>
                  <w:noWrap w:val="0"/>
                  <w:vAlign w:val="center"/>
                </w:tcPr>
                <w:p>
                  <w:pPr>
                    <w:jc w:val="center"/>
                    <w:rPr>
                      <w:rFonts w:ascii="Times New Roman" w:hAnsi="Times New Roman"/>
                      <w:color w:val="auto"/>
                      <w:spacing w:val="0"/>
                    </w:rPr>
                  </w:pPr>
                  <w:r>
                    <w:rPr>
                      <w:rFonts w:ascii="Times New Roman" w:hAnsi="Times New Roman"/>
                      <w:color w:val="auto"/>
                      <w:spacing w:val="0"/>
                    </w:rPr>
                    <w:t>400</w:t>
                  </w:r>
                </w:p>
              </w:tc>
              <w:tc>
                <w:tcPr>
                  <w:tcW w:w="506" w:type="pct"/>
                  <w:noWrap w:val="0"/>
                  <w:vAlign w:val="center"/>
                </w:tcPr>
                <w:p>
                  <w:pPr>
                    <w:jc w:val="center"/>
                    <w:rPr>
                      <w:rFonts w:ascii="Times New Roman" w:hAnsi="Times New Roman"/>
                      <w:color w:val="auto"/>
                      <w:spacing w:val="0"/>
                    </w:rPr>
                  </w:pPr>
                  <w:r>
                    <w:rPr>
                      <w:rFonts w:ascii="Times New Roman" w:hAnsi="Times New Roman"/>
                      <w:color w:val="auto"/>
                      <w:spacing w:val="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pct"/>
                  <w:noWrap w:val="0"/>
                  <w:vAlign w:val="center"/>
                </w:tcPr>
                <w:p>
                  <w:pPr>
                    <w:jc w:val="center"/>
                    <w:rPr>
                      <w:rFonts w:ascii="Times New Roman" w:hAnsi="Times New Roman"/>
                      <w:color w:val="auto"/>
                      <w:spacing w:val="0"/>
                    </w:rPr>
                  </w:pPr>
                  <w:r>
                    <w:rPr>
                      <w:rFonts w:hint="eastAsia" w:ascii="Times New Roman" w:hAnsi="Times New Roman"/>
                      <w:color w:val="auto"/>
                      <w:spacing w:val="0"/>
                    </w:rPr>
                    <w:t>合肥西部组团</w:t>
                  </w:r>
                  <w:r>
                    <w:rPr>
                      <w:rFonts w:ascii="Times New Roman" w:hAnsi="Times New Roman"/>
                      <w:color w:val="auto"/>
                      <w:spacing w:val="0"/>
                    </w:rPr>
                    <w:t>污水处理厂接管标准</w:t>
                  </w:r>
                </w:p>
              </w:tc>
              <w:tc>
                <w:tcPr>
                  <w:tcW w:w="541" w:type="pct"/>
                  <w:noWrap w:val="0"/>
                  <w:vAlign w:val="center"/>
                </w:tcPr>
                <w:p>
                  <w:pPr>
                    <w:jc w:val="center"/>
                    <w:rPr>
                      <w:rFonts w:ascii="Times New Roman" w:hAnsi="Times New Roman"/>
                      <w:color w:val="auto"/>
                      <w:spacing w:val="0"/>
                    </w:rPr>
                  </w:pPr>
                  <w:r>
                    <w:rPr>
                      <w:rFonts w:ascii="Times New Roman" w:hAnsi="Times New Roman"/>
                      <w:color w:val="auto"/>
                      <w:spacing w:val="0"/>
                    </w:rPr>
                    <w:t>6~9</w:t>
                  </w:r>
                </w:p>
              </w:tc>
              <w:tc>
                <w:tcPr>
                  <w:tcW w:w="565" w:type="pct"/>
                  <w:noWrap w:val="0"/>
                  <w:vAlign w:val="center"/>
                </w:tcPr>
                <w:p>
                  <w:pPr>
                    <w:jc w:val="center"/>
                    <w:rPr>
                      <w:rFonts w:ascii="Times New Roman" w:hAnsi="Times New Roman"/>
                      <w:color w:val="auto"/>
                      <w:spacing w:val="0"/>
                    </w:rPr>
                  </w:pPr>
                  <w:r>
                    <w:rPr>
                      <w:rFonts w:hint="eastAsia" w:ascii="Times New Roman" w:hAnsi="Times New Roman"/>
                      <w:color w:val="auto"/>
                      <w:spacing w:val="0"/>
                    </w:rPr>
                    <w:t>350</w:t>
                  </w:r>
                </w:p>
              </w:tc>
              <w:tc>
                <w:tcPr>
                  <w:tcW w:w="621" w:type="pct"/>
                  <w:noWrap w:val="0"/>
                  <w:vAlign w:val="center"/>
                </w:tcPr>
                <w:p>
                  <w:pPr>
                    <w:jc w:val="center"/>
                    <w:rPr>
                      <w:rFonts w:ascii="Times New Roman" w:hAnsi="Times New Roman"/>
                      <w:color w:val="auto"/>
                      <w:spacing w:val="0"/>
                    </w:rPr>
                  </w:pPr>
                  <w:r>
                    <w:rPr>
                      <w:rFonts w:ascii="Times New Roman" w:hAnsi="Times New Roman"/>
                      <w:color w:val="auto"/>
                      <w:spacing w:val="0"/>
                    </w:rPr>
                    <w:t>180</w:t>
                  </w:r>
                </w:p>
              </w:tc>
              <w:tc>
                <w:tcPr>
                  <w:tcW w:w="443" w:type="pct"/>
                  <w:noWrap w:val="0"/>
                  <w:vAlign w:val="center"/>
                </w:tcPr>
                <w:p>
                  <w:pPr>
                    <w:jc w:val="center"/>
                    <w:rPr>
                      <w:rFonts w:ascii="Times New Roman" w:hAnsi="Times New Roman"/>
                      <w:color w:val="auto"/>
                      <w:spacing w:val="0"/>
                    </w:rPr>
                  </w:pPr>
                  <w:r>
                    <w:rPr>
                      <w:rFonts w:ascii="Times New Roman" w:hAnsi="Times New Roman"/>
                      <w:color w:val="auto"/>
                      <w:spacing w:val="0"/>
                    </w:rPr>
                    <w:t>2</w:t>
                  </w:r>
                  <w:r>
                    <w:rPr>
                      <w:rFonts w:hint="eastAsia" w:ascii="Times New Roman" w:hAnsi="Times New Roman"/>
                      <w:color w:val="auto"/>
                      <w:spacing w:val="0"/>
                    </w:rPr>
                    <w:t>50</w:t>
                  </w:r>
                </w:p>
              </w:tc>
              <w:tc>
                <w:tcPr>
                  <w:tcW w:w="506" w:type="pct"/>
                  <w:noWrap w:val="0"/>
                  <w:vAlign w:val="center"/>
                </w:tcPr>
                <w:p>
                  <w:pPr>
                    <w:jc w:val="center"/>
                    <w:rPr>
                      <w:rFonts w:ascii="Times New Roman" w:hAnsi="Times New Roman"/>
                      <w:color w:val="auto"/>
                      <w:spacing w:val="0"/>
                    </w:rPr>
                  </w:pPr>
                  <w:r>
                    <w:rPr>
                      <w:rFonts w:hint="eastAsia" w:ascii="Times New Roman" w:hAnsi="Times New Roman"/>
                      <w:color w:val="auto"/>
                      <w:spacing w:val="0"/>
                    </w:rPr>
                    <w:t>35</w:t>
                  </w:r>
                </w:p>
              </w:tc>
            </w:tr>
          </w:tbl>
          <w:p>
            <w:pPr>
              <w:pStyle w:val="22"/>
              <w:numPr>
                <w:ilvl w:val="0"/>
                <w:numId w:val="0"/>
              </w:numPr>
            </w:pPr>
          </w:p>
          <w:p>
            <w:pPr>
              <w:snapToGrid w:val="0"/>
              <w:spacing w:line="360" w:lineRule="auto"/>
              <w:ind w:firstLine="480" w:firstLineChars="200"/>
              <w:jc w:val="left"/>
              <w:rPr>
                <w:color w:val="000000"/>
                <w:sz w:val="24"/>
              </w:rPr>
            </w:pPr>
            <w:r>
              <w:rPr>
                <w:rFonts w:hint="eastAsia"/>
                <w:bCs/>
                <w:sz w:val="24"/>
              </w:rPr>
              <w:t>2、废气：项目运营期</w:t>
            </w:r>
            <w:r>
              <w:rPr>
                <w:rFonts w:hint="eastAsia"/>
                <w:bCs/>
                <w:sz w:val="24"/>
                <w:lang w:val="en-US" w:eastAsia="zh-CN"/>
              </w:rPr>
              <w:t>打胶、晾干</w:t>
            </w:r>
            <w:r>
              <w:rPr>
                <w:rFonts w:hint="eastAsia"/>
                <w:bCs/>
                <w:sz w:val="24"/>
              </w:rPr>
              <w:t>工序中排放的废气主要为</w:t>
            </w:r>
            <w:r>
              <w:rPr>
                <w:rFonts w:hint="eastAsia"/>
                <w:bCs/>
                <w:sz w:val="24"/>
                <w:lang w:val="en-US" w:eastAsia="zh-CN"/>
              </w:rPr>
              <w:t>非甲烷总烃</w:t>
            </w:r>
            <w:r>
              <w:rPr>
                <w:rFonts w:hint="eastAsia"/>
                <w:bCs/>
                <w:sz w:val="24"/>
              </w:rPr>
              <w:t>，</w:t>
            </w:r>
            <w:r>
              <w:rPr>
                <w:rFonts w:hint="eastAsia"/>
                <w:bCs/>
                <w:sz w:val="24"/>
                <w:lang w:val="en-US" w:eastAsia="zh-CN"/>
              </w:rPr>
              <w:t>验收期间本工序外协，因此无废气产生</w:t>
            </w:r>
            <w:r>
              <w:rPr>
                <w:rFonts w:hint="eastAsia"/>
                <w:bCs/>
                <w:sz w:val="24"/>
              </w:rPr>
              <w:t>。</w:t>
            </w:r>
          </w:p>
          <w:p>
            <w:pPr>
              <w:numPr>
                <w:ilvl w:val="0"/>
                <w:numId w:val="3"/>
              </w:numPr>
              <w:snapToGrid w:val="0"/>
              <w:spacing w:line="360" w:lineRule="auto"/>
              <w:ind w:firstLine="480" w:firstLineChars="200"/>
              <w:rPr>
                <w:color w:val="000000"/>
                <w:sz w:val="24"/>
              </w:rPr>
            </w:pPr>
            <w:r>
              <w:rPr>
                <w:rFonts w:hint="eastAsia"/>
                <w:color w:val="000000"/>
                <w:sz w:val="24"/>
              </w:rPr>
              <w:t>噪声：</w:t>
            </w:r>
            <w:r>
              <w:rPr>
                <w:rFonts w:hint="eastAsia"/>
                <w:sz w:val="24"/>
              </w:rPr>
              <w:t xml:space="preserve">项目营运期厂界噪声排放执行《工业企业厂界环境噪声排放标准》(GB12348-2008)中的 </w:t>
            </w:r>
            <w:r>
              <w:rPr>
                <w:rFonts w:hint="eastAsia"/>
                <w:sz w:val="24"/>
                <w:lang w:val="en-US" w:eastAsia="zh-CN"/>
              </w:rPr>
              <w:t>2</w:t>
            </w:r>
            <w:r>
              <w:rPr>
                <w:rFonts w:hint="eastAsia"/>
                <w:sz w:val="24"/>
              </w:rPr>
              <w:t xml:space="preserve"> 类标准。</w:t>
            </w:r>
            <w:r>
              <w:rPr>
                <w:rFonts w:hint="eastAsia"/>
                <w:color w:val="000000"/>
                <w:sz w:val="24"/>
              </w:rPr>
              <w:t>具体见表1-</w:t>
            </w:r>
            <w:r>
              <w:rPr>
                <w:rFonts w:hint="eastAsia"/>
                <w:color w:val="000000"/>
                <w:sz w:val="24"/>
                <w:lang w:val="en-US" w:eastAsia="zh-CN"/>
              </w:rPr>
              <w:t>3</w:t>
            </w:r>
            <w:r>
              <w:rPr>
                <w:rFonts w:hint="eastAsia"/>
                <w:color w:val="000000"/>
                <w:sz w:val="24"/>
              </w:rPr>
              <w:t>。</w:t>
            </w:r>
          </w:p>
          <w:p>
            <w:pPr>
              <w:spacing w:line="360" w:lineRule="auto"/>
              <w:jc w:val="center"/>
              <w:rPr>
                <w:b/>
                <w:bCs/>
                <w:szCs w:val="21"/>
              </w:rPr>
            </w:pPr>
            <w:r>
              <w:rPr>
                <w:b/>
                <w:szCs w:val="21"/>
              </w:rPr>
              <w:t>表1-</w:t>
            </w:r>
            <w:r>
              <w:rPr>
                <w:rFonts w:hint="eastAsia"/>
                <w:b/>
                <w:szCs w:val="21"/>
              </w:rPr>
              <w:t>2</w:t>
            </w:r>
            <w:r>
              <w:rPr>
                <w:b/>
                <w:szCs w:val="21"/>
              </w:rPr>
              <w:t xml:space="preserve">  噪声排放执行标准 </w:t>
            </w:r>
            <w:r>
              <w:rPr>
                <w:b/>
                <w:bCs/>
                <w:szCs w:val="21"/>
              </w:rPr>
              <w:t>单位：dB(A)</w:t>
            </w:r>
          </w:p>
          <w:tbl>
            <w:tblPr>
              <w:tblStyle w:val="15"/>
              <w:tblW w:w="0" w:type="auto"/>
              <w:jc w:val="center"/>
              <w:tblBorders>
                <w:top w:val="single" w:color="auto" w:sz="12"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49"/>
              <w:gridCol w:w="1810"/>
              <w:gridCol w:w="2843"/>
            </w:tblGrid>
            <w:tr>
              <w:tblPrEx>
                <w:tblBorders>
                  <w:top w:val="single" w:color="auto" w:sz="12"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2649" w:type="dxa"/>
                  <w:tcBorders>
                    <w:top w:val="single" w:color="auto" w:sz="12" w:space="0"/>
                    <w:left w:val="single" w:color="auto" w:sz="6" w:space="0"/>
                    <w:bottom w:val="single" w:color="auto" w:sz="6" w:space="0"/>
                    <w:right w:val="single" w:color="auto" w:sz="6" w:space="0"/>
                  </w:tcBorders>
                  <w:noWrap w:val="0"/>
                  <w:vAlign w:val="center"/>
                </w:tcPr>
                <w:p>
                  <w:pPr>
                    <w:pStyle w:val="29"/>
                    <w:spacing w:line="360" w:lineRule="exact"/>
                    <w:rPr>
                      <w:spacing w:val="-2"/>
                      <w:kern w:val="0"/>
                      <w:sz w:val="21"/>
                      <w:szCs w:val="21"/>
                    </w:rPr>
                  </w:pPr>
                  <w:r>
                    <w:rPr>
                      <w:spacing w:val="-2"/>
                      <w:kern w:val="0"/>
                      <w:sz w:val="21"/>
                      <w:szCs w:val="21"/>
                    </w:rPr>
                    <w:t>标准类别</w:t>
                  </w:r>
                </w:p>
              </w:tc>
              <w:tc>
                <w:tcPr>
                  <w:tcW w:w="1810" w:type="dxa"/>
                  <w:tcBorders>
                    <w:top w:val="single" w:color="auto" w:sz="12" w:space="0"/>
                    <w:left w:val="single" w:color="auto" w:sz="6" w:space="0"/>
                    <w:bottom w:val="single" w:color="auto" w:sz="6" w:space="0"/>
                    <w:right w:val="single" w:color="auto" w:sz="6" w:space="0"/>
                  </w:tcBorders>
                  <w:noWrap w:val="0"/>
                  <w:vAlign w:val="center"/>
                </w:tcPr>
                <w:p>
                  <w:pPr>
                    <w:pStyle w:val="29"/>
                    <w:spacing w:line="360" w:lineRule="exact"/>
                    <w:rPr>
                      <w:spacing w:val="-2"/>
                      <w:kern w:val="0"/>
                      <w:sz w:val="21"/>
                      <w:szCs w:val="21"/>
                    </w:rPr>
                  </w:pPr>
                  <w:r>
                    <w:rPr>
                      <w:spacing w:val="-2"/>
                      <w:kern w:val="0"/>
                      <w:sz w:val="21"/>
                      <w:szCs w:val="21"/>
                    </w:rPr>
                    <w:t>昼间</w:t>
                  </w:r>
                </w:p>
              </w:tc>
              <w:tc>
                <w:tcPr>
                  <w:tcW w:w="2843" w:type="dxa"/>
                  <w:tcBorders>
                    <w:top w:val="single" w:color="auto" w:sz="12" w:space="0"/>
                    <w:left w:val="single" w:color="auto" w:sz="6" w:space="0"/>
                    <w:bottom w:val="single" w:color="auto" w:sz="6" w:space="0"/>
                    <w:right w:val="single" w:color="auto" w:sz="6" w:space="0"/>
                  </w:tcBorders>
                  <w:noWrap w:val="0"/>
                  <w:vAlign w:val="center"/>
                </w:tcPr>
                <w:p>
                  <w:pPr>
                    <w:pStyle w:val="29"/>
                    <w:spacing w:line="360" w:lineRule="exact"/>
                    <w:rPr>
                      <w:spacing w:val="-2"/>
                      <w:kern w:val="0"/>
                      <w:sz w:val="21"/>
                      <w:szCs w:val="21"/>
                    </w:rPr>
                  </w:pPr>
                  <w:r>
                    <w:rPr>
                      <w:spacing w:val="-2"/>
                      <w:kern w:val="0"/>
                      <w:sz w:val="21"/>
                      <w:szCs w:val="21"/>
                    </w:rPr>
                    <w:t>夜间</w:t>
                  </w:r>
                </w:p>
              </w:tc>
            </w:tr>
            <w:tr>
              <w:tblPrEx>
                <w:tblBorders>
                  <w:top w:val="single" w:color="auto" w:sz="12"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2649" w:type="dxa"/>
                  <w:tcBorders>
                    <w:top w:val="single" w:color="auto" w:sz="6" w:space="0"/>
                    <w:left w:val="single" w:color="auto" w:sz="6" w:space="0"/>
                    <w:bottom w:val="single" w:color="auto" w:sz="6" w:space="0"/>
                    <w:right w:val="single" w:color="auto" w:sz="6" w:space="0"/>
                  </w:tcBorders>
                  <w:noWrap w:val="0"/>
                  <w:vAlign w:val="center"/>
                </w:tcPr>
                <w:p>
                  <w:pPr>
                    <w:pStyle w:val="29"/>
                    <w:spacing w:line="360" w:lineRule="exact"/>
                    <w:rPr>
                      <w:spacing w:val="-2"/>
                      <w:kern w:val="0"/>
                      <w:sz w:val="21"/>
                      <w:szCs w:val="21"/>
                    </w:rPr>
                  </w:pPr>
                  <w:r>
                    <w:rPr>
                      <w:rFonts w:hint="eastAsia"/>
                      <w:spacing w:val="-2"/>
                      <w:kern w:val="0"/>
                      <w:sz w:val="21"/>
                      <w:szCs w:val="21"/>
                    </w:rPr>
                    <w:t xml:space="preserve"> GB12348-2008 </w:t>
                  </w:r>
                  <w:r>
                    <w:rPr>
                      <w:rFonts w:hint="eastAsia"/>
                      <w:spacing w:val="-2"/>
                      <w:kern w:val="0"/>
                      <w:sz w:val="21"/>
                      <w:szCs w:val="21"/>
                      <w:lang w:val="en-US" w:eastAsia="zh-CN"/>
                    </w:rPr>
                    <w:t>2</w:t>
                  </w:r>
                  <w:r>
                    <w:rPr>
                      <w:spacing w:val="-2"/>
                      <w:kern w:val="0"/>
                      <w:sz w:val="21"/>
                      <w:szCs w:val="21"/>
                    </w:rPr>
                    <w:t>类</w:t>
                  </w:r>
                </w:p>
              </w:tc>
              <w:tc>
                <w:tcPr>
                  <w:tcW w:w="1810" w:type="dxa"/>
                  <w:tcBorders>
                    <w:top w:val="single" w:color="auto" w:sz="6" w:space="0"/>
                    <w:left w:val="single" w:color="auto" w:sz="6" w:space="0"/>
                    <w:bottom w:val="single" w:color="auto" w:sz="6" w:space="0"/>
                    <w:right w:val="single" w:color="auto" w:sz="6" w:space="0"/>
                  </w:tcBorders>
                  <w:noWrap w:val="0"/>
                  <w:vAlign w:val="center"/>
                </w:tcPr>
                <w:p>
                  <w:pPr>
                    <w:pStyle w:val="29"/>
                    <w:spacing w:line="360" w:lineRule="exact"/>
                    <w:rPr>
                      <w:rFonts w:hint="eastAsia" w:eastAsia="宋体"/>
                      <w:spacing w:val="-2"/>
                      <w:kern w:val="0"/>
                      <w:sz w:val="21"/>
                      <w:szCs w:val="21"/>
                      <w:lang w:eastAsia="zh-CN"/>
                    </w:rPr>
                  </w:pPr>
                  <w:r>
                    <w:rPr>
                      <w:rFonts w:hint="eastAsia"/>
                      <w:spacing w:val="-2"/>
                      <w:kern w:val="0"/>
                      <w:sz w:val="21"/>
                      <w:szCs w:val="21"/>
                    </w:rPr>
                    <w:t>6</w:t>
                  </w:r>
                  <w:r>
                    <w:rPr>
                      <w:rFonts w:hint="eastAsia"/>
                      <w:spacing w:val="-2"/>
                      <w:kern w:val="0"/>
                      <w:sz w:val="21"/>
                      <w:szCs w:val="21"/>
                      <w:lang w:val="en-US" w:eastAsia="zh-CN"/>
                    </w:rPr>
                    <w:t>0</w:t>
                  </w:r>
                </w:p>
              </w:tc>
              <w:tc>
                <w:tcPr>
                  <w:tcW w:w="2843" w:type="dxa"/>
                  <w:tcBorders>
                    <w:top w:val="single" w:color="auto" w:sz="6" w:space="0"/>
                    <w:left w:val="single" w:color="auto" w:sz="6" w:space="0"/>
                    <w:bottom w:val="single" w:color="auto" w:sz="6" w:space="0"/>
                    <w:right w:val="single" w:color="auto" w:sz="6" w:space="0"/>
                  </w:tcBorders>
                  <w:noWrap w:val="0"/>
                  <w:vAlign w:val="center"/>
                </w:tcPr>
                <w:p>
                  <w:pPr>
                    <w:pStyle w:val="29"/>
                    <w:spacing w:line="360" w:lineRule="exact"/>
                    <w:rPr>
                      <w:rFonts w:hint="eastAsia" w:eastAsia="宋体"/>
                      <w:spacing w:val="-2"/>
                      <w:kern w:val="0"/>
                      <w:sz w:val="21"/>
                      <w:szCs w:val="21"/>
                      <w:lang w:eastAsia="zh-CN"/>
                    </w:rPr>
                  </w:pPr>
                  <w:r>
                    <w:rPr>
                      <w:rFonts w:hint="eastAsia"/>
                      <w:spacing w:val="-2"/>
                      <w:kern w:val="0"/>
                      <w:sz w:val="21"/>
                      <w:szCs w:val="21"/>
                    </w:rPr>
                    <w:t>5</w:t>
                  </w:r>
                  <w:r>
                    <w:rPr>
                      <w:rFonts w:hint="eastAsia"/>
                      <w:spacing w:val="-2"/>
                      <w:kern w:val="0"/>
                      <w:sz w:val="21"/>
                      <w:szCs w:val="21"/>
                      <w:lang w:val="en-US" w:eastAsia="zh-CN"/>
                    </w:rPr>
                    <w:t>0</w:t>
                  </w:r>
                </w:p>
              </w:tc>
            </w:tr>
          </w:tbl>
          <w:p>
            <w:pPr>
              <w:numPr>
                <w:ilvl w:val="0"/>
                <w:numId w:val="3"/>
              </w:numPr>
              <w:spacing w:line="360" w:lineRule="auto"/>
              <w:ind w:left="0" w:leftChars="0" w:firstLine="480" w:firstLineChars="200"/>
              <w:jc w:val="left"/>
              <w:rPr>
                <w:rFonts w:hint="eastAsia"/>
                <w:color w:val="000000"/>
                <w:sz w:val="24"/>
              </w:rPr>
            </w:pPr>
            <w:r>
              <w:rPr>
                <w:rFonts w:hint="eastAsia"/>
                <w:color w:val="000000"/>
                <w:sz w:val="24"/>
              </w:rPr>
              <w:t>固废：一般工业固体废物贮存、处置评价，执行《一般工业固体废物贮存、处置场污染控制标准》(GB18599-2001）及其2013年修改单要求，危险废物处理及处置执行《危险废物贮存污染控制标准》 (GB18597-2001)及修改清单。</w:t>
            </w:r>
          </w:p>
        </w:tc>
      </w:tr>
    </w:tbl>
    <w:tbl>
      <w:tblPr>
        <w:tblStyle w:val="16"/>
        <w:tblW w:w="9525" w:type="dxa"/>
        <w:tblInd w:w="-4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7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Align w:val="center"/>
          </w:tcPr>
          <w:p>
            <w:pPr>
              <w:tabs>
                <w:tab w:val="left" w:pos="3564"/>
              </w:tabs>
              <w:jc w:val="center"/>
              <w:rPr>
                <w:rFonts w:hint="eastAsia"/>
                <w:b/>
                <w:color w:val="000000"/>
                <w:sz w:val="28"/>
                <w:szCs w:val="28"/>
                <w:vertAlign w:val="baseline"/>
              </w:rPr>
            </w:pPr>
            <w:r>
              <w:rPr>
                <w:color w:val="000000"/>
                <w:sz w:val="24"/>
              </w:rPr>
              <w:t>总量控制指标</w:t>
            </w:r>
          </w:p>
        </w:tc>
        <w:tc>
          <w:tcPr>
            <w:tcW w:w="7425" w:type="dxa"/>
            <w:vAlign w:val="center"/>
          </w:tcPr>
          <w:p>
            <w:pPr>
              <w:spacing w:line="460" w:lineRule="exact"/>
              <w:ind w:firstLine="480" w:firstLineChars="200"/>
              <w:jc w:val="left"/>
              <w:rPr>
                <w:sz w:val="24"/>
              </w:rPr>
            </w:pPr>
            <w:r>
              <w:rPr>
                <w:sz w:val="24"/>
              </w:rPr>
              <w:t>项目废水主要来源于生活污水</w:t>
            </w:r>
            <w:r>
              <w:rPr>
                <w:rFonts w:hint="eastAsia"/>
                <w:sz w:val="24"/>
                <w:lang w:eastAsia="zh-CN"/>
              </w:rPr>
              <w:t>、</w:t>
            </w:r>
            <w:r>
              <w:rPr>
                <w:rFonts w:hint="eastAsia"/>
                <w:sz w:val="24"/>
                <w:lang w:val="en-US" w:eastAsia="zh-CN"/>
              </w:rPr>
              <w:t>保洁</w:t>
            </w:r>
            <w:r>
              <w:rPr>
                <w:sz w:val="24"/>
              </w:rPr>
              <w:t>废水</w:t>
            </w:r>
            <w:r>
              <w:rPr>
                <w:rFonts w:hint="eastAsia"/>
                <w:sz w:val="24"/>
                <w:lang w:eastAsia="zh-CN"/>
              </w:rPr>
              <w:t>，</w:t>
            </w:r>
            <w:r>
              <w:rPr>
                <w:sz w:val="24"/>
              </w:rPr>
              <w:t>生活污水</w:t>
            </w:r>
            <w:r>
              <w:rPr>
                <w:rFonts w:hint="eastAsia"/>
                <w:sz w:val="24"/>
                <w:lang w:eastAsia="zh-CN"/>
              </w:rPr>
              <w:t>、</w:t>
            </w:r>
            <w:r>
              <w:rPr>
                <w:rFonts w:hint="eastAsia"/>
                <w:sz w:val="24"/>
                <w:lang w:val="en-US" w:eastAsia="zh-CN"/>
              </w:rPr>
              <w:t>保洁</w:t>
            </w:r>
            <w:r>
              <w:rPr>
                <w:sz w:val="24"/>
              </w:rPr>
              <w:t>废水经化粪池处理后，满足</w:t>
            </w:r>
            <w:r>
              <w:rPr>
                <w:rFonts w:hint="eastAsia"/>
                <w:sz w:val="24"/>
                <w:lang w:val="en-US" w:eastAsia="zh-CN"/>
              </w:rPr>
              <w:t>西部组团</w:t>
            </w:r>
            <w:r>
              <w:rPr>
                <w:rFonts w:hint="eastAsia"/>
                <w:sz w:val="24"/>
              </w:rPr>
              <w:t>污水处理厂</w:t>
            </w:r>
            <w:r>
              <w:rPr>
                <w:sz w:val="24"/>
              </w:rPr>
              <w:t>接</w:t>
            </w:r>
            <w:r>
              <w:rPr>
                <w:rFonts w:hint="eastAsia"/>
                <w:sz w:val="24"/>
              </w:rPr>
              <w:t>管</w:t>
            </w:r>
            <w:r>
              <w:rPr>
                <w:sz w:val="24"/>
              </w:rPr>
              <w:t>标准，未规定的执行《污水综合排放标准》（GB8978-1996）中的三级标准，通过市政污水管网排入</w:t>
            </w:r>
            <w:r>
              <w:rPr>
                <w:rFonts w:hint="eastAsia"/>
                <w:sz w:val="24"/>
                <w:lang w:val="en-US" w:eastAsia="zh-CN"/>
              </w:rPr>
              <w:t>西部组团</w:t>
            </w:r>
            <w:r>
              <w:rPr>
                <w:rFonts w:hint="eastAsia"/>
                <w:sz w:val="24"/>
              </w:rPr>
              <w:t>污水处理厂</w:t>
            </w:r>
            <w:r>
              <w:rPr>
                <w:sz w:val="24"/>
              </w:rPr>
              <w:t>处理</w:t>
            </w:r>
            <w:r>
              <w:rPr>
                <w:rFonts w:hint="eastAsia"/>
                <w:sz w:val="24"/>
              </w:rPr>
              <w:t>，总量控制指标纳入</w:t>
            </w:r>
            <w:r>
              <w:rPr>
                <w:rFonts w:hint="eastAsia"/>
                <w:sz w:val="24"/>
                <w:lang w:val="en-US" w:eastAsia="zh-CN"/>
              </w:rPr>
              <w:t>西部组团</w:t>
            </w:r>
            <w:r>
              <w:rPr>
                <w:rFonts w:hint="eastAsia"/>
                <w:sz w:val="24"/>
              </w:rPr>
              <w:t>污水理厂，本次验收不对废水污染物总量进行核算</w:t>
            </w:r>
            <w:r>
              <w:rPr>
                <w:sz w:val="24"/>
              </w:rPr>
              <w:t>。</w:t>
            </w:r>
          </w:p>
          <w:p>
            <w:pPr>
              <w:tabs>
                <w:tab w:val="left" w:pos="3564"/>
              </w:tabs>
              <w:jc w:val="center"/>
              <w:rPr>
                <w:rFonts w:hint="eastAsia"/>
                <w:b/>
                <w:color w:val="000000"/>
                <w:sz w:val="28"/>
                <w:szCs w:val="28"/>
                <w:vertAlign w:val="baseline"/>
              </w:rPr>
            </w:pPr>
          </w:p>
        </w:tc>
      </w:tr>
    </w:tbl>
    <w:p>
      <w:pPr>
        <w:tabs>
          <w:tab w:val="left" w:pos="3564"/>
        </w:tabs>
        <w:rPr>
          <w:rFonts w:hint="eastAsia"/>
          <w:b/>
          <w:color w:val="000000"/>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tabs>
          <w:tab w:val="left" w:pos="3564"/>
        </w:tabs>
        <w:rPr>
          <w:b/>
          <w:color w:val="000000"/>
          <w:sz w:val="28"/>
          <w:szCs w:val="28"/>
        </w:rPr>
      </w:pPr>
      <w:r>
        <w:rPr>
          <w:rFonts w:hint="eastAsia"/>
          <w:b/>
          <w:color w:val="000000"/>
          <w:sz w:val="28"/>
          <w:szCs w:val="28"/>
        </w:rPr>
        <w:t>表二、建设项目基本内容</w:t>
      </w:r>
    </w:p>
    <w:tbl>
      <w:tblPr>
        <w:tblStyle w:val="15"/>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8" w:hRule="atLeast"/>
          <w:jc w:val="center"/>
        </w:trPr>
        <w:tc>
          <w:tcPr>
            <w:tcW w:w="9430" w:type="dxa"/>
            <w:vAlign w:val="top"/>
          </w:tcPr>
          <w:p>
            <w:pPr>
              <w:pStyle w:val="3"/>
              <w:keepLines w:val="0"/>
              <w:adjustRightInd/>
              <w:snapToGrid/>
              <w:spacing w:after="0"/>
              <w:ind w:left="0"/>
              <w:jc w:val="left"/>
              <w:textAlignment w:val="auto"/>
              <w:rPr>
                <w:rFonts w:ascii="Times New Roman" w:hAnsi="Times New Roman"/>
                <w:b/>
                <w:bCs/>
                <w:sz w:val="28"/>
                <w:szCs w:val="28"/>
              </w:rPr>
            </w:pPr>
            <w:r>
              <w:rPr>
                <w:rFonts w:hint="eastAsia" w:ascii="Times New Roman" w:hAnsi="Times New Roman"/>
                <w:b/>
                <w:bCs/>
                <w:sz w:val="28"/>
                <w:szCs w:val="28"/>
              </w:rPr>
              <w:t>2</w:t>
            </w:r>
            <w:r>
              <w:rPr>
                <w:rFonts w:ascii="Times New Roman" w:hAnsi="Times New Roman"/>
                <w:b/>
                <w:bCs/>
                <w:sz w:val="28"/>
                <w:szCs w:val="28"/>
              </w:rPr>
              <w:t>.1</w:t>
            </w:r>
            <w:r>
              <w:rPr>
                <w:rFonts w:hint="eastAsia" w:ascii="Times New Roman" w:hAnsi="Times New Roman"/>
                <w:b/>
                <w:bCs/>
                <w:sz w:val="28"/>
                <w:szCs w:val="28"/>
              </w:rPr>
              <w:t>、建设项目</w:t>
            </w:r>
            <w:r>
              <w:rPr>
                <w:rFonts w:ascii="Times New Roman" w:hAnsi="Times New Roman"/>
                <w:b/>
                <w:bCs/>
                <w:sz w:val="28"/>
                <w:szCs w:val="28"/>
              </w:rPr>
              <w:t>基本情况</w:t>
            </w:r>
          </w:p>
          <w:p>
            <w:pPr>
              <w:pStyle w:val="6"/>
              <w:kinsoku w:val="0"/>
              <w:overflowPunct w:val="0"/>
              <w:spacing w:after="0" w:line="360" w:lineRule="auto"/>
              <w:ind w:firstLine="480" w:firstLineChars="200"/>
              <w:rPr>
                <w:sz w:val="24"/>
              </w:rPr>
            </w:pPr>
            <w:r>
              <w:rPr>
                <w:rFonts w:hint="eastAsia"/>
                <w:sz w:val="24"/>
              </w:rPr>
              <w:t>（1）项目名称：</w:t>
            </w:r>
            <w:r>
              <w:rPr>
                <w:rFonts w:hint="eastAsia"/>
                <w:kern w:val="0"/>
                <w:sz w:val="24"/>
              </w:rPr>
              <w:t>年产7.5万m</w:t>
            </w:r>
            <w:r>
              <w:rPr>
                <w:rFonts w:hint="eastAsia"/>
                <w:kern w:val="0"/>
                <w:sz w:val="24"/>
                <w:vertAlign w:val="superscript"/>
              </w:rPr>
              <w:t>2</w:t>
            </w:r>
            <w:r>
              <w:rPr>
                <w:rFonts w:hint="eastAsia"/>
                <w:kern w:val="0"/>
                <w:sz w:val="24"/>
              </w:rPr>
              <w:t>铝合金门窗加工生产项目</w:t>
            </w:r>
          </w:p>
          <w:p>
            <w:pPr>
              <w:pStyle w:val="6"/>
              <w:kinsoku w:val="0"/>
              <w:overflowPunct w:val="0"/>
              <w:spacing w:after="0" w:line="360" w:lineRule="auto"/>
              <w:ind w:firstLine="480" w:firstLineChars="200"/>
              <w:rPr>
                <w:sz w:val="24"/>
              </w:rPr>
            </w:pPr>
            <w:r>
              <w:rPr>
                <w:sz w:val="24"/>
              </w:rPr>
              <w:t>（</w:t>
            </w:r>
            <w:r>
              <w:rPr>
                <w:rFonts w:eastAsia="Times New Roman"/>
                <w:sz w:val="24"/>
              </w:rPr>
              <w:t>2</w:t>
            </w:r>
            <w:r>
              <w:rPr>
                <w:sz w:val="24"/>
              </w:rPr>
              <w:t>）建设单位：</w:t>
            </w:r>
            <w:r>
              <w:rPr>
                <w:rFonts w:hint="eastAsia"/>
                <w:kern w:val="0"/>
                <w:sz w:val="24"/>
              </w:rPr>
              <w:t>安徽常宇门窗有限公司</w:t>
            </w:r>
          </w:p>
          <w:p>
            <w:pPr>
              <w:pStyle w:val="6"/>
              <w:tabs>
                <w:tab w:val="left" w:pos="2907"/>
              </w:tabs>
              <w:kinsoku w:val="0"/>
              <w:overflowPunct w:val="0"/>
              <w:spacing w:after="0" w:line="360" w:lineRule="auto"/>
              <w:ind w:firstLine="480" w:firstLineChars="200"/>
              <w:rPr>
                <w:sz w:val="24"/>
              </w:rPr>
            </w:pPr>
            <w:r>
              <w:rPr>
                <w:sz w:val="24"/>
              </w:rPr>
              <w:t>（</w:t>
            </w:r>
            <w:r>
              <w:rPr>
                <w:rFonts w:eastAsia="Times New Roman"/>
                <w:sz w:val="24"/>
              </w:rPr>
              <w:t>3</w:t>
            </w:r>
            <w:r>
              <w:rPr>
                <w:sz w:val="24"/>
              </w:rPr>
              <w:t>）项目性质：</w:t>
            </w:r>
            <w:r>
              <w:rPr>
                <w:rFonts w:hint="eastAsia"/>
                <w:sz w:val="24"/>
              </w:rPr>
              <w:t>新建</w:t>
            </w:r>
          </w:p>
          <w:p>
            <w:pPr>
              <w:spacing w:line="360" w:lineRule="auto"/>
              <w:ind w:firstLine="480" w:firstLineChars="200"/>
              <w:rPr>
                <w:rFonts w:hint="eastAsia" w:eastAsia="宋体"/>
                <w:sz w:val="24"/>
                <w:lang w:eastAsia="zh-CN"/>
              </w:rPr>
            </w:pPr>
            <w:r>
              <w:rPr>
                <w:sz w:val="24"/>
              </w:rPr>
              <w:t>（</w:t>
            </w:r>
            <w:r>
              <w:rPr>
                <w:rFonts w:eastAsia="Times New Roman"/>
                <w:sz w:val="24"/>
              </w:rPr>
              <w:t>4</w:t>
            </w:r>
            <w:r>
              <w:rPr>
                <w:spacing w:val="-10"/>
                <w:sz w:val="24"/>
              </w:rPr>
              <w:t>）</w:t>
            </w:r>
            <w:r>
              <w:rPr>
                <w:spacing w:val="-1"/>
                <w:sz w:val="24"/>
              </w:rPr>
              <w:t>建设地址</w:t>
            </w:r>
            <w:r>
              <w:rPr>
                <w:spacing w:val="-9"/>
                <w:sz w:val="24"/>
              </w:rPr>
              <w:t>：</w:t>
            </w:r>
            <w:r>
              <w:rPr>
                <w:rFonts w:hint="eastAsia"/>
                <w:kern w:val="0"/>
                <w:sz w:val="24"/>
              </w:rPr>
              <w:t>合肥市肥西县桃花工业园繁华大道与方兴大道交口东南侧综合楼（北纬</w:t>
            </w:r>
            <w:r>
              <w:rPr>
                <w:rFonts w:hint="eastAsia"/>
                <w:kern w:val="0"/>
                <w:sz w:val="24"/>
                <w:lang w:val="en-US" w:eastAsia="zh-CN"/>
              </w:rPr>
              <w:t>31.777134</w:t>
            </w:r>
            <w:r>
              <w:rPr>
                <w:rFonts w:hint="eastAsia"/>
                <w:kern w:val="0"/>
                <w:sz w:val="24"/>
              </w:rPr>
              <w:t>东经</w:t>
            </w:r>
            <w:r>
              <w:rPr>
                <w:rFonts w:hint="eastAsia"/>
                <w:kern w:val="0"/>
                <w:sz w:val="24"/>
                <w:lang w:val="en-US" w:eastAsia="zh-CN"/>
              </w:rPr>
              <w:t>117.106287</w:t>
            </w:r>
            <w:r>
              <w:rPr>
                <w:rFonts w:hint="eastAsia"/>
                <w:kern w:val="0"/>
                <w:sz w:val="24"/>
              </w:rPr>
              <w:t>）</w:t>
            </w:r>
            <w:r>
              <w:rPr>
                <w:color w:val="000000"/>
                <w:sz w:val="24"/>
              </w:rPr>
              <w:t>。</w:t>
            </w:r>
            <w:r>
              <w:rPr>
                <w:sz w:val="24"/>
              </w:rPr>
              <w:t>项目地理位置</w:t>
            </w:r>
            <w:r>
              <w:rPr>
                <w:rFonts w:hint="eastAsia"/>
                <w:sz w:val="24"/>
              </w:rPr>
              <w:t>图见</w:t>
            </w:r>
            <w:r>
              <w:rPr>
                <w:rFonts w:hint="eastAsia"/>
                <w:sz w:val="24"/>
                <w:lang w:val="en-US" w:eastAsia="zh-CN"/>
              </w:rPr>
              <w:t>附图</w:t>
            </w:r>
            <w:r>
              <w:rPr>
                <w:rFonts w:hint="eastAsia"/>
                <w:sz w:val="24"/>
              </w:rPr>
              <w:t>1</w:t>
            </w:r>
            <w:r>
              <w:rPr>
                <w:rFonts w:hint="eastAsia"/>
                <w:sz w:val="24"/>
                <w:lang w:eastAsia="zh-CN"/>
              </w:rPr>
              <w:t>。</w:t>
            </w:r>
          </w:p>
          <w:p>
            <w:pPr>
              <w:pStyle w:val="6"/>
              <w:kinsoku w:val="0"/>
              <w:overflowPunct w:val="0"/>
              <w:spacing w:after="0" w:line="360" w:lineRule="auto"/>
              <w:ind w:firstLine="480" w:firstLineChars="200"/>
              <w:rPr>
                <w:sz w:val="24"/>
              </w:rPr>
            </w:pPr>
            <w:r>
              <w:rPr>
                <w:sz w:val="24"/>
              </w:rPr>
              <w:t>（5）建设投资：设计总投资</w:t>
            </w:r>
            <w:r>
              <w:rPr>
                <w:rFonts w:hint="eastAsia"/>
                <w:sz w:val="24"/>
                <w:lang w:val="en-US" w:eastAsia="zh-CN"/>
              </w:rPr>
              <w:t>5</w:t>
            </w:r>
            <w:r>
              <w:rPr>
                <w:sz w:val="24"/>
              </w:rPr>
              <w:t>00</w:t>
            </w:r>
            <w:r>
              <w:rPr>
                <w:rFonts w:hint="eastAsia"/>
                <w:sz w:val="24"/>
              </w:rPr>
              <w:t>万</w:t>
            </w:r>
            <w:r>
              <w:rPr>
                <w:sz w:val="24"/>
              </w:rPr>
              <w:t>元，其中环保投资</w:t>
            </w:r>
            <w:r>
              <w:rPr>
                <w:rFonts w:hint="eastAsia"/>
                <w:sz w:val="24"/>
                <w:lang w:val="en-US" w:eastAsia="zh-CN"/>
              </w:rPr>
              <w:t>7</w:t>
            </w:r>
            <w:r>
              <w:rPr>
                <w:sz w:val="24"/>
              </w:rPr>
              <w:t>万元，占总投资的</w:t>
            </w:r>
            <w:r>
              <w:rPr>
                <w:rFonts w:hint="eastAsia"/>
                <w:sz w:val="24"/>
              </w:rPr>
              <w:t>1</w:t>
            </w:r>
            <w:r>
              <w:rPr>
                <w:sz w:val="24"/>
              </w:rPr>
              <w:t>.</w:t>
            </w:r>
            <w:r>
              <w:rPr>
                <w:rFonts w:hint="eastAsia"/>
                <w:sz w:val="24"/>
                <w:lang w:val="en-US" w:eastAsia="zh-CN"/>
              </w:rPr>
              <w:t>4</w:t>
            </w:r>
            <w:r>
              <w:rPr>
                <w:sz w:val="24"/>
              </w:rPr>
              <w:t>%；实际总投资</w:t>
            </w:r>
            <w:r>
              <w:rPr>
                <w:rFonts w:hint="eastAsia"/>
                <w:sz w:val="24"/>
                <w:lang w:val="en-US" w:eastAsia="zh-CN"/>
              </w:rPr>
              <w:t>5</w:t>
            </w:r>
            <w:r>
              <w:rPr>
                <w:rFonts w:hint="eastAsia"/>
                <w:sz w:val="24"/>
              </w:rPr>
              <w:t>0</w:t>
            </w:r>
            <w:r>
              <w:rPr>
                <w:rFonts w:hint="eastAsia"/>
                <w:sz w:val="24"/>
                <w:lang w:val="en-US" w:eastAsia="zh-CN"/>
              </w:rPr>
              <w:t>0</w:t>
            </w:r>
            <w:r>
              <w:rPr>
                <w:rFonts w:hint="eastAsia"/>
                <w:sz w:val="24"/>
              </w:rPr>
              <w:t>万</w:t>
            </w:r>
            <w:r>
              <w:rPr>
                <w:sz w:val="24"/>
              </w:rPr>
              <w:t>元，其中环保投资</w:t>
            </w:r>
            <w:r>
              <w:rPr>
                <w:rFonts w:hint="eastAsia"/>
                <w:sz w:val="24"/>
                <w:lang w:val="en-US" w:eastAsia="zh-CN"/>
              </w:rPr>
              <w:t>7</w:t>
            </w:r>
            <w:r>
              <w:rPr>
                <w:sz w:val="24"/>
              </w:rPr>
              <w:t>万元，占总投资的</w:t>
            </w:r>
            <w:r>
              <w:rPr>
                <w:rFonts w:hint="eastAsia"/>
                <w:sz w:val="24"/>
                <w:lang w:val="en-US" w:eastAsia="zh-CN"/>
              </w:rPr>
              <w:t>1.4</w:t>
            </w:r>
            <w:r>
              <w:rPr>
                <w:sz w:val="24"/>
              </w:rPr>
              <w:t>%。</w:t>
            </w:r>
          </w:p>
          <w:p>
            <w:pPr>
              <w:pStyle w:val="6"/>
              <w:kinsoku w:val="0"/>
              <w:overflowPunct w:val="0"/>
              <w:spacing w:after="0" w:line="360" w:lineRule="auto"/>
              <w:ind w:firstLine="480" w:firstLineChars="200"/>
              <w:rPr>
                <w:spacing w:val="-1"/>
                <w:sz w:val="24"/>
              </w:rPr>
            </w:pPr>
            <w:r>
              <w:rPr>
                <w:sz w:val="24"/>
              </w:rPr>
              <w:t>（</w:t>
            </w:r>
            <w:r>
              <w:rPr>
                <w:rFonts w:hint="eastAsia" w:eastAsia="宋体"/>
                <w:sz w:val="24"/>
                <w:lang w:val="en-US" w:eastAsia="zh-CN"/>
              </w:rPr>
              <w:t>6</w:t>
            </w:r>
            <w:r>
              <w:rPr>
                <w:sz w:val="24"/>
              </w:rPr>
              <w:t>）建设规模：生产规模为</w:t>
            </w:r>
            <w:r>
              <w:rPr>
                <w:rFonts w:hint="eastAsia"/>
                <w:kern w:val="0"/>
                <w:sz w:val="24"/>
              </w:rPr>
              <w:t>年产7.5万m</w:t>
            </w:r>
            <w:r>
              <w:rPr>
                <w:rFonts w:hint="eastAsia"/>
                <w:kern w:val="0"/>
                <w:sz w:val="24"/>
                <w:vertAlign w:val="superscript"/>
              </w:rPr>
              <w:t>2</w:t>
            </w:r>
            <w:r>
              <w:rPr>
                <w:rFonts w:hint="eastAsia"/>
                <w:kern w:val="0"/>
                <w:sz w:val="24"/>
              </w:rPr>
              <w:t>铝合金门窗</w:t>
            </w:r>
            <w:r>
              <w:rPr>
                <w:spacing w:val="-1"/>
                <w:sz w:val="24"/>
              </w:rPr>
              <w:t>。</w:t>
            </w:r>
          </w:p>
          <w:p>
            <w:pPr>
              <w:pStyle w:val="6"/>
              <w:kinsoku w:val="0"/>
              <w:overflowPunct w:val="0"/>
              <w:spacing w:after="0" w:line="360" w:lineRule="auto"/>
              <w:ind w:firstLine="476" w:firstLineChars="200"/>
              <w:rPr>
                <w:sz w:val="24"/>
              </w:rPr>
            </w:pPr>
            <w:r>
              <w:rPr>
                <w:spacing w:val="-1"/>
                <w:sz w:val="24"/>
              </w:rPr>
              <w:t>（</w:t>
            </w:r>
            <w:r>
              <w:rPr>
                <w:rFonts w:hint="eastAsia"/>
                <w:spacing w:val="-1"/>
                <w:sz w:val="24"/>
                <w:lang w:val="en-US" w:eastAsia="zh-CN"/>
              </w:rPr>
              <w:t>7</w:t>
            </w:r>
            <w:r>
              <w:rPr>
                <w:spacing w:val="-1"/>
                <w:sz w:val="24"/>
              </w:rPr>
              <w:t>）验收范围：</w:t>
            </w:r>
            <w:r>
              <w:rPr>
                <w:kern w:val="0"/>
                <w:sz w:val="24"/>
              </w:rPr>
              <w:t>针对</w:t>
            </w:r>
            <w:r>
              <w:rPr>
                <w:rFonts w:hint="eastAsia"/>
                <w:kern w:val="0"/>
                <w:sz w:val="24"/>
              </w:rPr>
              <w:t>年产7.5万m</w:t>
            </w:r>
            <w:r>
              <w:rPr>
                <w:rFonts w:hint="eastAsia"/>
                <w:kern w:val="0"/>
                <w:sz w:val="24"/>
                <w:vertAlign w:val="superscript"/>
              </w:rPr>
              <w:t>2</w:t>
            </w:r>
            <w:r>
              <w:rPr>
                <w:rFonts w:hint="eastAsia"/>
                <w:kern w:val="0"/>
                <w:sz w:val="24"/>
              </w:rPr>
              <w:t>铝合金门窗加工生产项目</w:t>
            </w:r>
            <w:r>
              <w:rPr>
                <w:rFonts w:hint="eastAsia"/>
                <w:color w:val="auto"/>
                <w:kern w:val="0"/>
                <w:sz w:val="24"/>
              </w:rPr>
              <w:t>进行</w:t>
            </w:r>
            <w:r>
              <w:rPr>
                <w:rFonts w:hint="eastAsia"/>
                <w:color w:val="auto"/>
                <w:kern w:val="0"/>
                <w:sz w:val="24"/>
                <w:lang w:val="en-US" w:eastAsia="zh-CN"/>
              </w:rPr>
              <w:t>整体</w:t>
            </w:r>
            <w:r>
              <w:rPr>
                <w:rFonts w:hint="eastAsia"/>
                <w:color w:val="auto"/>
                <w:kern w:val="0"/>
                <w:sz w:val="24"/>
              </w:rPr>
              <w:t>验收</w:t>
            </w:r>
            <w:r>
              <w:rPr>
                <w:kern w:val="0"/>
                <w:sz w:val="24"/>
              </w:rPr>
              <w:t>。</w:t>
            </w:r>
          </w:p>
          <w:p>
            <w:pPr>
              <w:pStyle w:val="6"/>
              <w:kinsoku w:val="0"/>
              <w:overflowPunct w:val="0"/>
              <w:spacing w:after="0" w:line="360" w:lineRule="auto"/>
              <w:ind w:firstLine="480" w:firstLineChars="200"/>
              <w:rPr>
                <w:color w:val="FF0000"/>
                <w:sz w:val="24"/>
              </w:rPr>
            </w:pPr>
            <w:r>
              <w:rPr>
                <w:sz w:val="24"/>
              </w:rPr>
              <w:t>（</w:t>
            </w:r>
            <w:r>
              <w:rPr>
                <w:rFonts w:hint="eastAsia"/>
                <w:sz w:val="24"/>
                <w:lang w:val="en-US" w:eastAsia="zh-CN"/>
              </w:rPr>
              <w:t>8</w:t>
            </w:r>
            <w:r>
              <w:rPr>
                <w:sz w:val="24"/>
              </w:rPr>
              <w:t>）劳动定员：环评设计</w:t>
            </w:r>
            <w:r>
              <w:rPr>
                <w:rFonts w:hint="eastAsia"/>
                <w:sz w:val="24"/>
              </w:rPr>
              <w:t>劳动定员</w:t>
            </w:r>
            <w:r>
              <w:rPr>
                <w:rFonts w:hint="eastAsia"/>
                <w:sz w:val="24"/>
                <w:lang w:val="en-US" w:eastAsia="zh-CN"/>
              </w:rPr>
              <w:t>35</w:t>
            </w:r>
            <w:r>
              <w:rPr>
                <w:sz w:val="24"/>
              </w:rPr>
              <w:t>人，实际生产员工有</w:t>
            </w:r>
            <w:r>
              <w:rPr>
                <w:rFonts w:hint="eastAsia"/>
                <w:sz w:val="24"/>
                <w:lang w:val="en-US" w:eastAsia="zh-CN"/>
              </w:rPr>
              <w:t>15</w:t>
            </w:r>
            <w:r>
              <w:rPr>
                <w:sz w:val="24"/>
              </w:rPr>
              <w:t>人。</w:t>
            </w:r>
          </w:p>
          <w:p>
            <w:pPr>
              <w:pStyle w:val="6"/>
              <w:kinsoku w:val="0"/>
              <w:overflowPunct w:val="0"/>
              <w:spacing w:after="0" w:line="360" w:lineRule="auto"/>
              <w:ind w:firstLine="480" w:firstLineChars="200"/>
              <w:rPr>
                <w:sz w:val="24"/>
              </w:rPr>
            </w:pPr>
            <w:r>
              <w:rPr>
                <w:sz w:val="24"/>
              </w:rPr>
              <w:t>（</w:t>
            </w:r>
            <w:r>
              <w:rPr>
                <w:rFonts w:hint="eastAsia"/>
                <w:sz w:val="24"/>
                <w:lang w:val="en-US" w:eastAsia="zh-CN"/>
              </w:rPr>
              <w:t>9</w:t>
            </w:r>
            <w:r>
              <w:rPr>
                <w:sz w:val="24"/>
              </w:rPr>
              <w:t>）工作制度：年运行</w:t>
            </w:r>
            <w:r>
              <w:rPr>
                <w:rFonts w:hint="eastAsia"/>
                <w:sz w:val="24"/>
                <w:lang w:val="en-US" w:eastAsia="zh-CN"/>
              </w:rPr>
              <w:t>30</w:t>
            </w:r>
            <w:r>
              <w:rPr>
                <w:rFonts w:hint="eastAsia"/>
                <w:sz w:val="24"/>
              </w:rPr>
              <w:t>0天</w:t>
            </w:r>
            <w:r>
              <w:rPr>
                <w:sz w:val="24"/>
              </w:rPr>
              <w:t>，</w:t>
            </w:r>
            <w:r>
              <w:rPr>
                <w:rFonts w:hint="eastAsia"/>
                <w:sz w:val="24"/>
              </w:rPr>
              <w:t>为单班制，每班工作8小时，年工作2</w:t>
            </w:r>
            <w:r>
              <w:rPr>
                <w:rFonts w:hint="eastAsia"/>
                <w:sz w:val="24"/>
                <w:lang w:val="en-US" w:eastAsia="zh-CN"/>
              </w:rPr>
              <w:t>4</w:t>
            </w:r>
            <w:r>
              <w:rPr>
                <w:rFonts w:hint="eastAsia"/>
                <w:sz w:val="24"/>
              </w:rPr>
              <w:t>00h</w:t>
            </w:r>
            <w:r>
              <w:rPr>
                <w:sz w:val="24"/>
              </w:rPr>
              <w:t>。</w:t>
            </w:r>
          </w:p>
          <w:p>
            <w:pPr>
              <w:pStyle w:val="6"/>
              <w:kinsoku w:val="0"/>
              <w:overflowPunct w:val="0"/>
              <w:spacing w:after="0" w:line="360" w:lineRule="auto"/>
              <w:ind w:firstLine="480" w:firstLineChars="200"/>
              <w:rPr>
                <w:sz w:val="24"/>
              </w:rPr>
            </w:pPr>
          </w:p>
        </w:tc>
      </w:tr>
    </w:tbl>
    <w:p>
      <w:pPr>
        <w:tabs>
          <w:tab w:val="left" w:pos="3564"/>
        </w:tabs>
        <w:rPr>
          <w:b/>
          <w:color w:val="000000"/>
          <w:sz w:val="28"/>
          <w:szCs w:val="28"/>
        </w:rPr>
      </w:pPr>
    </w:p>
    <w:tbl>
      <w:tblPr>
        <w:tblStyle w:val="15"/>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4" w:hRule="atLeast"/>
          <w:jc w:val="center"/>
        </w:trPr>
        <w:tc>
          <w:tcPr>
            <w:tcW w:w="9310" w:type="dxa"/>
            <w:vAlign w:val="center"/>
          </w:tcPr>
          <w:p>
            <w:pPr>
              <w:pStyle w:val="4"/>
              <w:keepNext w:val="0"/>
              <w:keepLines w:val="0"/>
              <w:pageBreakBefore w:val="0"/>
              <w:widowControl w:val="0"/>
              <w:numPr>
                <w:ilvl w:val="2"/>
                <w:numId w:val="0"/>
              </w:numPr>
              <w:tabs>
                <w:tab w:val="clear" w:pos="1260"/>
              </w:tabs>
              <w:kinsoku/>
              <w:wordWrap/>
              <w:overflowPunct w:val="0"/>
              <w:topLinePunct/>
              <w:autoSpaceDE/>
              <w:autoSpaceDN/>
              <w:bidi w:val="0"/>
              <w:adjustRightInd w:val="0"/>
              <w:snapToGrid w:val="0"/>
              <w:spacing w:before="0" w:after="0" w:line="360" w:lineRule="auto"/>
              <w:jc w:val="left"/>
              <w:textAlignment w:val="baseline"/>
              <w:outlineLvl w:val="2"/>
              <w:rPr>
                <w:rFonts w:ascii="Times New Roman" w:hAnsi="Times New Roman" w:cs="Times New Roman"/>
                <w:szCs w:val="28"/>
              </w:rPr>
            </w:pPr>
            <w:r>
              <w:rPr>
                <w:rFonts w:ascii="Times New Roman" w:hAnsi="Times New Roman" w:cs="Times New Roman"/>
                <w:szCs w:val="28"/>
              </w:rPr>
              <w:t>2.2、建设项目基本内容</w:t>
            </w:r>
          </w:p>
          <w:p>
            <w:pPr>
              <w:adjustRightInd w:val="0"/>
              <w:snapToGrid w:val="0"/>
              <w:spacing w:line="360" w:lineRule="auto"/>
              <w:ind w:firstLine="480" w:firstLineChars="200"/>
              <w:rPr>
                <w:rFonts w:hint="eastAsia" w:eastAsia="宋体"/>
                <w:b/>
                <w:sz w:val="24"/>
                <w:lang w:val="en-US" w:eastAsia="zh-CN"/>
              </w:rPr>
            </w:pPr>
            <w:r>
              <w:rPr>
                <w:rFonts w:hint="eastAsia"/>
                <w:kern w:val="0"/>
                <w:sz w:val="24"/>
              </w:rPr>
              <w:t>本</w:t>
            </w:r>
            <w:r>
              <w:rPr>
                <w:spacing w:val="-9"/>
                <w:sz w:val="24"/>
              </w:rPr>
              <w:t>项目位于</w:t>
            </w:r>
            <w:r>
              <w:rPr>
                <w:rFonts w:hint="eastAsia"/>
                <w:kern w:val="0"/>
                <w:sz w:val="24"/>
              </w:rPr>
              <w:t>合肥市肥西县桃花工业园繁华大道与方兴大道交口东南侧综合楼（北纬</w:t>
            </w:r>
            <w:r>
              <w:rPr>
                <w:rFonts w:hint="eastAsia"/>
                <w:kern w:val="0"/>
                <w:sz w:val="24"/>
                <w:lang w:val="en-US" w:eastAsia="zh-CN"/>
              </w:rPr>
              <w:t>31.777134</w:t>
            </w:r>
            <w:r>
              <w:rPr>
                <w:rFonts w:hint="eastAsia"/>
                <w:kern w:val="0"/>
                <w:sz w:val="24"/>
              </w:rPr>
              <w:t>东经</w:t>
            </w:r>
            <w:r>
              <w:rPr>
                <w:rFonts w:hint="eastAsia"/>
                <w:kern w:val="0"/>
                <w:sz w:val="24"/>
                <w:lang w:val="en-US" w:eastAsia="zh-CN"/>
              </w:rPr>
              <w:t>117.106287</w:t>
            </w:r>
            <w:r>
              <w:rPr>
                <w:rFonts w:hint="eastAsia"/>
                <w:kern w:val="0"/>
                <w:sz w:val="24"/>
              </w:rPr>
              <w:t>）</w:t>
            </w:r>
            <w:r>
              <w:rPr>
                <w:rFonts w:hint="eastAsia"/>
                <w:kern w:val="0"/>
                <w:sz w:val="24"/>
                <w:lang w:eastAsia="zh-CN"/>
              </w:rPr>
              <w:t>，</w:t>
            </w:r>
            <w:r>
              <w:rPr>
                <w:rFonts w:hint="eastAsia"/>
                <w:kern w:val="0"/>
                <w:sz w:val="24"/>
              </w:rPr>
              <w:t>本项目</w:t>
            </w:r>
            <w:r>
              <w:rPr>
                <w:rFonts w:hint="eastAsia"/>
                <w:kern w:val="0"/>
                <w:sz w:val="24"/>
                <w:lang w:val="en-US" w:eastAsia="zh-CN"/>
              </w:rPr>
              <w:t>建筑</w:t>
            </w:r>
            <w:r>
              <w:rPr>
                <w:rFonts w:hint="eastAsia"/>
                <w:kern w:val="0"/>
                <w:sz w:val="24"/>
              </w:rPr>
              <w:t>面积约</w:t>
            </w:r>
            <w:r>
              <w:rPr>
                <w:rFonts w:hint="eastAsia"/>
                <w:color w:val="000000" w:themeColor="text1"/>
                <w:kern w:val="0"/>
                <w:sz w:val="24"/>
                <w14:textFill>
                  <w14:solidFill>
                    <w14:schemeClr w14:val="tx1"/>
                  </w14:solidFill>
                </w14:textFill>
              </w:rPr>
              <w:t>为</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00m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vertAlign w:val="baseline"/>
                <w:lang w:eastAsia="zh-CN"/>
                <w14:textFill>
                  <w14:solidFill>
                    <w14:schemeClr w14:val="tx1"/>
                  </w14:solidFill>
                </w14:textFill>
              </w:rPr>
              <w:t>，项目建成后可生产</w:t>
            </w:r>
            <w:r>
              <w:rPr>
                <w:rFonts w:hint="eastAsia"/>
                <w:kern w:val="0"/>
                <w:sz w:val="24"/>
              </w:rPr>
              <w:t>年产7.5万m</w:t>
            </w:r>
            <w:r>
              <w:rPr>
                <w:rFonts w:hint="eastAsia"/>
                <w:kern w:val="0"/>
                <w:sz w:val="24"/>
                <w:vertAlign w:val="superscript"/>
              </w:rPr>
              <w:t>2</w:t>
            </w:r>
            <w:r>
              <w:rPr>
                <w:rFonts w:hint="eastAsia"/>
                <w:kern w:val="0"/>
                <w:sz w:val="24"/>
              </w:rPr>
              <w:t>铝合金门窗。</w:t>
            </w:r>
            <w:r>
              <w:rPr>
                <w:rFonts w:hint="eastAsia"/>
                <w:sz w:val="24"/>
              </w:rPr>
              <w:t>项目建设内容主要包括主体工程、辅助工程、储运工程、公用工程、环保工程，本项目建设内容与实际建设内容，见表2-1</w:t>
            </w:r>
            <w:r>
              <w:rPr>
                <w:sz w:val="24"/>
              </w:rPr>
              <w:t>。</w:t>
            </w:r>
          </w:p>
          <w:p>
            <w:pPr>
              <w:spacing w:line="360" w:lineRule="auto"/>
              <w:jc w:val="center"/>
              <w:rPr>
                <w:b/>
                <w:bCs/>
                <w:sz w:val="24"/>
              </w:rPr>
            </w:pPr>
            <w:r>
              <w:rPr>
                <w:b/>
                <w:szCs w:val="21"/>
              </w:rPr>
              <w:t xml:space="preserve">表2-1  </w:t>
            </w:r>
            <w:r>
              <w:rPr>
                <w:b/>
                <w:bCs/>
                <w:szCs w:val="21"/>
              </w:rPr>
              <w:t>项目建设内容与实际建成情况一览表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4"/>
              <w:gridCol w:w="403"/>
              <w:gridCol w:w="615"/>
              <w:gridCol w:w="2595"/>
              <w:gridCol w:w="2997"/>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403"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区域类别</w:t>
                  </w: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工程名称</w:t>
                  </w:r>
                </w:p>
              </w:tc>
              <w:tc>
                <w:tcPr>
                  <w:tcW w:w="259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环评设计工程规模和内容</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落实情况</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1" w:hRule="atLeast"/>
                <w:jc w:val="center"/>
              </w:trPr>
              <w:tc>
                <w:tcPr>
                  <w:tcW w:w="0" w:type="auto"/>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1</w:t>
                  </w:r>
                </w:p>
              </w:tc>
              <w:tc>
                <w:tcPr>
                  <w:tcW w:w="403" w:type="dxa"/>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主体工程</w:t>
                  </w: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生产车间</w:t>
                  </w:r>
                </w:p>
              </w:tc>
              <w:tc>
                <w:tcPr>
                  <w:tcW w:w="259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hint="default" w:ascii="Times New Roman" w:hAnsi="Times New Roman" w:eastAsia="宋体" w:cs="Times New Roman"/>
                      <w:sz w:val="21"/>
                      <w:szCs w:val="21"/>
                      <w:vertAlign w:val="superscript"/>
                      <w:lang w:val="en-US" w:eastAsia="zh-CN"/>
                    </w:rPr>
                  </w:pPr>
                  <w:r>
                    <w:rPr>
                      <w:rFonts w:hint="eastAsia" w:ascii="Times New Roman" w:hAnsi="Times New Roman" w:cs="Times New Roman"/>
                      <w:sz w:val="21"/>
                      <w:szCs w:val="21"/>
                      <w:lang w:val="en-US" w:eastAsia="zh-CN"/>
                    </w:rPr>
                    <w:t>位于合肥市海事达机械零部件有限责任公司新建厂区综合楼、3#车间1F，生产车间主要设备为2台铝合金双头切割机、角码具、组角机、冲床、台钻等，主要用于铝合金加工生产区域，面积约600m</w:t>
                  </w:r>
                  <w:r>
                    <w:rPr>
                      <w:rFonts w:hint="eastAsia" w:ascii="Times New Roman" w:hAnsi="Times New Roman" w:cs="Times New Roman"/>
                      <w:sz w:val="21"/>
                      <w:szCs w:val="21"/>
                      <w:vertAlign w:val="superscript"/>
                      <w:lang w:val="en-US" w:eastAsia="zh-CN"/>
                    </w:rPr>
                    <w:t>2</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rPr>
                      <w:rFonts w:hint="eastAsia" w:eastAsia="宋体"/>
                      <w:sz w:val="21"/>
                      <w:szCs w:val="21"/>
                      <w:lang w:eastAsia="zh-CN"/>
                    </w:rPr>
                  </w:pPr>
                  <w:r>
                    <w:rPr>
                      <w:sz w:val="21"/>
                      <w:szCs w:val="21"/>
                    </w:rPr>
                    <w:t>已建成，</w:t>
                  </w:r>
                  <w:r>
                    <w:rPr>
                      <w:rFonts w:hint="eastAsia" w:ascii="Times New Roman" w:hAnsi="Times New Roman" w:cs="Times New Roman"/>
                      <w:sz w:val="21"/>
                      <w:szCs w:val="21"/>
                      <w:lang w:val="en-US" w:eastAsia="zh-CN"/>
                    </w:rPr>
                    <w:t>位于合肥市海事达机械零部件有限责任公司新建厂区综合楼、3#车间1F，生产车间主要设备为2台铝合金双头切割机、角码具、组角机、冲床、台钻等，主要用于铝合金加工生产区域，面积约600m</w:t>
                  </w:r>
                  <w:r>
                    <w:rPr>
                      <w:rFonts w:hint="eastAsia" w:ascii="Times New Roman" w:hAnsi="Times New Roman" w:cs="Times New Roman"/>
                      <w:sz w:val="21"/>
                      <w:szCs w:val="21"/>
                      <w:vertAlign w:val="superscript"/>
                      <w:lang w:val="en-US" w:eastAsia="zh-CN"/>
                    </w:rPr>
                    <w:t>2</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打胶、晾干工序外协，外协协议见附件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w:t>
                  </w:r>
                </w:p>
              </w:tc>
              <w:tc>
                <w:tcPr>
                  <w:tcW w:w="403" w:type="dxa"/>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辅助工程</w:t>
                  </w:r>
                </w:p>
              </w:tc>
              <w:tc>
                <w:tcPr>
                  <w:tcW w:w="615" w:type="dxa"/>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办公区</w:t>
                  </w:r>
                </w:p>
              </w:tc>
              <w:tc>
                <w:tcPr>
                  <w:tcW w:w="2595" w:type="dxa"/>
                  <w:noWrap w:val="0"/>
                  <w:vAlign w:val="center"/>
                </w:tcPr>
                <w:p>
                  <w:pPr>
                    <w:pStyle w:val="14"/>
                    <w:widowControl w:val="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位于生产厂房外东侧用于办公、休息、活动区域，面积约15m</w:t>
                  </w:r>
                  <w:r>
                    <w:rPr>
                      <w:rFonts w:hint="eastAsia" w:ascii="Times New Roman" w:hAnsi="Times New Roman" w:cs="Times New Roman"/>
                      <w:sz w:val="21"/>
                      <w:szCs w:val="21"/>
                      <w:vertAlign w:val="superscript"/>
                      <w:lang w:val="en-US" w:eastAsia="zh-CN"/>
                    </w:rPr>
                    <w:t>2</w:t>
                  </w:r>
                </w:p>
              </w:tc>
              <w:tc>
                <w:tcPr>
                  <w:tcW w:w="2997" w:type="dxa"/>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sz w:val="21"/>
                      <w:szCs w:val="21"/>
                    </w:rPr>
                    <w:t>已建成，</w:t>
                  </w:r>
                  <w:r>
                    <w:rPr>
                      <w:rFonts w:hint="eastAsia" w:ascii="Times New Roman" w:hAnsi="Times New Roman" w:cs="Times New Roman"/>
                      <w:sz w:val="21"/>
                      <w:szCs w:val="21"/>
                      <w:lang w:val="en-US" w:eastAsia="zh-CN"/>
                    </w:rPr>
                    <w:t>位于生产厂房外东侧用于办公、休息、活动区域，面积约15m</w:t>
                  </w:r>
                  <w:r>
                    <w:rPr>
                      <w:rFonts w:hint="eastAsia" w:ascii="Times New Roman" w:hAnsi="Times New Roman" w:cs="Times New Roman"/>
                      <w:sz w:val="21"/>
                      <w:szCs w:val="21"/>
                      <w:vertAlign w:val="superscript"/>
                      <w:lang w:val="en-US" w:eastAsia="zh-CN"/>
                    </w:rPr>
                    <w:t>2</w:t>
                  </w:r>
                </w:p>
              </w:tc>
              <w:tc>
                <w:tcPr>
                  <w:tcW w:w="0" w:type="auto"/>
                  <w:tcBorders>
                    <w:top w:val="single" w:color="auto" w:sz="4" w:space="0"/>
                    <w:left w:val="single" w:color="auto" w:sz="4" w:space="0"/>
                    <w:right w:val="single" w:color="auto" w:sz="4" w:space="0"/>
                  </w:tcBorders>
                  <w:noWrap w:val="0"/>
                  <w:vAlign w:val="center"/>
                </w:tcPr>
                <w:p>
                  <w:pPr>
                    <w:widowControl w:val="0"/>
                    <w:spacing w:before="0" w:beforeAutospacing="0" w:after="0" w:afterAutospacing="0"/>
                    <w:jc w:val="center"/>
                    <w:rPr>
                      <w:rFonts w:hint="eastAsia" w:ascii="Times New Roman" w:hAnsi="Times New Roman" w:eastAsia="宋体" w:cs="Times New Roman"/>
                      <w:sz w:val="21"/>
                      <w:szCs w:val="21"/>
                      <w:lang w:eastAsia="zh-CN"/>
                    </w:rPr>
                  </w:pPr>
                  <w:r>
                    <w:rPr>
                      <w:rFonts w:ascii="Times New Roman" w:hAnsi="Times New Roman"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44" w:type="dxa"/>
                  <w:vMerge w:val="restart"/>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3</w:t>
                  </w:r>
                </w:p>
              </w:tc>
              <w:tc>
                <w:tcPr>
                  <w:tcW w:w="403" w:type="dxa"/>
                  <w:vMerge w:val="restart"/>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储运工程</w:t>
                  </w:r>
                </w:p>
              </w:tc>
              <w:tc>
                <w:tcPr>
                  <w:tcW w:w="615" w:type="dxa"/>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库房</w:t>
                  </w:r>
                </w:p>
              </w:tc>
              <w:tc>
                <w:tcPr>
                  <w:tcW w:w="2595" w:type="dxa"/>
                  <w:noWrap w:val="0"/>
                  <w:vAlign w:val="center"/>
                </w:tcPr>
                <w:p>
                  <w:pPr>
                    <w:pStyle w:val="14"/>
                    <w:widowControl w:val="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位于生产区域东侧，原辅材料及部分成品存放区域，面积约40m</w:t>
                  </w:r>
                  <w:r>
                    <w:rPr>
                      <w:rFonts w:hint="eastAsia" w:ascii="Times New Roman" w:hAnsi="Times New Roman" w:cs="Times New Roman"/>
                      <w:sz w:val="21"/>
                      <w:szCs w:val="21"/>
                      <w:vertAlign w:val="superscript"/>
                      <w:lang w:val="en-US" w:eastAsia="zh-CN"/>
                    </w:rPr>
                    <w:t>2</w:t>
                  </w:r>
                </w:p>
              </w:tc>
              <w:tc>
                <w:tcPr>
                  <w:tcW w:w="2997" w:type="dxa"/>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sz w:val="21"/>
                      <w:szCs w:val="21"/>
                    </w:rPr>
                  </w:pPr>
                  <w:r>
                    <w:rPr>
                      <w:rFonts w:hint="eastAsia" w:ascii="Times New Roman" w:hAnsi="Times New Roman" w:cs="Times New Roman"/>
                      <w:sz w:val="21"/>
                      <w:szCs w:val="21"/>
                      <w:lang w:val="en-US" w:eastAsia="zh-CN"/>
                    </w:rPr>
                    <w:t>位于生产区域东侧，原辅材料及部分成品存放区域，面积约40m</w:t>
                  </w:r>
                  <w:r>
                    <w:rPr>
                      <w:rFonts w:hint="eastAsia" w:ascii="Times New Roman" w:hAnsi="Times New Roman" w:cs="Times New Roman"/>
                      <w:sz w:val="21"/>
                      <w:szCs w:val="21"/>
                      <w:vertAlign w:val="superscript"/>
                      <w:lang w:val="en-US" w:eastAsia="zh-CN"/>
                    </w:rPr>
                    <w:t>2</w:t>
                  </w:r>
                </w:p>
              </w:tc>
              <w:tc>
                <w:tcPr>
                  <w:tcW w:w="0" w:type="auto"/>
                  <w:tcBorders>
                    <w:top w:val="single" w:color="auto" w:sz="4" w:space="0"/>
                    <w:left w:val="single" w:color="auto" w:sz="4" w:space="0"/>
                    <w:right w:val="single" w:color="auto" w:sz="4" w:space="0"/>
                  </w:tcBorders>
                  <w:noWrap w:val="0"/>
                  <w:vAlign w:val="center"/>
                </w:tcPr>
                <w:p>
                  <w:pPr>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344" w:type="dxa"/>
                  <w:vMerge w:val="continue"/>
                  <w:tcBorders>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p>
              </w:tc>
              <w:tc>
                <w:tcPr>
                  <w:tcW w:w="403" w:type="dxa"/>
                  <w:vMerge w:val="continue"/>
                  <w:tcBorders>
                    <w:left w:val="single" w:color="auto" w:sz="4" w:space="0"/>
                    <w:right w:val="single" w:color="auto" w:sz="4" w:space="0"/>
                  </w:tcBorders>
                  <w:noWrap w:val="0"/>
                  <w:vAlign w:val="center"/>
                </w:tcPr>
                <w:p>
                  <w:pPr>
                    <w:pStyle w:val="14"/>
                    <w:widowControl w:val="0"/>
                    <w:spacing w:before="0" w:beforeAutospacing="0" w:after="0" w:afterAutospacing="0"/>
                    <w:jc w:val="center"/>
                    <w:rPr>
                      <w:rFonts w:hint="eastAsia" w:ascii="Times New Roman" w:hAnsi="Times New Roman" w:cs="Times New Roman"/>
                      <w:sz w:val="21"/>
                      <w:szCs w:val="21"/>
                      <w:lang w:val="en-US" w:eastAsia="zh-CN"/>
                    </w:rPr>
                  </w:pPr>
                </w:p>
              </w:tc>
              <w:tc>
                <w:tcPr>
                  <w:tcW w:w="615" w:type="dxa"/>
                  <w:tcBorders>
                    <w:top w:val="single" w:color="auto" w:sz="4" w:space="0"/>
                    <w:left w:val="single" w:color="auto" w:sz="4" w:space="0"/>
                    <w:bottom w:val="single" w:color="auto" w:sz="4" w:space="0"/>
                    <w:right w:val="single" w:color="auto" w:sz="4" w:space="0"/>
                  </w:tcBorders>
                  <w:noWrap w:val="0"/>
                  <w:vAlign w:val="top"/>
                </w:tcPr>
                <w:p>
                  <w:pPr>
                    <w:pStyle w:val="14"/>
                    <w:widowControl w:val="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危废间</w:t>
                  </w:r>
                </w:p>
              </w:tc>
              <w:tc>
                <w:tcPr>
                  <w:tcW w:w="2595" w:type="dxa"/>
                  <w:noWrap w:val="0"/>
                  <w:vAlign w:val="center"/>
                </w:tcPr>
                <w:p>
                  <w:pPr>
                    <w:pStyle w:val="14"/>
                    <w:widowControl w:val="0"/>
                    <w:spacing w:before="0" w:beforeAutospacing="0" w:after="0" w:afterAutospacing="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位于厂房外东北侧，用于存放危险废物，面积约8m</w:t>
                  </w:r>
                  <w:r>
                    <w:rPr>
                      <w:rFonts w:hint="eastAsia" w:ascii="Times New Roman" w:hAnsi="Times New Roman" w:cs="Times New Roman"/>
                      <w:sz w:val="21"/>
                      <w:szCs w:val="21"/>
                      <w:vertAlign w:val="superscript"/>
                      <w:lang w:val="en-US" w:eastAsia="zh-CN"/>
                    </w:rPr>
                    <w:t>2</w:t>
                  </w:r>
                </w:p>
              </w:tc>
              <w:tc>
                <w:tcPr>
                  <w:tcW w:w="2997" w:type="dxa"/>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hint="eastAsia" w:eastAsia="宋体"/>
                      <w:sz w:val="21"/>
                      <w:szCs w:val="21"/>
                      <w:lang w:val="en-US" w:eastAsia="zh-CN"/>
                    </w:rPr>
                  </w:pPr>
                  <w:r>
                    <w:rPr>
                      <w:rFonts w:hint="eastAsia"/>
                      <w:sz w:val="21"/>
                      <w:szCs w:val="21"/>
                      <w:lang w:val="en-US" w:eastAsia="zh-CN"/>
                    </w:rPr>
                    <w:t>未建</w:t>
                  </w:r>
                </w:p>
              </w:tc>
              <w:tc>
                <w:tcPr>
                  <w:tcW w:w="0" w:type="auto"/>
                  <w:tcBorders>
                    <w:top w:val="single" w:color="auto" w:sz="4" w:space="0"/>
                    <w:left w:val="single" w:color="auto" w:sz="4" w:space="0"/>
                    <w:right w:val="single" w:color="auto" w:sz="4" w:space="0"/>
                  </w:tcBorders>
                  <w:noWrap w:val="0"/>
                  <w:vAlign w:val="center"/>
                </w:tcPr>
                <w:p>
                  <w:pPr>
                    <w:widowControl w:val="0"/>
                    <w:spacing w:before="0" w:beforeAutospacing="0" w:after="0" w:afterAutospacing="0"/>
                    <w:jc w:val="center"/>
                    <w:rPr>
                      <w:rFonts w:hint="default" w:ascii="Times New Roman" w:hAnsi="Times New Roman" w:cs="Times New Roman"/>
                      <w:color w:val="auto"/>
                      <w:sz w:val="21"/>
                      <w:szCs w:val="21"/>
                      <w:lang w:val="en-US"/>
                    </w:rPr>
                  </w:pPr>
                  <w:r>
                    <w:rPr>
                      <w:rFonts w:hint="eastAsia" w:ascii="Times New Roman" w:hAnsi="Times New Roman" w:cs="Times New Roman"/>
                      <w:sz w:val="21"/>
                      <w:szCs w:val="21"/>
                      <w:lang w:val="en-US" w:eastAsia="zh-CN"/>
                    </w:rPr>
                    <w:t>打胶、晾干工序外协</w:t>
                  </w:r>
                  <w:r>
                    <w:rPr>
                      <w:rFonts w:hint="eastAsia" w:cs="Times New Roman"/>
                      <w:sz w:val="21"/>
                      <w:szCs w:val="21"/>
                      <w:lang w:val="en-US" w:eastAsia="zh-CN"/>
                    </w:rPr>
                    <w:t>，无活性炭、UV灯管、胶桶产生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0" w:type="auto"/>
                  <w:vMerge w:val="restart"/>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403" w:type="dxa"/>
                  <w:vMerge w:val="restart"/>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公用工程</w:t>
                  </w: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供水</w:t>
                  </w:r>
                </w:p>
              </w:tc>
              <w:tc>
                <w:tcPr>
                  <w:tcW w:w="2595" w:type="dxa"/>
                  <w:noWrap w:val="0"/>
                  <w:vAlign w:val="center"/>
                </w:tcPr>
                <w:p>
                  <w:pPr>
                    <w:pStyle w:val="14"/>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由市政给水管网供给</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项目用水来自市政自来水</w:t>
                  </w:r>
                </w:p>
              </w:tc>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0" w:type="auto"/>
                  <w:vMerge w:val="continue"/>
                  <w:tcBorders>
                    <w:left w:val="single" w:color="auto" w:sz="4" w:space="0"/>
                    <w:right w:val="single" w:color="auto" w:sz="4" w:space="0"/>
                  </w:tcBorders>
                  <w:noWrap w:val="0"/>
                  <w:vAlign w:val="center"/>
                </w:tcPr>
                <w:p>
                  <w:pPr>
                    <w:jc w:val="center"/>
                    <w:rPr>
                      <w:sz w:val="21"/>
                      <w:szCs w:val="21"/>
                    </w:rPr>
                  </w:pPr>
                </w:p>
              </w:tc>
              <w:tc>
                <w:tcPr>
                  <w:tcW w:w="403" w:type="dxa"/>
                  <w:vMerge w:val="continue"/>
                  <w:tcBorders>
                    <w:left w:val="single" w:color="auto" w:sz="4" w:space="0"/>
                    <w:right w:val="single" w:color="auto" w:sz="4" w:space="0"/>
                  </w:tcBorders>
                  <w:noWrap w:val="0"/>
                  <w:vAlign w:val="center"/>
                </w:tcPr>
                <w:p>
                  <w:pPr>
                    <w:jc w:val="center"/>
                    <w:rPr>
                      <w:sz w:val="21"/>
                      <w:szCs w:val="21"/>
                    </w:rPr>
                  </w:pP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排水</w:t>
                  </w:r>
                </w:p>
              </w:tc>
              <w:tc>
                <w:tcPr>
                  <w:tcW w:w="2595" w:type="dxa"/>
                  <w:noWrap w:val="0"/>
                  <w:vAlign w:val="center"/>
                </w:tcPr>
                <w:p>
                  <w:pPr>
                    <w:pStyle w:val="14"/>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雨污分流，</w:t>
                  </w:r>
                  <w:r>
                    <w:rPr>
                      <w:sz w:val="21"/>
                      <w:szCs w:val="21"/>
                    </w:rPr>
                    <w:t>生活污水</w:t>
                  </w:r>
                  <w:r>
                    <w:rPr>
                      <w:rFonts w:hint="eastAsia"/>
                      <w:sz w:val="21"/>
                      <w:szCs w:val="21"/>
                      <w:lang w:eastAsia="zh-CN"/>
                    </w:rPr>
                    <w:t>、</w:t>
                  </w:r>
                  <w:r>
                    <w:rPr>
                      <w:rFonts w:hint="eastAsia"/>
                      <w:sz w:val="21"/>
                      <w:szCs w:val="21"/>
                      <w:lang w:val="en-US" w:eastAsia="zh-CN"/>
                    </w:rPr>
                    <w:t>保洁</w:t>
                  </w:r>
                  <w:r>
                    <w:rPr>
                      <w:sz w:val="21"/>
                      <w:szCs w:val="21"/>
                    </w:rPr>
                    <w:t>废水经化粪池处理后，满足</w:t>
                  </w:r>
                  <w:r>
                    <w:rPr>
                      <w:rFonts w:hint="eastAsia"/>
                      <w:sz w:val="21"/>
                      <w:szCs w:val="21"/>
                      <w:lang w:val="en-US" w:eastAsia="zh-CN"/>
                    </w:rPr>
                    <w:t>西部组团</w:t>
                  </w:r>
                  <w:r>
                    <w:rPr>
                      <w:rFonts w:hint="eastAsia"/>
                      <w:sz w:val="21"/>
                      <w:szCs w:val="21"/>
                    </w:rPr>
                    <w:t>污水处理厂</w:t>
                  </w:r>
                  <w:r>
                    <w:rPr>
                      <w:sz w:val="21"/>
                      <w:szCs w:val="21"/>
                    </w:rPr>
                    <w:t>接</w:t>
                  </w:r>
                  <w:r>
                    <w:rPr>
                      <w:rFonts w:hint="eastAsia"/>
                      <w:sz w:val="21"/>
                      <w:szCs w:val="21"/>
                    </w:rPr>
                    <w:t>管</w:t>
                  </w:r>
                  <w:r>
                    <w:rPr>
                      <w:sz w:val="21"/>
                      <w:szCs w:val="21"/>
                    </w:rPr>
                    <w:t>标准，未规定的执行《污水综合排放标准》（GB8978-1996）中的三级标准，通过市政污水管网排入</w:t>
                  </w:r>
                  <w:r>
                    <w:rPr>
                      <w:rFonts w:hint="eastAsia"/>
                      <w:sz w:val="21"/>
                      <w:szCs w:val="21"/>
                      <w:lang w:val="en-US" w:eastAsia="zh-CN"/>
                    </w:rPr>
                    <w:t>西部组团</w:t>
                  </w:r>
                  <w:r>
                    <w:rPr>
                      <w:rFonts w:hint="eastAsia"/>
                      <w:sz w:val="21"/>
                      <w:szCs w:val="21"/>
                    </w:rPr>
                    <w:t>污水处理厂</w:t>
                  </w:r>
                  <w:r>
                    <w:rPr>
                      <w:sz w:val="21"/>
                      <w:szCs w:val="21"/>
                    </w:rPr>
                    <w:t>处理后排入</w:t>
                  </w:r>
                  <w:r>
                    <w:rPr>
                      <w:rFonts w:hint="eastAsia"/>
                      <w:sz w:val="21"/>
                      <w:szCs w:val="21"/>
                      <w:lang w:val="en-US" w:eastAsia="zh-CN"/>
                    </w:rPr>
                    <w:t>派河</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雨污分流，</w:t>
                  </w:r>
                  <w:r>
                    <w:rPr>
                      <w:sz w:val="21"/>
                      <w:szCs w:val="21"/>
                    </w:rPr>
                    <w:t>生活污水</w:t>
                  </w:r>
                  <w:r>
                    <w:rPr>
                      <w:rFonts w:hint="eastAsia"/>
                      <w:sz w:val="21"/>
                      <w:szCs w:val="21"/>
                      <w:lang w:eastAsia="zh-CN"/>
                    </w:rPr>
                    <w:t>、</w:t>
                  </w:r>
                  <w:r>
                    <w:rPr>
                      <w:rFonts w:hint="eastAsia"/>
                      <w:sz w:val="21"/>
                      <w:szCs w:val="21"/>
                      <w:lang w:val="en-US" w:eastAsia="zh-CN"/>
                    </w:rPr>
                    <w:t>保洁</w:t>
                  </w:r>
                  <w:r>
                    <w:rPr>
                      <w:sz w:val="21"/>
                      <w:szCs w:val="21"/>
                    </w:rPr>
                    <w:t>废水经化粪池处理后，满足</w:t>
                  </w:r>
                  <w:r>
                    <w:rPr>
                      <w:rFonts w:hint="eastAsia"/>
                      <w:sz w:val="21"/>
                      <w:szCs w:val="21"/>
                      <w:lang w:val="en-US" w:eastAsia="zh-CN"/>
                    </w:rPr>
                    <w:t>西部组团</w:t>
                  </w:r>
                  <w:r>
                    <w:rPr>
                      <w:rFonts w:hint="eastAsia"/>
                      <w:sz w:val="21"/>
                      <w:szCs w:val="21"/>
                    </w:rPr>
                    <w:t>污水处理厂</w:t>
                  </w:r>
                  <w:r>
                    <w:rPr>
                      <w:sz w:val="21"/>
                      <w:szCs w:val="21"/>
                    </w:rPr>
                    <w:t>接</w:t>
                  </w:r>
                  <w:r>
                    <w:rPr>
                      <w:rFonts w:hint="eastAsia"/>
                      <w:sz w:val="21"/>
                      <w:szCs w:val="21"/>
                    </w:rPr>
                    <w:t>管</w:t>
                  </w:r>
                  <w:r>
                    <w:rPr>
                      <w:sz w:val="21"/>
                      <w:szCs w:val="21"/>
                    </w:rPr>
                    <w:t>标准，未规定的执行《污水综合排放标准》（GB8978-1996）中的三级标准，通过市政污水管网排入</w:t>
                  </w:r>
                  <w:r>
                    <w:rPr>
                      <w:rFonts w:hint="eastAsia"/>
                      <w:sz w:val="21"/>
                      <w:szCs w:val="21"/>
                      <w:lang w:val="en-US" w:eastAsia="zh-CN"/>
                    </w:rPr>
                    <w:t>西部组团</w:t>
                  </w:r>
                  <w:r>
                    <w:rPr>
                      <w:rFonts w:hint="eastAsia"/>
                      <w:sz w:val="21"/>
                      <w:szCs w:val="21"/>
                    </w:rPr>
                    <w:t>污水处理厂</w:t>
                  </w:r>
                  <w:r>
                    <w:rPr>
                      <w:sz w:val="21"/>
                      <w:szCs w:val="21"/>
                    </w:rPr>
                    <w:t>处理后排入</w:t>
                  </w:r>
                  <w:r>
                    <w:rPr>
                      <w:rFonts w:hint="eastAsia"/>
                      <w:sz w:val="21"/>
                      <w:szCs w:val="21"/>
                      <w:lang w:val="en-US" w:eastAsia="zh-CN"/>
                    </w:rPr>
                    <w:t>派河</w:t>
                  </w:r>
                </w:p>
              </w:tc>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0" w:type="auto"/>
                  <w:vMerge w:val="continue"/>
                  <w:tcBorders>
                    <w:left w:val="single" w:color="auto" w:sz="4" w:space="0"/>
                    <w:right w:val="single" w:color="auto" w:sz="4" w:space="0"/>
                  </w:tcBorders>
                  <w:noWrap w:val="0"/>
                  <w:vAlign w:val="center"/>
                </w:tcPr>
                <w:p>
                  <w:pPr>
                    <w:jc w:val="center"/>
                    <w:rPr>
                      <w:sz w:val="21"/>
                      <w:szCs w:val="21"/>
                    </w:rPr>
                  </w:pPr>
                </w:p>
              </w:tc>
              <w:tc>
                <w:tcPr>
                  <w:tcW w:w="403" w:type="dxa"/>
                  <w:vMerge w:val="continue"/>
                  <w:tcBorders>
                    <w:left w:val="single" w:color="auto" w:sz="4" w:space="0"/>
                    <w:right w:val="single" w:color="auto" w:sz="4" w:space="0"/>
                  </w:tcBorders>
                  <w:noWrap w:val="0"/>
                  <w:vAlign w:val="center"/>
                </w:tcPr>
                <w:p>
                  <w:pPr>
                    <w:jc w:val="center"/>
                    <w:rPr>
                      <w:sz w:val="21"/>
                      <w:szCs w:val="21"/>
                    </w:rPr>
                  </w:pP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供电</w:t>
                  </w:r>
                </w:p>
              </w:tc>
              <w:tc>
                <w:tcPr>
                  <w:tcW w:w="2595" w:type="dxa"/>
                  <w:noWrap w:val="0"/>
                  <w:vAlign w:val="center"/>
                </w:tcPr>
                <w:p>
                  <w:pPr>
                    <w:pStyle w:val="14"/>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由市政供电系统一供应</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本项目供电来源于市政供电网</w:t>
                  </w:r>
                </w:p>
              </w:tc>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val="0"/>
                    <w:spacing w:before="0" w:beforeAutospacing="0" w:after="0" w:afterAutospacing="0"/>
                    <w:jc w:val="center"/>
                    <w:rPr>
                      <w:rFonts w:ascii="Times New Roman" w:hAnsi="Times New Roman" w:cs="Times New Roman"/>
                      <w:color w:val="auto"/>
                      <w:sz w:val="21"/>
                      <w:szCs w:val="21"/>
                    </w:rPr>
                  </w:pPr>
                  <w:r>
                    <w:rPr>
                      <w:rFonts w:ascii="Times New Roman" w:hAnsi="Times New Roman"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0" w:type="auto"/>
                  <w:vMerge w:val="restart"/>
                  <w:tcBorders>
                    <w:top w:val="single" w:color="auto" w:sz="4" w:space="0"/>
                    <w:left w:val="single" w:color="auto" w:sz="4" w:space="0"/>
                    <w:right w:val="single" w:color="auto" w:sz="4" w:space="0"/>
                  </w:tcBorders>
                  <w:noWrap w:val="0"/>
                  <w:vAlign w:val="center"/>
                </w:tcPr>
                <w:p>
                  <w:pPr>
                    <w:pStyle w:val="14"/>
                    <w:widowControl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5</w:t>
                  </w:r>
                </w:p>
              </w:tc>
              <w:tc>
                <w:tcPr>
                  <w:tcW w:w="403" w:type="dxa"/>
                  <w:vMerge w:val="restart"/>
                  <w:tcBorders>
                    <w:top w:val="single" w:color="auto" w:sz="4" w:space="0"/>
                    <w:left w:val="single" w:color="auto" w:sz="4" w:space="0"/>
                    <w:right w:val="single" w:color="auto" w:sz="4" w:space="0"/>
                  </w:tcBorders>
                  <w:noWrap w:val="0"/>
                  <w:vAlign w:val="center"/>
                </w:tcPr>
                <w:p>
                  <w:pPr>
                    <w:pStyle w:val="14"/>
                    <w:widowControl w:val="0"/>
                    <w:jc w:val="center"/>
                    <w:rPr>
                      <w:rFonts w:ascii="Times New Roman" w:hAnsi="Times New Roman" w:cs="Times New Roman"/>
                      <w:sz w:val="21"/>
                      <w:szCs w:val="21"/>
                    </w:rPr>
                  </w:pPr>
                  <w:r>
                    <w:rPr>
                      <w:rFonts w:ascii="Times New Roman" w:hAnsi="Times New Roman" w:cs="Times New Roman"/>
                      <w:sz w:val="21"/>
                      <w:szCs w:val="21"/>
                    </w:rPr>
                    <w:t>环保工程</w:t>
                  </w:r>
                </w:p>
              </w:tc>
              <w:tc>
                <w:tcPr>
                  <w:tcW w:w="615" w:type="dxa"/>
                  <w:tcBorders>
                    <w:top w:val="single" w:color="auto" w:sz="4" w:space="0"/>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废气处理</w:t>
                  </w:r>
                </w:p>
              </w:tc>
              <w:tc>
                <w:tcPr>
                  <w:tcW w:w="2595" w:type="dxa"/>
                  <w:noWrap w:val="0"/>
                  <w:vAlign w:val="center"/>
                </w:tcPr>
                <w:p>
                  <w:pPr>
                    <w:pStyle w:val="14"/>
                    <w:widowControl w:val="0"/>
                    <w:spacing w:before="0" w:beforeAutospacing="0" w:after="0" w:afterAutospacing="0"/>
                    <w:jc w:val="center"/>
                    <w:rPr>
                      <w:rFonts w:hint="default" w:ascii="Times New Roman" w:hAnsi="Times New Roman" w:cs="Times New Roman"/>
                      <w:sz w:val="21"/>
                      <w:szCs w:val="21"/>
                      <w:lang w:val="en-US"/>
                    </w:rPr>
                  </w:pPr>
                  <w:r>
                    <w:rPr>
                      <w:rFonts w:hint="eastAsia"/>
                      <w:bCs/>
                      <w:sz w:val="21"/>
                      <w:szCs w:val="21"/>
                      <w:lang w:val="en-US" w:eastAsia="zh-CN"/>
                    </w:rPr>
                    <w:t>打胶、晾干</w:t>
                  </w:r>
                  <w:r>
                    <w:rPr>
                      <w:rFonts w:hint="eastAsia"/>
                      <w:bCs/>
                      <w:sz w:val="21"/>
                      <w:szCs w:val="21"/>
                    </w:rPr>
                    <w:t>工序</w:t>
                  </w:r>
                  <w:r>
                    <w:rPr>
                      <w:rFonts w:hint="eastAsia"/>
                      <w:bCs/>
                      <w:sz w:val="21"/>
                      <w:szCs w:val="21"/>
                      <w:lang w:val="en-US" w:eastAsia="zh-CN"/>
                    </w:rPr>
                    <w:t>产生的非甲烷总烃，经活性炭+UV光解装置处理达标后，15m高排气筒高空排放</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未建</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打胶、晾干工序外协，无非甲烷总烃产生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0" w:type="auto"/>
                  <w:vMerge w:val="continue"/>
                  <w:tcBorders>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p>
              </w:tc>
              <w:tc>
                <w:tcPr>
                  <w:tcW w:w="403" w:type="dxa"/>
                  <w:vMerge w:val="continue"/>
                  <w:tcBorders>
                    <w:left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废水处理</w:t>
                  </w:r>
                </w:p>
              </w:tc>
              <w:tc>
                <w:tcPr>
                  <w:tcW w:w="2595" w:type="dxa"/>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雨污分流；</w:t>
                  </w:r>
                  <w:r>
                    <w:rPr>
                      <w:sz w:val="21"/>
                      <w:szCs w:val="21"/>
                    </w:rPr>
                    <w:t>生活污水</w:t>
                  </w:r>
                  <w:r>
                    <w:rPr>
                      <w:rFonts w:hint="eastAsia"/>
                      <w:sz w:val="21"/>
                      <w:szCs w:val="21"/>
                      <w:lang w:eastAsia="zh-CN"/>
                    </w:rPr>
                    <w:t>、</w:t>
                  </w:r>
                  <w:r>
                    <w:rPr>
                      <w:rFonts w:hint="eastAsia"/>
                      <w:sz w:val="21"/>
                      <w:szCs w:val="21"/>
                      <w:lang w:val="en-US" w:eastAsia="zh-CN"/>
                    </w:rPr>
                    <w:t>保洁</w:t>
                  </w:r>
                  <w:r>
                    <w:rPr>
                      <w:sz w:val="21"/>
                      <w:szCs w:val="21"/>
                    </w:rPr>
                    <w:t>废水经化粪池处理后，满足</w:t>
                  </w:r>
                  <w:r>
                    <w:rPr>
                      <w:rFonts w:hint="eastAsia"/>
                      <w:sz w:val="21"/>
                      <w:szCs w:val="21"/>
                      <w:lang w:val="en-US" w:eastAsia="zh-CN"/>
                    </w:rPr>
                    <w:t>西部组团</w:t>
                  </w:r>
                  <w:r>
                    <w:rPr>
                      <w:rFonts w:hint="eastAsia"/>
                      <w:sz w:val="21"/>
                      <w:szCs w:val="21"/>
                    </w:rPr>
                    <w:t>污水处理厂</w:t>
                  </w:r>
                  <w:r>
                    <w:rPr>
                      <w:sz w:val="21"/>
                      <w:szCs w:val="21"/>
                    </w:rPr>
                    <w:t>接</w:t>
                  </w:r>
                  <w:r>
                    <w:rPr>
                      <w:rFonts w:hint="eastAsia"/>
                      <w:sz w:val="21"/>
                      <w:szCs w:val="21"/>
                    </w:rPr>
                    <w:t>管</w:t>
                  </w:r>
                  <w:r>
                    <w:rPr>
                      <w:sz w:val="21"/>
                      <w:szCs w:val="21"/>
                    </w:rPr>
                    <w:t>标准，未规定的执行《污水综合排放标准》（GB8978-1996）中的三级标准，通过市政污水管网排入</w:t>
                  </w:r>
                  <w:r>
                    <w:rPr>
                      <w:rFonts w:hint="eastAsia"/>
                      <w:sz w:val="21"/>
                      <w:szCs w:val="21"/>
                      <w:lang w:val="en-US" w:eastAsia="zh-CN"/>
                    </w:rPr>
                    <w:t>西部组团</w:t>
                  </w:r>
                  <w:r>
                    <w:rPr>
                      <w:rFonts w:hint="eastAsia"/>
                      <w:sz w:val="21"/>
                      <w:szCs w:val="21"/>
                    </w:rPr>
                    <w:t>污水处理厂</w:t>
                  </w:r>
                  <w:r>
                    <w:rPr>
                      <w:sz w:val="21"/>
                      <w:szCs w:val="21"/>
                    </w:rPr>
                    <w:t>处理后排入</w:t>
                  </w:r>
                  <w:r>
                    <w:rPr>
                      <w:rFonts w:hint="eastAsia"/>
                      <w:sz w:val="21"/>
                      <w:szCs w:val="21"/>
                      <w:lang w:val="en-US" w:eastAsia="zh-CN"/>
                    </w:rPr>
                    <w:t>派河</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雨污分流，</w:t>
                  </w:r>
                  <w:r>
                    <w:rPr>
                      <w:sz w:val="21"/>
                      <w:szCs w:val="21"/>
                    </w:rPr>
                    <w:t>生活污水</w:t>
                  </w:r>
                  <w:r>
                    <w:rPr>
                      <w:rFonts w:hint="eastAsia"/>
                      <w:sz w:val="21"/>
                      <w:szCs w:val="21"/>
                      <w:lang w:eastAsia="zh-CN"/>
                    </w:rPr>
                    <w:t>、</w:t>
                  </w:r>
                  <w:r>
                    <w:rPr>
                      <w:rFonts w:hint="eastAsia"/>
                      <w:sz w:val="21"/>
                      <w:szCs w:val="21"/>
                      <w:lang w:val="en-US" w:eastAsia="zh-CN"/>
                    </w:rPr>
                    <w:t>保洁</w:t>
                  </w:r>
                  <w:r>
                    <w:rPr>
                      <w:sz w:val="21"/>
                      <w:szCs w:val="21"/>
                    </w:rPr>
                    <w:t>废水经化粪池处理后，满足</w:t>
                  </w:r>
                  <w:r>
                    <w:rPr>
                      <w:rFonts w:hint="eastAsia"/>
                      <w:sz w:val="21"/>
                      <w:szCs w:val="21"/>
                      <w:lang w:val="en-US" w:eastAsia="zh-CN"/>
                    </w:rPr>
                    <w:t>西部组团</w:t>
                  </w:r>
                  <w:r>
                    <w:rPr>
                      <w:rFonts w:hint="eastAsia"/>
                      <w:sz w:val="21"/>
                      <w:szCs w:val="21"/>
                    </w:rPr>
                    <w:t>污水处理厂</w:t>
                  </w:r>
                  <w:r>
                    <w:rPr>
                      <w:sz w:val="21"/>
                      <w:szCs w:val="21"/>
                    </w:rPr>
                    <w:t>接</w:t>
                  </w:r>
                  <w:r>
                    <w:rPr>
                      <w:rFonts w:hint="eastAsia"/>
                      <w:sz w:val="21"/>
                      <w:szCs w:val="21"/>
                    </w:rPr>
                    <w:t>管</w:t>
                  </w:r>
                  <w:r>
                    <w:rPr>
                      <w:sz w:val="21"/>
                      <w:szCs w:val="21"/>
                    </w:rPr>
                    <w:t>标准，未规定的执行《污水综合排放标准》（GB8978-1996）中的三级标准，通过市政污水管网排入</w:t>
                  </w:r>
                  <w:r>
                    <w:rPr>
                      <w:rFonts w:hint="eastAsia"/>
                      <w:sz w:val="21"/>
                      <w:szCs w:val="21"/>
                      <w:lang w:val="en-US" w:eastAsia="zh-CN"/>
                    </w:rPr>
                    <w:t>西部组团</w:t>
                  </w:r>
                  <w:r>
                    <w:rPr>
                      <w:rFonts w:hint="eastAsia"/>
                      <w:sz w:val="21"/>
                      <w:szCs w:val="21"/>
                    </w:rPr>
                    <w:t>污水处理厂</w:t>
                  </w:r>
                  <w:r>
                    <w:rPr>
                      <w:sz w:val="21"/>
                      <w:szCs w:val="21"/>
                    </w:rPr>
                    <w:t>处理后排入</w:t>
                  </w:r>
                  <w:r>
                    <w:rPr>
                      <w:rFonts w:hint="eastAsia"/>
                      <w:sz w:val="21"/>
                      <w:szCs w:val="21"/>
                      <w:lang w:val="en-US" w:eastAsia="zh-CN"/>
                    </w:rPr>
                    <w:t>派河</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0" w:type="auto"/>
                  <w:vMerge w:val="continue"/>
                  <w:tcBorders>
                    <w:left w:val="single" w:color="auto" w:sz="4" w:space="0"/>
                    <w:right w:val="single" w:color="auto" w:sz="4" w:space="0"/>
                  </w:tcBorders>
                  <w:noWrap w:val="0"/>
                  <w:vAlign w:val="center"/>
                </w:tcPr>
                <w:p>
                  <w:pPr>
                    <w:jc w:val="center"/>
                    <w:rPr>
                      <w:sz w:val="21"/>
                      <w:szCs w:val="21"/>
                    </w:rPr>
                  </w:pPr>
                </w:p>
              </w:tc>
              <w:tc>
                <w:tcPr>
                  <w:tcW w:w="403" w:type="dxa"/>
                  <w:vMerge w:val="continue"/>
                  <w:tcBorders>
                    <w:left w:val="single" w:color="auto" w:sz="4" w:space="0"/>
                    <w:right w:val="single" w:color="auto" w:sz="4" w:space="0"/>
                  </w:tcBorders>
                  <w:noWrap w:val="0"/>
                  <w:vAlign w:val="center"/>
                </w:tcPr>
                <w:p>
                  <w:pPr>
                    <w:jc w:val="center"/>
                    <w:rPr>
                      <w:sz w:val="21"/>
                      <w:szCs w:val="21"/>
                    </w:rPr>
                  </w:pP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固废处理</w:t>
                  </w:r>
                </w:p>
              </w:tc>
              <w:tc>
                <w:tcPr>
                  <w:tcW w:w="259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Style w:val="21"/>
                      <w:rFonts w:ascii="Times New Roman" w:hAnsi="Times New Roman" w:cs="Times New Roman"/>
                      <w:kern w:val="2"/>
                      <w:sz w:val="21"/>
                      <w:szCs w:val="21"/>
                    </w:rPr>
                    <w:t>生活垃圾交由环卫部门统一处理；</w:t>
                  </w:r>
                  <w:r>
                    <w:rPr>
                      <w:rStyle w:val="21"/>
                      <w:rFonts w:hint="eastAsia" w:ascii="Times New Roman" w:hAnsi="Times New Roman" w:cs="Times New Roman"/>
                      <w:kern w:val="2"/>
                      <w:sz w:val="21"/>
                      <w:szCs w:val="21"/>
                      <w:lang w:val="en-US" w:eastAsia="zh-CN"/>
                    </w:rPr>
                    <w:t>车间生产加工过程产生的废料，由专业物资部门回收处理；</w:t>
                  </w:r>
                  <w:r>
                    <w:rPr>
                      <w:rStyle w:val="21"/>
                      <w:rFonts w:ascii="Times New Roman" w:hAnsi="Times New Roman" w:cs="Times New Roman"/>
                      <w:kern w:val="2"/>
                      <w:sz w:val="21"/>
                      <w:szCs w:val="21"/>
                    </w:rPr>
                    <w:t>危险废物收集后交由资质单位处置，设置危险废物临时贮存房</w:t>
                  </w:r>
                  <w:r>
                    <w:rPr>
                      <w:rStyle w:val="21"/>
                      <w:rFonts w:hint="eastAsia" w:ascii="Times New Roman" w:hAnsi="Times New Roman" w:cs="Times New Roman"/>
                      <w:kern w:val="2"/>
                      <w:sz w:val="21"/>
                      <w:szCs w:val="21"/>
                      <w:lang w:val="en-US" w:eastAsia="zh-CN"/>
                    </w:rPr>
                    <w:t>8</w:t>
                  </w:r>
                  <w:r>
                    <w:rPr>
                      <w:rStyle w:val="21"/>
                      <w:rFonts w:ascii="Times New Roman" w:hAnsi="Times New Roman" w:cs="Times New Roman"/>
                      <w:kern w:val="2"/>
                      <w:sz w:val="21"/>
                      <w:szCs w:val="21"/>
                    </w:rPr>
                    <w:t xml:space="preserve"> m</w:t>
                  </w:r>
                  <w:r>
                    <w:rPr>
                      <w:rStyle w:val="21"/>
                      <w:rFonts w:ascii="Times New Roman" w:hAnsi="Times New Roman" w:cs="Times New Roman"/>
                      <w:kern w:val="2"/>
                      <w:sz w:val="21"/>
                      <w:szCs w:val="21"/>
                      <w:vertAlign w:val="superscript"/>
                    </w:rPr>
                    <w:t>2</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Style w:val="21"/>
                      <w:rFonts w:ascii="Times New Roman" w:hAnsi="Times New Roman" w:cs="Times New Roman"/>
                      <w:kern w:val="2"/>
                      <w:sz w:val="21"/>
                      <w:szCs w:val="21"/>
                    </w:rPr>
                  </w:pPr>
                  <w:r>
                    <w:rPr>
                      <w:rStyle w:val="21"/>
                      <w:rFonts w:ascii="Times New Roman" w:hAnsi="Times New Roman" w:cs="Times New Roman"/>
                      <w:kern w:val="2"/>
                      <w:sz w:val="21"/>
                      <w:szCs w:val="21"/>
                    </w:rPr>
                    <w:t>生活垃圾交由环卫部门统一处理；</w:t>
                  </w:r>
                  <w:r>
                    <w:rPr>
                      <w:rStyle w:val="21"/>
                      <w:rFonts w:hint="eastAsia" w:ascii="Times New Roman" w:hAnsi="Times New Roman" w:cs="Times New Roman"/>
                      <w:kern w:val="2"/>
                      <w:sz w:val="21"/>
                      <w:szCs w:val="21"/>
                      <w:lang w:val="en-US" w:eastAsia="zh-CN"/>
                    </w:rPr>
                    <w:t>车间生产加工过程产生的废料，由专业物资部门回收处理</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Style w:val="21"/>
                      <w:rFonts w:hint="default" w:ascii="Times New Roman" w:hAnsi="Times New Roman" w:eastAsia="宋体" w:cs="Times New Roman"/>
                      <w:kern w:val="2"/>
                      <w:sz w:val="21"/>
                      <w:szCs w:val="21"/>
                      <w:lang w:val="en-US" w:eastAsia="zh-CN"/>
                    </w:rPr>
                  </w:pPr>
                  <w:r>
                    <w:rPr>
                      <w:rFonts w:hint="eastAsia" w:ascii="Times New Roman" w:hAnsi="Times New Roman" w:cs="Times New Roman"/>
                      <w:sz w:val="21"/>
                      <w:szCs w:val="21"/>
                      <w:lang w:val="en-US" w:eastAsia="zh-CN"/>
                    </w:rPr>
                    <w:t>无危废产生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0" w:type="auto"/>
                  <w:vMerge w:val="continue"/>
                  <w:tcBorders>
                    <w:left w:val="single" w:color="auto" w:sz="4" w:space="0"/>
                    <w:right w:val="single" w:color="auto" w:sz="4" w:space="0"/>
                  </w:tcBorders>
                  <w:noWrap w:val="0"/>
                  <w:vAlign w:val="center"/>
                </w:tcPr>
                <w:p>
                  <w:pPr>
                    <w:jc w:val="center"/>
                    <w:rPr>
                      <w:sz w:val="21"/>
                      <w:szCs w:val="21"/>
                    </w:rPr>
                  </w:pPr>
                </w:p>
              </w:tc>
              <w:tc>
                <w:tcPr>
                  <w:tcW w:w="403" w:type="dxa"/>
                  <w:vMerge w:val="continue"/>
                  <w:tcBorders>
                    <w:left w:val="single" w:color="auto" w:sz="4" w:space="0"/>
                    <w:right w:val="single" w:color="auto" w:sz="4" w:space="0"/>
                  </w:tcBorders>
                  <w:noWrap w:val="0"/>
                  <w:vAlign w:val="center"/>
                </w:tcPr>
                <w:p>
                  <w:pPr>
                    <w:jc w:val="center"/>
                    <w:rPr>
                      <w:sz w:val="21"/>
                      <w:szCs w:val="21"/>
                    </w:rPr>
                  </w:pPr>
                </w:p>
              </w:tc>
              <w:tc>
                <w:tcPr>
                  <w:tcW w:w="61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噪声治理</w:t>
                  </w:r>
                </w:p>
              </w:tc>
              <w:tc>
                <w:tcPr>
                  <w:tcW w:w="2595"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选用低噪声设备，并采取减振、消声、隔声等降噪措施</w:t>
                  </w:r>
                </w:p>
              </w:tc>
              <w:tc>
                <w:tcPr>
                  <w:tcW w:w="2997" w:type="dxa"/>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减振、厂房隔声</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14"/>
                    <w:widowControl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与环评一致</w:t>
                  </w:r>
                </w:p>
              </w:tc>
            </w:tr>
          </w:tbl>
          <w:p>
            <w:pPr>
              <w:pStyle w:val="3"/>
              <w:adjustRightInd/>
              <w:snapToGrid/>
              <w:spacing w:after="0"/>
              <w:ind w:left="0"/>
              <w:jc w:val="left"/>
              <w:textAlignment w:val="auto"/>
              <w:rPr>
                <w:rFonts w:ascii="Times New Roman" w:hAnsi="Times New Roman"/>
                <w:b/>
                <w:bCs/>
                <w:sz w:val="28"/>
                <w:szCs w:val="28"/>
              </w:rPr>
            </w:pPr>
            <w:bookmarkStart w:id="5" w:name="_Toc5176_WPSOffice_Level2"/>
            <w:bookmarkStart w:id="6" w:name="_Toc27003"/>
            <w:bookmarkStart w:id="7" w:name="_Toc13863"/>
            <w:bookmarkStart w:id="8" w:name="_Toc10472"/>
            <w:r>
              <w:rPr>
                <w:rFonts w:hint="eastAsia" w:ascii="Times New Roman" w:hAnsi="Times New Roman"/>
                <w:b/>
                <w:bCs/>
                <w:sz w:val="28"/>
                <w:szCs w:val="28"/>
              </w:rPr>
              <w:t>2</w:t>
            </w:r>
            <w:r>
              <w:rPr>
                <w:rFonts w:ascii="Times New Roman" w:hAnsi="Times New Roman"/>
                <w:b/>
                <w:bCs/>
                <w:sz w:val="28"/>
                <w:szCs w:val="28"/>
              </w:rPr>
              <w:t>.3、项目变更情况</w:t>
            </w:r>
            <w:bookmarkEnd w:id="5"/>
            <w:bookmarkEnd w:id="6"/>
            <w:bookmarkEnd w:id="7"/>
            <w:bookmarkEnd w:id="8"/>
          </w:p>
          <w:p>
            <w:pPr>
              <w:widowControl/>
              <w:spacing w:line="360" w:lineRule="auto"/>
              <w:ind w:firstLine="480" w:firstLineChars="200"/>
              <w:jc w:val="left"/>
              <w:rPr>
                <w:rFonts w:hint="default"/>
                <w:color w:val="auto"/>
                <w:sz w:val="24"/>
                <w:lang w:val="en-US" w:eastAsia="zh-CN"/>
              </w:rPr>
            </w:pPr>
            <w:r>
              <w:rPr>
                <w:rFonts w:hint="eastAsia"/>
                <w:sz w:val="24"/>
              </w:rPr>
              <w:t>环评中</w:t>
            </w:r>
            <w:r>
              <w:rPr>
                <w:rFonts w:hint="eastAsia"/>
                <w:sz w:val="24"/>
                <w:szCs w:val="24"/>
              </w:rPr>
              <w:t>设计，</w:t>
            </w:r>
            <w:r>
              <w:rPr>
                <w:rFonts w:hint="eastAsia"/>
                <w:bCs/>
                <w:sz w:val="24"/>
                <w:szCs w:val="24"/>
                <w:lang w:val="en-US" w:eastAsia="zh-CN"/>
              </w:rPr>
              <w:t>打胶、晾干</w:t>
            </w:r>
            <w:r>
              <w:rPr>
                <w:rFonts w:hint="eastAsia"/>
                <w:bCs/>
                <w:sz w:val="24"/>
                <w:szCs w:val="24"/>
              </w:rPr>
              <w:t>工序</w:t>
            </w:r>
            <w:r>
              <w:rPr>
                <w:rFonts w:hint="eastAsia"/>
                <w:bCs/>
                <w:sz w:val="24"/>
                <w:szCs w:val="24"/>
                <w:lang w:val="en-US" w:eastAsia="zh-CN"/>
              </w:rPr>
              <w:t>产生的非甲烷总烃，经活性炭+UV光解装置处理达标后，15m高排气筒高空排放</w:t>
            </w:r>
            <w:r>
              <w:rPr>
                <w:rFonts w:hint="eastAsia" w:ascii="Times New Roman" w:hAnsi="Times New Roman" w:cs="Times New Roman"/>
                <w:sz w:val="24"/>
                <w:szCs w:val="24"/>
                <w:lang w:val="en-US" w:eastAsia="zh-CN"/>
              </w:rPr>
              <w:t>，实际未建设，打胶、晾干工序外协</w:t>
            </w:r>
            <w:r>
              <w:rPr>
                <w:rFonts w:hint="eastAsia" w:cs="Times New Roman"/>
                <w:sz w:val="24"/>
                <w:szCs w:val="24"/>
                <w:lang w:val="en-US" w:eastAsia="zh-CN"/>
              </w:rPr>
              <w:t>。</w:t>
            </w:r>
          </w:p>
          <w:p>
            <w:pPr>
              <w:widowControl/>
              <w:spacing w:line="360" w:lineRule="auto"/>
              <w:ind w:firstLine="480" w:firstLineChars="200"/>
              <w:jc w:val="left"/>
              <w:rPr>
                <w:rFonts w:hint="eastAsia"/>
                <w:color w:val="auto"/>
                <w:sz w:val="24"/>
                <w:lang w:val="en-US" w:eastAsia="zh-CN"/>
              </w:rPr>
            </w:pPr>
            <w:r>
              <w:rPr>
                <w:rFonts w:hint="eastAsia"/>
                <w:color w:val="auto"/>
                <w:sz w:val="24"/>
                <w:lang w:val="en-US" w:eastAsia="zh-CN"/>
              </w:rPr>
              <w:t>综上所述，根据环境保护部2017年11月20日关于发布《建设项目竣工环境保护验收暂行办法》的公告（国环规环评[2017]4号），以排放污染物为主的建设项目，参照《建设项目竣工环境保护验收技术指南 污染影响类》编制验收监测报告，根据《关于修改&lt;建设项目环境保护管理条例&gt;的决定》（中华人民共和国国务院令第682号）、《关于印发环评管理中部分行业建设项目重大变动清单的通知》（环办【2015】52号）、《关于印发制浆造纸等十四个行业建设项目重大变动清单的通知》（环办环评【2018】6号），建设项目的性质、规模、地点、采用的生产工艺或者防治污染、防止生态破坏的措施发生重大变动需重新报批环评手续，本项目不属于重大变动。</w:t>
            </w:r>
          </w:p>
          <w:p>
            <w:pPr>
              <w:pStyle w:val="4"/>
              <w:numPr>
                <w:ilvl w:val="0"/>
                <w:numId w:val="0"/>
              </w:numPr>
              <w:tabs>
                <w:tab w:val="clear" w:pos="1260"/>
              </w:tabs>
              <w:spacing w:before="0" w:after="0" w:line="360" w:lineRule="auto"/>
              <w:jc w:val="left"/>
              <w:rPr>
                <w:rFonts w:hint="default" w:ascii="Times New Roman" w:hAnsi="Times New Roman" w:eastAsia="宋体" w:cs="Times New Roman"/>
                <w:szCs w:val="28"/>
                <w:lang w:val="en-US" w:eastAsia="zh-CN"/>
              </w:rPr>
            </w:pPr>
            <w:r>
              <w:rPr>
                <w:rFonts w:hint="eastAsia" w:ascii="Times New Roman" w:hAnsi="Times New Roman" w:cs="Times New Roman"/>
                <w:szCs w:val="28"/>
              </w:rPr>
              <w:t>2.4</w:t>
            </w:r>
            <w:r>
              <w:rPr>
                <w:rFonts w:ascii="Times New Roman" w:hAnsi="Times New Roman" w:cs="Times New Roman"/>
                <w:szCs w:val="28"/>
              </w:rPr>
              <w:t>、建设项目主要生产设备情况</w:t>
            </w:r>
            <w:r>
              <w:rPr>
                <w:rFonts w:hint="eastAsia" w:ascii="Times New Roman" w:hAnsi="Times New Roman" w:cs="Times New Roman"/>
                <w:szCs w:val="28"/>
                <w:lang w:val="en-US" w:eastAsia="zh-CN"/>
              </w:rPr>
              <w:t>及产品方案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outlineLvl w:val="9"/>
              <w:rPr>
                <w:sz w:val="24"/>
              </w:rPr>
            </w:pPr>
            <w:r>
              <w:rPr>
                <w:rFonts w:hint="eastAsia"/>
                <w:sz w:val="24"/>
              </w:rPr>
              <w:t>本</w:t>
            </w:r>
            <w:r>
              <w:rPr>
                <w:sz w:val="24"/>
              </w:rPr>
              <w:t>项目实际生产主要设备情况详见表2-2。</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bCs/>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bCs/>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bCs/>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b/>
                <w:bCs/>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sz w:val="24"/>
                <w:szCs w:val="24"/>
              </w:rPr>
            </w:pPr>
            <w:r>
              <w:rPr>
                <w:b/>
                <w:bCs/>
                <w:sz w:val="24"/>
                <w:szCs w:val="24"/>
              </w:rPr>
              <w:t>表2-2</w:t>
            </w:r>
            <w:r>
              <w:rPr>
                <w:rFonts w:hint="eastAsia"/>
                <w:b/>
                <w:bCs/>
                <w:sz w:val="24"/>
                <w:szCs w:val="24"/>
                <w:lang w:val="en-US" w:eastAsia="zh-CN"/>
              </w:rPr>
              <w:t xml:space="preserve">  </w:t>
            </w:r>
            <w:r>
              <w:rPr>
                <w:rFonts w:hint="eastAsia"/>
                <w:b/>
                <w:bCs/>
                <w:sz w:val="24"/>
                <w:szCs w:val="24"/>
              </w:rPr>
              <w:t>本</w:t>
            </w:r>
            <w:r>
              <w:rPr>
                <w:b/>
                <w:sz w:val="24"/>
                <w:szCs w:val="24"/>
              </w:rPr>
              <w:t>项目实际设备</w:t>
            </w:r>
            <w:r>
              <w:rPr>
                <w:b/>
                <w:bCs/>
                <w:sz w:val="24"/>
                <w:szCs w:val="24"/>
              </w:rPr>
              <w:t>情况一览表</w:t>
            </w:r>
          </w:p>
          <w:tbl>
            <w:tblPr>
              <w:tblStyle w:val="1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3"/>
              <w:gridCol w:w="2017"/>
              <w:gridCol w:w="1891"/>
              <w:gridCol w:w="986"/>
              <w:gridCol w:w="1043"/>
              <w:gridCol w:w="16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cs="宋体"/>
                      <w:kern w:val="0"/>
                      <w:szCs w:val="21"/>
                      <w:lang w:bidi="ar"/>
                    </w:rPr>
                    <w:t>序号</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cs="宋体"/>
                      <w:kern w:val="0"/>
                      <w:szCs w:val="21"/>
                      <w:lang w:bidi="ar"/>
                    </w:rPr>
                    <w:t>设备名称</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cs="宋体"/>
                      <w:kern w:val="0"/>
                      <w:szCs w:val="21"/>
                      <w:lang w:bidi="ar"/>
                    </w:rPr>
                    <w:t>规格型号</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cs="宋体"/>
                      <w:kern w:val="0"/>
                      <w:szCs w:val="21"/>
                      <w:lang w:bidi="ar"/>
                    </w:rPr>
                    <w:t>环评设计内容（台）</w:t>
                  </w:r>
                </w:p>
              </w:tc>
              <w:tc>
                <w:tcPr>
                  <w:tcW w:w="1043" w:type="dxa"/>
                  <w:tcBorders>
                    <w:top w:val="single" w:color="auto" w:sz="2" w:space="0"/>
                    <w:left w:val="single" w:color="auto" w:sz="2" w:space="0"/>
                    <w:bottom w:val="single" w:color="auto" w:sz="2" w:space="0"/>
                    <w:right w:val="single" w:color="auto" w:sz="2" w:space="0"/>
                  </w:tcBorders>
                  <w:noWrap w:val="0"/>
                  <w:vAlign w:val="top"/>
                </w:tcPr>
                <w:p>
                  <w:pPr>
                    <w:jc w:val="center"/>
                    <w:rPr>
                      <w:kern w:val="0"/>
                      <w:szCs w:val="21"/>
                    </w:rPr>
                  </w:pPr>
                  <w:r>
                    <w:rPr>
                      <w:rFonts w:hint="eastAsia" w:cs="宋体"/>
                      <w:kern w:val="0"/>
                      <w:szCs w:val="21"/>
                      <w:lang w:bidi="ar"/>
                    </w:rPr>
                    <w:t>实际工程内容（台）</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rPr>
                      <w:rFonts w:cs="宋体"/>
                      <w:kern w:val="0"/>
                      <w:szCs w:val="21"/>
                      <w:lang w:bidi="ar"/>
                    </w:rPr>
                  </w:pPr>
                  <w:r>
                    <w:rPr>
                      <w:rFonts w:hint="eastAsia" w:cs="宋体"/>
                      <w:kern w:val="0"/>
                      <w:szCs w:val="21"/>
                      <w:lang w:bidi="ar"/>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1</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kern w:val="0"/>
                      <w:szCs w:val="21"/>
                      <w:lang w:val="en-US" w:eastAsia="zh-CN"/>
                    </w:rPr>
                    <w:t>双头锯切割机</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eastAsia="宋体"/>
                      <w:kern w:val="0"/>
                      <w:szCs w:val="21"/>
                      <w:lang w:eastAsia="zh-CN"/>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rFonts w:hint="eastAsia" w:eastAsia="宋体"/>
                      <w:szCs w:val="21"/>
                      <w:lang w:eastAsia="zh-CN"/>
                    </w:rPr>
                  </w:pPr>
                  <w:r>
                    <w:rPr>
                      <w:rFonts w:hint="eastAsia"/>
                      <w:kern w:val="0"/>
                      <w:szCs w:val="21"/>
                      <w:lang w:val="en-US" w:eastAsia="zh-CN" w:bidi="ar"/>
                    </w:rPr>
                    <w:t>2</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2</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rFonts w:hint="eastAsia" w:eastAsia="宋体"/>
                      <w:kern w:val="0"/>
                      <w:szCs w:val="21"/>
                      <w:lang w:eastAsia="zh-CN"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7"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2</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仿形锯铣床</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rFonts w:hint="eastAsia" w:eastAsia="宋体"/>
                      <w:kern w:val="0"/>
                      <w:szCs w:val="21"/>
                      <w:lang w:eastAsia="zh-CN"/>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3</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多面刀铣床</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4</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角码切割机</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5</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eastAsia" w:eastAsia="宋体"/>
                      <w:kern w:val="0"/>
                      <w:szCs w:val="21"/>
                      <w:lang w:eastAsia="zh-CN"/>
                    </w:rPr>
                  </w:pPr>
                  <w:r>
                    <w:rPr>
                      <w:rFonts w:hint="eastAsia" w:cs="宋体"/>
                      <w:kern w:val="0"/>
                      <w:szCs w:val="21"/>
                      <w:lang w:val="en-US" w:eastAsia="zh-CN" w:bidi="ar"/>
                    </w:rPr>
                    <w:t>砂轮切割机</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6</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铝合金组角机</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7</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电动台钻</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center"/>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center"/>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8</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压线冲压机</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bottom"/>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bottom"/>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bottom"/>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9</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电动冲床</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bottom"/>
                    <w:rPr>
                      <w:rFonts w:hint="eastAsia" w:eastAsia="宋体"/>
                      <w:kern w:val="0"/>
                      <w:szCs w:val="21"/>
                      <w:lang w:eastAsia="zh-CN"/>
                    </w:rPr>
                  </w:pPr>
                  <w:r>
                    <w:rPr>
                      <w:rFonts w:hint="eastAsia"/>
                      <w:kern w:val="0"/>
                      <w:szCs w:val="21"/>
                      <w:lang w:val="en-US" w:eastAsia="zh-CN" w:bidi="ar"/>
                    </w:rPr>
                    <w:t>2</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bottom"/>
                    <w:rPr>
                      <w:kern w:val="0"/>
                      <w:szCs w:val="21"/>
                      <w:lang w:bidi="ar"/>
                    </w:rPr>
                  </w:pPr>
                  <w:r>
                    <w:rPr>
                      <w:rFonts w:hint="eastAsia"/>
                      <w:kern w:val="0"/>
                      <w:szCs w:val="21"/>
                      <w:lang w:val="en-US" w:eastAsia="zh-CN" w:bidi="ar"/>
                    </w:rPr>
                    <w:t>2</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bottom"/>
                    <w:rPr>
                      <w:kern w:val="0"/>
                      <w:szCs w:val="21"/>
                      <w:lang w:bidi="ar"/>
                    </w:rPr>
                  </w:pPr>
                  <w:r>
                    <w:rPr>
                      <w:rFonts w:hint="eastAsia"/>
                      <w:kern w:val="0"/>
                      <w:szCs w:val="21"/>
                      <w:lang w:val="en-US" w:eastAsia="zh-CN" w:bidi="ar"/>
                    </w:rPr>
                    <w:t>与环评一致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703"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kern w:val="0"/>
                      <w:szCs w:val="21"/>
                      <w:lang w:bidi="ar"/>
                    </w:rPr>
                    <w:t>10</w:t>
                  </w:r>
                </w:p>
              </w:tc>
              <w:tc>
                <w:tcPr>
                  <w:tcW w:w="201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eastAsia="宋体"/>
                      <w:kern w:val="0"/>
                      <w:szCs w:val="21"/>
                      <w:lang w:val="en-US" w:eastAsia="zh-CN"/>
                    </w:rPr>
                  </w:pPr>
                  <w:r>
                    <w:rPr>
                      <w:rFonts w:hint="eastAsia" w:cs="宋体"/>
                      <w:kern w:val="0"/>
                      <w:szCs w:val="21"/>
                      <w:lang w:val="en-US" w:eastAsia="zh-CN" w:bidi="ar"/>
                    </w:rPr>
                    <w:t>重型气泵</w:t>
                  </w:r>
                </w:p>
              </w:tc>
              <w:tc>
                <w:tcPr>
                  <w:tcW w:w="1891" w:type="dxa"/>
                  <w:tcBorders>
                    <w:top w:val="single" w:color="auto" w:sz="2" w:space="0"/>
                    <w:left w:val="single" w:color="auto" w:sz="2" w:space="0"/>
                    <w:bottom w:val="single" w:color="auto" w:sz="2" w:space="0"/>
                    <w:right w:val="single" w:color="auto" w:sz="2" w:space="0"/>
                  </w:tcBorders>
                  <w:noWrap w:val="0"/>
                  <w:vAlign w:val="center"/>
                </w:tcPr>
                <w:p>
                  <w:pPr>
                    <w:jc w:val="center"/>
                    <w:rPr>
                      <w:kern w:val="0"/>
                      <w:szCs w:val="21"/>
                    </w:rPr>
                  </w:pPr>
                  <w:r>
                    <w:rPr>
                      <w:rFonts w:hint="eastAsia"/>
                      <w:kern w:val="0"/>
                      <w:szCs w:val="21"/>
                      <w:lang w:val="en-US" w:eastAsia="zh-CN" w:bidi="ar"/>
                    </w:rPr>
                    <w:t>/</w:t>
                  </w:r>
                </w:p>
              </w:tc>
              <w:tc>
                <w:tcPr>
                  <w:tcW w:w="986" w:type="dxa"/>
                  <w:tcBorders>
                    <w:top w:val="single" w:color="auto" w:sz="2" w:space="0"/>
                    <w:left w:val="single" w:color="auto" w:sz="2" w:space="0"/>
                    <w:bottom w:val="single" w:color="auto" w:sz="2" w:space="0"/>
                    <w:right w:val="single" w:color="auto" w:sz="2" w:space="0"/>
                  </w:tcBorders>
                  <w:noWrap w:val="0"/>
                  <w:vAlign w:val="center"/>
                </w:tcPr>
                <w:p>
                  <w:pPr>
                    <w:jc w:val="center"/>
                    <w:textAlignment w:val="bottom"/>
                    <w:rPr>
                      <w:kern w:val="0"/>
                      <w:szCs w:val="21"/>
                    </w:rPr>
                  </w:pPr>
                  <w:r>
                    <w:rPr>
                      <w:rFonts w:hint="eastAsia"/>
                      <w:kern w:val="0"/>
                      <w:szCs w:val="21"/>
                      <w:lang w:val="en-US" w:eastAsia="zh-CN" w:bidi="ar"/>
                    </w:rPr>
                    <w:t>1</w:t>
                  </w:r>
                </w:p>
              </w:tc>
              <w:tc>
                <w:tcPr>
                  <w:tcW w:w="1043" w:type="dxa"/>
                  <w:tcBorders>
                    <w:top w:val="single" w:color="auto" w:sz="2" w:space="0"/>
                    <w:left w:val="single" w:color="auto" w:sz="2" w:space="0"/>
                    <w:bottom w:val="single" w:color="auto" w:sz="2" w:space="0"/>
                    <w:right w:val="single" w:color="auto" w:sz="2" w:space="0"/>
                  </w:tcBorders>
                  <w:noWrap w:val="0"/>
                  <w:vAlign w:val="center"/>
                </w:tcPr>
                <w:p>
                  <w:pPr>
                    <w:jc w:val="center"/>
                    <w:textAlignment w:val="bottom"/>
                    <w:rPr>
                      <w:kern w:val="0"/>
                      <w:szCs w:val="21"/>
                      <w:lang w:bidi="ar"/>
                    </w:rPr>
                  </w:pPr>
                  <w:r>
                    <w:rPr>
                      <w:rFonts w:hint="eastAsia"/>
                      <w:kern w:val="0"/>
                      <w:szCs w:val="21"/>
                      <w:lang w:val="en-US" w:eastAsia="zh-CN" w:bidi="ar"/>
                    </w:rPr>
                    <w:t>1</w:t>
                  </w:r>
                </w:p>
              </w:tc>
              <w:tc>
                <w:tcPr>
                  <w:tcW w:w="1610" w:type="dxa"/>
                  <w:tcBorders>
                    <w:top w:val="single" w:color="auto" w:sz="2" w:space="0"/>
                    <w:left w:val="single" w:color="auto" w:sz="2" w:space="0"/>
                    <w:bottom w:val="single" w:color="auto" w:sz="2" w:space="0"/>
                    <w:right w:val="single" w:color="auto" w:sz="2" w:space="0"/>
                  </w:tcBorders>
                  <w:noWrap w:val="0"/>
                  <w:vAlign w:val="top"/>
                </w:tcPr>
                <w:p>
                  <w:pPr>
                    <w:jc w:val="center"/>
                    <w:textAlignment w:val="bottom"/>
                    <w:rPr>
                      <w:kern w:val="0"/>
                      <w:szCs w:val="21"/>
                      <w:lang w:bidi="ar"/>
                    </w:rPr>
                  </w:pPr>
                  <w:r>
                    <w:rPr>
                      <w:rFonts w:hint="eastAsia"/>
                      <w:kern w:val="0"/>
                      <w:szCs w:val="21"/>
                      <w:lang w:val="en-US" w:eastAsia="zh-CN" w:bidi="ar"/>
                    </w:rPr>
                    <w:t>与环评一致</w:t>
                  </w:r>
                </w:p>
              </w:tc>
            </w:tr>
          </w:tbl>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9"/>
              <w:rPr>
                <w:sz w:val="24"/>
              </w:rPr>
            </w:pPr>
          </w:p>
          <w:p>
            <w:pPr>
              <w:adjustRightInd w:val="0"/>
              <w:snapToGrid w:val="0"/>
              <w:spacing w:line="360" w:lineRule="auto"/>
              <w:ind w:firstLine="482" w:firstLineChars="200"/>
              <w:jc w:val="center"/>
              <w:rPr>
                <w:rStyle w:val="21"/>
                <w:rFonts w:hint="eastAsia"/>
              </w:rPr>
            </w:pPr>
            <w:r>
              <w:rPr>
                <w:b/>
                <w:kern w:val="24"/>
                <w:sz w:val="24"/>
                <w:szCs w:val="20"/>
              </w:rPr>
              <w:t>表2-</w:t>
            </w:r>
            <w:r>
              <w:rPr>
                <w:rFonts w:hint="eastAsia"/>
                <w:b/>
                <w:kern w:val="24"/>
                <w:sz w:val="24"/>
                <w:szCs w:val="20"/>
                <w:lang w:val="en-US" w:eastAsia="zh-CN"/>
              </w:rPr>
              <w:t>3</w:t>
            </w:r>
            <w:r>
              <w:rPr>
                <w:b/>
                <w:kern w:val="24"/>
                <w:sz w:val="24"/>
                <w:szCs w:val="20"/>
              </w:rPr>
              <w:t>项目产品方案</w:t>
            </w:r>
          </w:p>
          <w:tbl>
            <w:tblPr>
              <w:tblStyle w:val="15"/>
              <w:tblW w:w="724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5"/>
              <w:gridCol w:w="2739"/>
              <w:gridCol w:w="766"/>
              <w:gridCol w:w="1185"/>
              <w:gridCol w:w="18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5" w:type="dxa"/>
                  <w:noWrap w:val="0"/>
                  <w:vAlign w:val="center"/>
                </w:tcPr>
                <w:p>
                  <w:pPr>
                    <w:jc w:val="center"/>
                    <w:rPr>
                      <w:szCs w:val="21"/>
                    </w:rPr>
                  </w:pPr>
                  <w:r>
                    <w:rPr>
                      <w:szCs w:val="21"/>
                    </w:rPr>
                    <w:t>序号</w:t>
                  </w:r>
                </w:p>
              </w:tc>
              <w:tc>
                <w:tcPr>
                  <w:tcW w:w="2739" w:type="dxa"/>
                  <w:noWrap w:val="0"/>
                  <w:vAlign w:val="center"/>
                </w:tcPr>
                <w:p>
                  <w:pPr>
                    <w:jc w:val="center"/>
                    <w:rPr>
                      <w:szCs w:val="21"/>
                    </w:rPr>
                  </w:pPr>
                  <w:r>
                    <w:rPr>
                      <w:szCs w:val="21"/>
                    </w:rPr>
                    <w:t>名称</w:t>
                  </w:r>
                </w:p>
              </w:tc>
              <w:tc>
                <w:tcPr>
                  <w:tcW w:w="766" w:type="dxa"/>
                  <w:noWrap w:val="0"/>
                  <w:vAlign w:val="center"/>
                </w:tcPr>
                <w:p>
                  <w:pPr>
                    <w:jc w:val="center"/>
                    <w:rPr>
                      <w:szCs w:val="21"/>
                    </w:rPr>
                  </w:pPr>
                  <w:r>
                    <w:rPr>
                      <w:szCs w:val="21"/>
                    </w:rPr>
                    <w:t>单位</w:t>
                  </w:r>
                </w:p>
              </w:tc>
              <w:tc>
                <w:tcPr>
                  <w:tcW w:w="1185" w:type="dxa"/>
                  <w:noWrap w:val="0"/>
                  <w:vAlign w:val="center"/>
                </w:tcPr>
                <w:p>
                  <w:pPr>
                    <w:jc w:val="center"/>
                    <w:rPr>
                      <w:szCs w:val="21"/>
                    </w:rPr>
                  </w:pPr>
                  <w:r>
                    <w:rPr>
                      <w:rFonts w:hint="eastAsia"/>
                      <w:szCs w:val="21"/>
                    </w:rPr>
                    <w:t>设计能力</w:t>
                  </w:r>
                </w:p>
              </w:tc>
              <w:tc>
                <w:tcPr>
                  <w:tcW w:w="1846" w:type="dxa"/>
                  <w:noWrap w:val="0"/>
                  <w:vAlign w:val="center"/>
                </w:tcPr>
                <w:p>
                  <w:pPr>
                    <w:jc w:val="center"/>
                    <w:rPr>
                      <w:szCs w:val="21"/>
                    </w:rPr>
                  </w:pPr>
                  <w:r>
                    <w:rPr>
                      <w:rFonts w:hint="eastAsia"/>
                      <w:szCs w:val="21"/>
                    </w:rPr>
                    <w:t>实际生产能力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5" w:type="dxa"/>
                  <w:noWrap w:val="0"/>
                  <w:vAlign w:val="center"/>
                </w:tcPr>
                <w:p>
                  <w:pPr>
                    <w:jc w:val="center"/>
                    <w:rPr>
                      <w:szCs w:val="21"/>
                    </w:rPr>
                  </w:pPr>
                  <w:r>
                    <w:rPr>
                      <w:szCs w:val="21"/>
                    </w:rPr>
                    <w:t>1</w:t>
                  </w:r>
                </w:p>
              </w:tc>
              <w:tc>
                <w:tcPr>
                  <w:tcW w:w="2739" w:type="dxa"/>
                  <w:noWrap w:val="0"/>
                  <w:vAlign w:val="center"/>
                </w:tcPr>
                <w:p>
                  <w:pPr>
                    <w:jc w:val="center"/>
                    <w:textAlignment w:val="center"/>
                    <w:rPr>
                      <w:rFonts w:hint="eastAsia" w:eastAsia="宋体"/>
                      <w:szCs w:val="21"/>
                      <w:lang w:eastAsia="zh-CN"/>
                    </w:rPr>
                  </w:pPr>
                  <w:r>
                    <w:rPr>
                      <w:rFonts w:hint="eastAsia"/>
                      <w:szCs w:val="21"/>
                      <w:lang w:val="en-US" w:eastAsia="zh-CN"/>
                    </w:rPr>
                    <w:t>铝合金门窗</w:t>
                  </w:r>
                </w:p>
              </w:tc>
              <w:tc>
                <w:tcPr>
                  <w:tcW w:w="766" w:type="dxa"/>
                  <w:noWrap w:val="0"/>
                  <w:vAlign w:val="center"/>
                </w:tcPr>
                <w:p>
                  <w:pPr>
                    <w:jc w:val="center"/>
                    <w:textAlignment w:val="center"/>
                    <w:rPr>
                      <w:rFonts w:hint="eastAsia" w:eastAsia="宋体"/>
                      <w:szCs w:val="21"/>
                      <w:lang w:eastAsia="zh-CN"/>
                    </w:rPr>
                  </w:pPr>
                  <w:r>
                    <w:rPr>
                      <w:rFonts w:hint="eastAsia"/>
                      <w:szCs w:val="21"/>
                      <w:lang w:val="en-US" w:eastAsia="zh-CN"/>
                    </w:rPr>
                    <w:t>m</w:t>
                  </w:r>
                  <w:r>
                    <w:rPr>
                      <w:rFonts w:hint="eastAsia"/>
                      <w:szCs w:val="21"/>
                      <w:vertAlign w:val="superscript"/>
                      <w:lang w:val="en-US" w:eastAsia="zh-CN"/>
                    </w:rPr>
                    <w:t>2</w:t>
                  </w:r>
                  <w:r>
                    <w:rPr>
                      <w:rFonts w:hint="eastAsia"/>
                      <w:szCs w:val="21"/>
                    </w:rPr>
                    <w:t>/</w:t>
                  </w:r>
                  <w:r>
                    <w:rPr>
                      <w:rFonts w:hint="eastAsia"/>
                      <w:szCs w:val="21"/>
                      <w:lang w:val="en-US" w:eastAsia="zh-CN"/>
                    </w:rPr>
                    <w:t>a</w:t>
                  </w:r>
                </w:p>
              </w:tc>
              <w:tc>
                <w:tcPr>
                  <w:tcW w:w="1185" w:type="dxa"/>
                  <w:noWrap w:val="0"/>
                  <w:vAlign w:val="center"/>
                </w:tcPr>
                <w:p>
                  <w:pPr>
                    <w:jc w:val="center"/>
                    <w:textAlignment w:val="center"/>
                    <w:rPr>
                      <w:rFonts w:hint="default" w:eastAsia="宋体"/>
                      <w:szCs w:val="21"/>
                      <w:lang w:val="en-US" w:eastAsia="zh-CN"/>
                    </w:rPr>
                  </w:pPr>
                  <w:r>
                    <w:rPr>
                      <w:rFonts w:hint="eastAsia"/>
                      <w:szCs w:val="21"/>
                      <w:lang w:val="en-US" w:eastAsia="zh-CN"/>
                    </w:rPr>
                    <w:t>7.5万</w:t>
                  </w:r>
                </w:p>
              </w:tc>
              <w:tc>
                <w:tcPr>
                  <w:tcW w:w="1846" w:type="dxa"/>
                  <w:noWrap w:val="0"/>
                  <w:vAlign w:val="center"/>
                </w:tcPr>
                <w:p>
                  <w:pPr>
                    <w:jc w:val="center"/>
                    <w:textAlignment w:val="center"/>
                    <w:rPr>
                      <w:szCs w:val="21"/>
                    </w:rPr>
                  </w:pPr>
                  <w:r>
                    <w:rPr>
                      <w:rFonts w:hint="eastAsia"/>
                      <w:szCs w:val="21"/>
                      <w:lang w:val="en-US" w:eastAsia="zh-CN"/>
                    </w:rPr>
                    <w:t>7.5万</w:t>
                  </w:r>
                </w:p>
              </w:tc>
            </w:tr>
          </w:tbl>
          <w:p>
            <w:pPr>
              <w:spacing w:line="360" w:lineRule="auto"/>
              <w:ind w:firstLine="480" w:firstLineChars="200"/>
              <w:jc w:val="left"/>
              <w:rPr>
                <w:sz w:val="24"/>
              </w:rPr>
            </w:pPr>
          </w:p>
          <w:p>
            <w:pPr>
              <w:pStyle w:val="4"/>
              <w:numPr>
                <w:ilvl w:val="2"/>
                <w:numId w:val="0"/>
              </w:numPr>
              <w:tabs>
                <w:tab w:val="clear" w:pos="1260"/>
              </w:tabs>
              <w:spacing w:before="0" w:after="0" w:line="360" w:lineRule="auto"/>
              <w:jc w:val="left"/>
              <w:rPr>
                <w:rFonts w:ascii="Times New Roman" w:hAnsi="Times New Roman" w:cs="Times New Roman"/>
                <w:szCs w:val="28"/>
              </w:rPr>
            </w:pPr>
            <w:r>
              <w:rPr>
                <w:rFonts w:hint="eastAsia" w:ascii="Times New Roman" w:hAnsi="Times New Roman" w:cs="Times New Roman"/>
                <w:szCs w:val="28"/>
              </w:rPr>
              <w:t>2.5、项目主要原辅材料消耗情况</w:t>
            </w:r>
          </w:p>
          <w:p>
            <w:pPr>
              <w:spacing w:line="360" w:lineRule="auto"/>
              <w:ind w:firstLine="480" w:firstLineChars="200"/>
              <w:jc w:val="left"/>
              <w:rPr>
                <w:b/>
                <w:bCs/>
                <w:sz w:val="24"/>
              </w:rPr>
            </w:pPr>
            <w:r>
              <w:rPr>
                <w:rFonts w:hint="eastAsia"/>
                <w:sz w:val="24"/>
              </w:rPr>
              <w:t>本项目验收主要原辅材料、能源消耗情况，</w:t>
            </w:r>
            <w:r>
              <w:rPr>
                <w:sz w:val="24"/>
              </w:rPr>
              <w:t>见表2-</w:t>
            </w:r>
            <w:r>
              <w:rPr>
                <w:rFonts w:hint="eastAsia"/>
                <w:sz w:val="24"/>
                <w:lang w:val="en-US" w:eastAsia="zh-CN"/>
              </w:rPr>
              <w:t>4</w:t>
            </w:r>
            <w:r>
              <w:rPr>
                <w:rFonts w:hint="eastAsia"/>
                <w:sz w:val="24"/>
              </w:rPr>
              <w:t>。</w:t>
            </w:r>
          </w:p>
          <w:p>
            <w:pPr>
              <w:spacing w:line="360" w:lineRule="auto"/>
              <w:jc w:val="center"/>
              <w:rPr>
                <w:b/>
                <w:color w:val="auto"/>
                <w:sz w:val="24"/>
                <w:szCs w:val="24"/>
              </w:rPr>
            </w:pPr>
            <w:r>
              <w:rPr>
                <w:b/>
                <w:bCs/>
                <w:color w:val="auto"/>
                <w:sz w:val="24"/>
                <w:szCs w:val="24"/>
              </w:rPr>
              <w:t>表2-</w:t>
            </w:r>
            <w:r>
              <w:rPr>
                <w:rFonts w:hint="eastAsia"/>
                <w:b/>
                <w:bCs/>
                <w:color w:val="auto"/>
                <w:sz w:val="24"/>
                <w:szCs w:val="24"/>
                <w:lang w:val="en-US" w:eastAsia="zh-CN"/>
              </w:rPr>
              <w:t xml:space="preserve">4  </w:t>
            </w:r>
            <w:r>
              <w:rPr>
                <w:b/>
                <w:bCs/>
                <w:color w:val="auto"/>
                <w:sz w:val="24"/>
                <w:szCs w:val="24"/>
              </w:rPr>
              <w:t>主要原辅材料</w:t>
            </w:r>
            <w:r>
              <w:rPr>
                <w:rFonts w:hint="eastAsia"/>
                <w:b/>
                <w:bCs/>
                <w:color w:val="auto"/>
                <w:sz w:val="24"/>
                <w:szCs w:val="24"/>
              </w:rPr>
              <w:t>及能源消耗</w:t>
            </w:r>
            <w:r>
              <w:rPr>
                <w:b/>
                <w:bCs/>
                <w:color w:val="auto"/>
                <w:sz w:val="24"/>
                <w:szCs w:val="24"/>
              </w:rPr>
              <w:t>一览表</w:t>
            </w:r>
            <w:bookmarkStart w:id="9" w:name="_Toc4260"/>
            <w:bookmarkStart w:id="10" w:name="_Toc23039"/>
            <w:bookmarkStart w:id="11" w:name="_Toc11416"/>
            <w:bookmarkStart w:id="12" w:name="_Toc1395"/>
            <w:bookmarkStart w:id="13" w:name="_Toc4751"/>
            <w:bookmarkStart w:id="14" w:name="_Toc27546"/>
            <w:bookmarkStart w:id="15" w:name="_Toc5959"/>
            <w:bookmarkStart w:id="16" w:name="_Toc11136"/>
            <w:bookmarkStart w:id="17" w:name="_Toc23610"/>
            <w:bookmarkStart w:id="18" w:name="_Toc19500"/>
            <w:bookmarkStart w:id="19" w:name="_Toc19296"/>
            <w:bookmarkStart w:id="20" w:name="_Toc13096"/>
            <w:bookmarkStart w:id="21" w:name="_Toc5139"/>
            <w:bookmarkStart w:id="22" w:name="_Toc22085"/>
            <w:bookmarkStart w:id="23" w:name="_Toc22983"/>
            <w:bookmarkStart w:id="24" w:name="_Toc16699"/>
            <w:bookmarkStart w:id="25" w:name="_Toc20690"/>
          </w:p>
          <w:tbl>
            <w:tblPr>
              <w:tblStyle w:val="15"/>
              <w:tblpPr w:leftFromText="180" w:rightFromText="180" w:vertAnchor="text" w:horzAnchor="page" w:tblpX="108"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2304"/>
              <w:gridCol w:w="1149"/>
              <w:gridCol w:w="1626"/>
              <w:gridCol w:w="1712"/>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b/>
                      <w:kern w:val="0"/>
                      <w:sz w:val="21"/>
                      <w:szCs w:val="21"/>
                    </w:rPr>
                  </w:pPr>
                  <w:r>
                    <w:rPr>
                      <w:b/>
                      <w:kern w:val="0"/>
                      <w:sz w:val="21"/>
                      <w:szCs w:val="21"/>
                    </w:rPr>
                    <w:t>序号</w:t>
                  </w:r>
                </w:p>
              </w:tc>
              <w:tc>
                <w:tcPr>
                  <w:tcW w:w="230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b/>
                      <w:kern w:val="0"/>
                      <w:sz w:val="21"/>
                      <w:szCs w:val="21"/>
                    </w:rPr>
                  </w:pPr>
                  <w:r>
                    <w:rPr>
                      <w:b/>
                      <w:kern w:val="0"/>
                      <w:sz w:val="21"/>
                      <w:szCs w:val="21"/>
                    </w:rPr>
                    <w:t>名   称</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b/>
                      <w:kern w:val="0"/>
                      <w:sz w:val="21"/>
                      <w:szCs w:val="21"/>
                    </w:rPr>
                  </w:pPr>
                  <w:r>
                    <w:rPr>
                      <w:b/>
                      <w:kern w:val="0"/>
                      <w:sz w:val="21"/>
                      <w:szCs w:val="21"/>
                    </w:rPr>
                    <w:t>单   位</w:t>
                  </w:r>
                </w:p>
              </w:tc>
              <w:tc>
                <w:tcPr>
                  <w:tcW w:w="162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b/>
                      <w:kern w:val="0"/>
                      <w:sz w:val="21"/>
                      <w:szCs w:val="21"/>
                    </w:rPr>
                  </w:pPr>
                  <w:r>
                    <w:rPr>
                      <w:b/>
                      <w:kern w:val="0"/>
                      <w:sz w:val="21"/>
                      <w:szCs w:val="21"/>
                    </w:rPr>
                    <w:t>环评设计数量</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b/>
                      <w:kern w:val="0"/>
                      <w:sz w:val="21"/>
                      <w:szCs w:val="21"/>
                    </w:rPr>
                  </w:pPr>
                  <w:r>
                    <w:rPr>
                      <w:b/>
                      <w:kern w:val="0"/>
                      <w:sz w:val="21"/>
                      <w:szCs w:val="21"/>
                    </w:rPr>
                    <w:t>实际数量</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hint="eastAsia" w:eastAsia="宋体"/>
                      <w:b/>
                      <w:kern w:val="0"/>
                      <w:sz w:val="21"/>
                      <w:szCs w:val="21"/>
                      <w:lang w:val="en-US" w:eastAsia="zh-CN"/>
                    </w:rPr>
                  </w:pPr>
                  <w:r>
                    <w:rPr>
                      <w:rFonts w:hint="eastAsia"/>
                      <w:b/>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8" w:type="dxa"/>
                  <w:noWrap w:val="0"/>
                  <w:vAlign w:val="center"/>
                </w:tcPr>
                <w:p>
                  <w:pPr>
                    <w:jc w:val="center"/>
                    <w:rPr>
                      <w:kern w:val="0"/>
                      <w:sz w:val="21"/>
                      <w:szCs w:val="21"/>
                    </w:rPr>
                  </w:pPr>
                  <w:r>
                    <w:rPr>
                      <w:sz w:val="21"/>
                      <w:szCs w:val="21"/>
                    </w:rPr>
                    <w:t>1</w:t>
                  </w:r>
                </w:p>
              </w:tc>
              <w:tc>
                <w:tcPr>
                  <w:tcW w:w="2304" w:type="dxa"/>
                  <w:noWrap w:val="0"/>
                  <w:vAlign w:val="center"/>
                </w:tcPr>
                <w:p>
                  <w:pPr>
                    <w:jc w:val="center"/>
                    <w:rPr>
                      <w:rFonts w:hint="eastAsia" w:eastAsia="宋体"/>
                      <w:kern w:val="0"/>
                      <w:sz w:val="21"/>
                      <w:szCs w:val="21"/>
                      <w:lang w:eastAsia="zh-CN"/>
                    </w:rPr>
                  </w:pPr>
                  <w:r>
                    <w:rPr>
                      <w:rFonts w:hint="eastAsia"/>
                      <w:sz w:val="21"/>
                      <w:szCs w:val="21"/>
                      <w:lang w:val="en-US" w:eastAsia="zh-CN"/>
                    </w:rPr>
                    <w:t>铝合金</w:t>
                  </w:r>
                </w:p>
              </w:tc>
              <w:tc>
                <w:tcPr>
                  <w:tcW w:w="1149" w:type="dxa"/>
                  <w:noWrap w:val="0"/>
                  <w:vAlign w:val="center"/>
                </w:tcPr>
                <w:p>
                  <w:pPr>
                    <w:jc w:val="center"/>
                    <w:rPr>
                      <w:kern w:val="0"/>
                      <w:sz w:val="21"/>
                      <w:szCs w:val="21"/>
                    </w:rPr>
                  </w:pPr>
                  <w:r>
                    <w:rPr>
                      <w:rFonts w:hint="eastAsia"/>
                      <w:szCs w:val="21"/>
                      <w:lang w:val="en-US" w:eastAsia="zh-CN"/>
                    </w:rPr>
                    <w:t>万m</w:t>
                  </w:r>
                  <w:r>
                    <w:rPr>
                      <w:rFonts w:hint="eastAsia"/>
                      <w:szCs w:val="21"/>
                      <w:vertAlign w:val="superscript"/>
                      <w:lang w:val="en-US" w:eastAsia="zh-CN"/>
                    </w:rPr>
                    <w:t>2</w:t>
                  </w:r>
                  <w:r>
                    <w:rPr>
                      <w:rFonts w:hint="eastAsia"/>
                      <w:szCs w:val="21"/>
                    </w:rPr>
                    <w:t>/</w:t>
                  </w:r>
                  <w:r>
                    <w:rPr>
                      <w:rFonts w:hint="eastAsia"/>
                      <w:szCs w:val="21"/>
                      <w:lang w:val="en-US" w:eastAsia="zh-CN"/>
                    </w:rPr>
                    <w:t>a</w:t>
                  </w:r>
                </w:p>
              </w:tc>
              <w:tc>
                <w:tcPr>
                  <w:tcW w:w="1626" w:type="dxa"/>
                  <w:noWrap w:val="0"/>
                  <w:vAlign w:val="center"/>
                </w:tcPr>
                <w:p>
                  <w:pPr>
                    <w:jc w:val="center"/>
                    <w:rPr>
                      <w:rFonts w:hint="default"/>
                      <w:kern w:val="0"/>
                      <w:sz w:val="21"/>
                      <w:szCs w:val="21"/>
                      <w:lang w:val="en-US"/>
                    </w:rPr>
                  </w:pPr>
                  <w:r>
                    <w:rPr>
                      <w:rFonts w:hint="eastAsia"/>
                      <w:kern w:val="0"/>
                      <w:sz w:val="21"/>
                      <w:szCs w:val="21"/>
                      <w:lang w:val="en-US" w:eastAsia="zh-CN"/>
                    </w:rPr>
                    <w:t>7.5</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7.52</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trPr>
              <w:tc>
                <w:tcPr>
                  <w:tcW w:w="578" w:type="dxa"/>
                  <w:noWrap w:val="0"/>
                  <w:vAlign w:val="center"/>
                </w:tcPr>
                <w:p>
                  <w:pPr>
                    <w:jc w:val="center"/>
                    <w:rPr>
                      <w:kern w:val="0"/>
                      <w:sz w:val="21"/>
                      <w:szCs w:val="21"/>
                    </w:rPr>
                  </w:pPr>
                  <w:r>
                    <w:rPr>
                      <w:sz w:val="21"/>
                      <w:szCs w:val="21"/>
                    </w:rPr>
                    <w:t>2</w:t>
                  </w:r>
                </w:p>
              </w:tc>
              <w:tc>
                <w:tcPr>
                  <w:tcW w:w="2304" w:type="dxa"/>
                  <w:noWrap w:val="0"/>
                  <w:vAlign w:val="center"/>
                </w:tcPr>
                <w:p>
                  <w:pPr>
                    <w:jc w:val="center"/>
                    <w:rPr>
                      <w:rFonts w:hint="default" w:eastAsia="宋体"/>
                      <w:kern w:val="0"/>
                      <w:sz w:val="21"/>
                      <w:szCs w:val="21"/>
                      <w:lang w:val="en-US" w:eastAsia="zh-CN"/>
                    </w:rPr>
                  </w:pPr>
                  <w:r>
                    <w:rPr>
                      <w:rFonts w:hint="eastAsia"/>
                      <w:sz w:val="21"/>
                      <w:szCs w:val="21"/>
                      <w:lang w:val="en-US" w:eastAsia="zh-CN"/>
                    </w:rPr>
                    <w:t>中空玻璃</w:t>
                  </w:r>
                </w:p>
              </w:tc>
              <w:tc>
                <w:tcPr>
                  <w:tcW w:w="1149" w:type="dxa"/>
                  <w:noWrap w:val="0"/>
                  <w:vAlign w:val="center"/>
                </w:tcPr>
                <w:p>
                  <w:pPr>
                    <w:jc w:val="center"/>
                    <w:rPr>
                      <w:kern w:val="0"/>
                      <w:sz w:val="21"/>
                      <w:szCs w:val="21"/>
                    </w:rPr>
                  </w:pPr>
                  <w:r>
                    <w:rPr>
                      <w:rFonts w:hint="eastAsia"/>
                      <w:szCs w:val="21"/>
                      <w:lang w:val="en-US" w:eastAsia="zh-CN"/>
                    </w:rPr>
                    <w:t>万m</w:t>
                  </w:r>
                  <w:r>
                    <w:rPr>
                      <w:rFonts w:hint="eastAsia"/>
                      <w:szCs w:val="21"/>
                      <w:vertAlign w:val="superscript"/>
                      <w:lang w:val="en-US" w:eastAsia="zh-CN"/>
                    </w:rPr>
                    <w:t>2</w:t>
                  </w:r>
                  <w:r>
                    <w:rPr>
                      <w:rFonts w:hint="eastAsia"/>
                      <w:szCs w:val="21"/>
                    </w:rPr>
                    <w:t>/</w:t>
                  </w:r>
                  <w:r>
                    <w:rPr>
                      <w:rFonts w:hint="eastAsia"/>
                      <w:szCs w:val="21"/>
                      <w:lang w:val="en-US" w:eastAsia="zh-CN"/>
                    </w:rPr>
                    <w:t>a</w:t>
                  </w:r>
                </w:p>
              </w:tc>
              <w:tc>
                <w:tcPr>
                  <w:tcW w:w="1626" w:type="dxa"/>
                  <w:noWrap w:val="0"/>
                  <w:vAlign w:val="center"/>
                </w:tcPr>
                <w:p>
                  <w:pPr>
                    <w:jc w:val="center"/>
                    <w:rPr>
                      <w:rFonts w:hint="default"/>
                      <w:kern w:val="0"/>
                      <w:sz w:val="21"/>
                      <w:szCs w:val="21"/>
                      <w:lang w:val="en-US"/>
                    </w:rPr>
                  </w:pPr>
                  <w:r>
                    <w:rPr>
                      <w:rFonts w:hint="eastAsia"/>
                      <w:kern w:val="0"/>
                      <w:sz w:val="21"/>
                      <w:szCs w:val="21"/>
                      <w:lang w:val="en-US" w:eastAsia="zh-CN"/>
                    </w:rPr>
                    <w:t>5.6</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5.5</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 w:val="21"/>
                      <w:szCs w:val="21"/>
                    </w:rPr>
                  </w:pPr>
                  <w:r>
                    <w:rPr>
                      <w:rFonts w:hint="eastAsia"/>
                      <w:kern w:val="0"/>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8" w:type="dxa"/>
                  <w:noWrap w:val="0"/>
                  <w:vAlign w:val="center"/>
                </w:tcPr>
                <w:p>
                  <w:pPr>
                    <w:jc w:val="center"/>
                    <w:rPr>
                      <w:kern w:val="0"/>
                      <w:sz w:val="21"/>
                      <w:szCs w:val="21"/>
                    </w:rPr>
                  </w:pPr>
                  <w:r>
                    <w:rPr>
                      <w:sz w:val="21"/>
                      <w:szCs w:val="21"/>
                    </w:rPr>
                    <w:t>3</w:t>
                  </w:r>
                </w:p>
              </w:tc>
              <w:tc>
                <w:tcPr>
                  <w:tcW w:w="2304" w:type="dxa"/>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月牙锁（五金配件）</w:t>
                  </w:r>
                </w:p>
              </w:tc>
              <w:tc>
                <w:tcPr>
                  <w:tcW w:w="1149" w:type="dxa"/>
                  <w:noWrap w:val="0"/>
                  <w:vAlign w:val="center"/>
                </w:tcPr>
                <w:p>
                  <w:pPr>
                    <w:jc w:val="center"/>
                    <w:rPr>
                      <w:rFonts w:hint="default" w:eastAsia="宋体"/>
                      <w:kern w:val="0"/>
                      <w:sz w:val="21"/>
                      <w:szCs w:val="21"/>
                      <w:lang w:val="en-US" w:eastAsia="zh-CN"/>
                    </w:rPr>
                  </w:pPr>
                  <w:r>
                    <w:rPr>
                      <w:rFonts w:hint="eastAsia"/>
                      <w:sz w:val="21"/>
                      <w:szCs w:val="21"/>
                      <w:lang w:val="en-US" w:eastAsia="zh-CN"/>
                    </w:rPr>
                    <w:t>万个/a</w:t>
                  </w:r>
                </w:p>
              </w:tc>
              <w:tc>
                <w:tcPr>
                  <w:tcW w:w="1626" w:type="dxa"/>
                  <w:noWrap w:val="0"/>
                  <w:vAlign w:val="center"/>
                </w:tcPr>
                <w:p>
                  <w:pPr>
                    <w:jc w:val="center"/>
                    <w:rPr>
                      <w:rFonts w:hint="default"/>
                      <w:kern w:val="0"/>
                      <w:sz w:val="21"/>
                      <w:szCs w:val="21"/>
                      <w:lang w:val="en-US"/>
                    </w:rPr>
                  </w:pPr>
                  <w:r>
                    <w:rPr>
                      <w:rFonts w:hint="eastAsia"/>
                      <w:kern w:val="0"/>
                      <w:sz w:val="21"/>
                      <w:szCs w:val="21"/>
                      <w:lang w:val="en-US" w:eastAsia="zh-CN"/>
                    </w:rPr>
                    <w:t>3.8</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3.7</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 w:val="21"/>
                      <w:szCs w:val="21"/>
                    </w:rPr>
                  </w:pPr>
                  <w:r>
                    <w:rPr>
                      <w:rFonts w:hint="eastAsia"/>
                      <w:kern w:val="0"/>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8" w:type="dxa"/>
                  <w:noWrap w:val="0"/>
                  <w:vAlign w:val="center"/>
                </w:tcPr>
                <w:p>
                  <w:pPr>
                    <w:jc w:val="center"/>
                    <w:rPr>
                      <w:kern w:val="0"/>
                      <w:sz w:val="21"/>
                      <w:szCs w:val="21"/>
                    </w:rPr>
                  </w:pPr>
                  <w:r>
                    <w:rPr>
                      <w:sz w:val="21"/>
                      <w:szCs w:val="21"/>
                    </w:rPr>
                    <w:t>4</w:t>
                  </w:r>
                </w:p>
              </w:tc>
              <w:tc>
                <w:tcPr>
                  <w:tcW w:w="2304" w:type="dxa"/>
                  <w:noWrap w:val="0"/>
                  <w:vAlign w:val="center"/>
                </w:tcPr>
                <w:p>
                  <w:pPr>
                    <w:jc w:val="center"/>
                    <w:rPr>
                      <w:rFonts w:hint="eastAsia" w:eastAsia="宋体"/>
                      <w:kern w:val="0"/>
                      <w:sz w:val="21"/>
                      <w:szCs w:val="21"/>
                      <w:lang w:eastAsia="zh-CN"/>
                    </w:rPr>
                  </w:pPr>
                  <w:r>
                    <w:rPr>
                      <w:rFonts w:hint="eastAsia"/>
                      <w:sz w:val="21"/>
                      <w:szCs w:val="21"/>
                      <w:lang w:val="en-US" w:eastAsia="zh-CN"/>
                    </w:rPr>
                    <w:t>滑轮</w:t>
                  </w:r>
                  <w:r>
                    <w:rPr>
                      <w:rFonts w:hint="eastAsia"/>
                      <w:kern w:val="0"/>
                      <w:sz w:val="21"/>
                      <w:szCs w:val="21"/>
                      <w:lang w:val="en-US" w:eastAsia="zh-CN"/>
                    </w:rPr>
                    <w:t>（五金配件）</w:t>
                  </w:r>
                </w:p>
              </w:tc>
              <w:tc>
                <w:tcPr>
                  <w:tcW w:w="1149" w:type="dxa"/>
                  <w:noWrap w:val="0"/>
                  <w:vAlign w:val="center"/>
                </w:tcPr>
                <w:p>
                  <w:pPr>
                    <w:jc w:val="center"/>
                    <w:rPr>
                      <w:kern w:val="0"/>
                      <w:sz w:val="21"/>
                      <w:szCs w:val="21"/>
                    </w:rPr>
                  </w:pPr>
                  <w:r>
                    <w:rPr>
                      <w:rFonts w:hint="eastAsia"/>
                      <w:sz w:val="21"/>
                      <w:szCs w:val="21"/>
                      <w:lang w:val="en-US" w:eastAsia="zh-CN"/>
                    </w:rPr>
                    <w:t>万个/a</w:t>
                  </w:r>
                </w:p>
              </w:tc>
              <w:tc>
                <w:tcPr>
                  <w:tcW w:w="1626" w:type="dxa"/>
                  <w:noWrap w:val="0"/>
                  <w:vAlign w:val="center"/>
                </w:tcPr>
                <w:p>
                  <w:pPr>
                    <w:jc w:val="center"/>
                    <w:rPr>
                      <w:rFonts w:hint="default"/>
                      <w:kern w:val="0"/>
                      <w:sz w:val="21"/>
                      <w:szCs w:val="21"/>
                      <w:lang w:val="en-US"/>
                    </w:rPr>
                  </w:pPr>
                  <w:r>
                    <w:rPr>
                      <w:rFonts w:hint="eastAsia"/>
                      <w:kern w:val="0"/>
                      <w:sz w:val="21"/>
                      <w:szCs w:val="21"/>
                      <w:lang w:val="en-US" w:eastAsia="zh-CN"/>
                    </w:rPr>
                    <w:t>7.6</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7.5</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 w:val="21"/>
                      <w:szCs w:val="21"/>
                    </w:rPr>
                  </w:pPr>
                  <w:r>
                    <w:rPr>
                      <w:rFonts w:hint="eastAsia"/>
                      <w:kern w:val="0"/>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8" w:type="dxa"/>
                  <w:noWrap w:val="0"/>
                  <w:vAlign w:val="center"/>
                </w:tcPr>
                <w:p>
                  <w:pPr>
                    <w:jc w:val="center"/>
                    <w:rPr>
                      <w:kern w:val="0"/>
                      <w:sz w:val="21"/>
                      <w:szCs w:val="21"/>
                    </w:rPr>
                  </w:pPr>
                  <w:r>
                    <w:rPr>
                      <w:sz w:val="21"/>
                      <w:szCs w:val="21"/>
                    </w:rPr>
                    <w:t>5</w:t>
                  </w:r>
                </w:p>
              </w:tc>
              <w:tc>
                <w:tcPr>
                  <w:tcW w:w="2304" w:type="dxa"/>
                  <w:noWrap w:val="0"/>
                  <w:vAlign w:val="center"/>
                </w:tcPr>
                <w:p>
                  <w:pPr>
                    <w:jc w:val="center"/>
                    <w:rPr>
                      <w:rFonts w:hint="default" w:eastAsia="宋体"/>
                      <w:kern w:val="0"/>
                      <w:sz w:val="21"/>
                      <w:szCs w:val="21"/>
                      <w:lang w:val="en-US" w:eastAsia="zh-CN"/>
                    </w:rPr>
                  </w:pPr>
                  <w:r>
                    <w:rPr>
                      <w:rFonts w:hint="eastAsia"/>
                      <w:kern w:val="0"/>
                      <w:sz w:val="21"/>
                      <w:szCs w:val="21"/>
                      <w:lang w:val="en-US" w:eastAsia="zh-CN"/>
                    </w:rPr>
                    <w:t>中性硅酮结构胶</w:t>
                  </w:r>
                </w:p>
              </w:tc>
              <w:tc>
                <w:tcPr>
                  <w:tcW w:w="1149" w:type="dxa"/>
                  <w:noWrap w:val="0"/>
                  <w:vAlign w:val="center"/>
                </w:tcPr>
                <w:p>
                  <w:pPr>
                    <w:jc w:val="center"/>
                    <w:rPr>
                      <w:rFonts w:hint="default" w:eastAsia="宋体"/>
                      <w:kern w:val="0"/>
                      <w:sz w:val="21"/>
                      <w:szCs w:val="21"/>
                      <w:lang w:val="en-US" w:eastAsia="zh-CN"/>
                    </w:rPr>
                  </w:pPr>
                  <w:r>
                    <w:rPr>
                      <w:rFonts w:hint="eastAsia"/>
                      <w:sz w:val="21"/>
                      <w:szCs w:val="21"/>
                      <w:lang w:val="en-US" w:eastAsia="zh-CN"/>
                    </w:rPr>
                    <w:t>t/a</w:t>
                  </w:r>
                </w:p>
              </w:tc>
              <w:tc>
                <w:tcPr>
                  <w:tcW w:w="1626" w:type="dxa"/>
                  <w:noWrap w:val="0"/>
                  <w:vAlign w:val="center"/>
                </w:tcPr>
                <w:p>
                  <w:pPr>
                    <w:jc w:val="center"/>
                    <w:rPr>
                      <w:rFonts w:hint="default"/>
                      <w:kern w:val="0"/>
                      <w:sz w:val="21"/>
                      <w:szCs w:val="21"/>
                      <w:lang w:val="en-US"/>
                    </w:rPr>
                  </w:pPr>
                  <w:r>
                    <w:rPr>
                      <w:rFonts w:hint="eastAsia"/>
                      <w:kern w:val="0"/>
                      <w:sz w:val="21"/>
                      <w:szCs w:val="21"/>
                      <w:lang w:val="en-US" w:eastAsia="zh-CN"/>
                    </w:rPr>
                    <w:t>7.08</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kern w:val="0"/>
                      <w:sz w:val="21"/>
                      <w:szCs w:val="21"/>
                      <w:lang w:eastAsia="zh-CN"/>
                    </w:rPr>
                  </w:pPr>
                  <w:r>
                    <w:rPr>
                      <w:rFonts w:hint="eastAsia"/>
                      <w:kern w:val="0"/>
                      <w:sz w:val="21"/>
                      <w:szCs w:val="21"/>
                      <w:lang w:val="en-US" w:eastAsia="zh-CN"/>
                    </w:rPr>
                    <w:t>0</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 w:val="21"/>
                      <w:szCs w:val="21"/>
                    </w:rPr>
                  </w:pPr>
                  <w:r>
                    <w:rPr>
                      <w:rFonts w:hint="eastAsia"/>
                      <w:kern w:val="0"/>
                      <w:sz w:val="21"/>
                      <w:szCs w:val="21"/>
                      <w:lang w:val="en-US" w:eastAsia="zh-CN"/>
                    </w:rPr>
                    <w:t>减少</w:t>
                  </w:r>
                </w:p>
              </w:tc>
            </w:tr>
          </w:tbl>
          <w:p>
            <w:pPr>
              <w:spacing w:line="360" w:lineRule="auto"/>
              <w:jc w:val="center"/>
              <w:rPr>
                <w:b/>
                <w:color w:val="auto"/>
                <w:szCs w:val="21"/>
              </w:rPr>
            </w:pPr>
          </w:p>
          <w:p>
            <w:pPr>
              <w:pStyle w:val="4"/>
              <w:numPr>
                <w:ilvl w:val="2"/>
                <w:numId w:val="0"/>
              </w:numPr>
              <w:tabs>
                <w:tab w:val="clear" w:pos="1260"/>
              </w:tabs>
              <w:spacing w:before="0" w:after="0" w:line="360" w:lineRule="auto"/>
              <w:jc w:val="left"/>
              <w:rPr>
                <w:rFonts w:ascii="Times New Roman" w:hAnsi="Times New Roman" w:cs="Times New Roman"/>
                <w:szCs w:val="28"/>
              </w:rPr>
            </w:pPr>
            <w:r>
              <w:rPr>
                <w:rFonts w:hint="eastAsia" w:ascii="Times New Roman" w:hAnsi="Times New Roman" w:cs="Times New Roman"/>
                <w:szCs w:val="28"/>
              </w:rPr>
              <w:t>2.6、建设项目水平衡图</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spacing w:line="360" w:lineRule="auto"/>
              <w:ind w:firstLine="480" w:firstLineChars="200"/>
              <w:jc w:val="left"/>
              <w:rPr>
                <w:sz w:val="24"/>
              </w:rPr>
            </w:pPr>
            <w:r>
              <w:rPr>
                <w:sz w:val="24"/>
              </w:rPr>
              <w:t>本项目</w:t>
            </w:r>
            <w:r>
              <w:rPr>
                <w:rFonts w:hint="eastAsia"/>
                <w:sz w:val="24"/>
              </w:rPr>
              <w:t>实际</w:t>
            </w:r>
            <w:r>
              <w:rPr>
                <w:sz w:val="24"/>
              </w:rPr>
              <w:t>水平衡图见</w:t>
            </w:r>
            <w:r>
              <w:rPr>
                <w:rFonts w:hint="eastAsia"/>
                <w:sz w:val="24"/>
              </w:rPr>
              <w:t>图</w:t>
            </w:r>
            <w:r>
              <w:rPr>
                <w:sz w:val="24"/>
              </w:rPr>
              <w:t>2-1。</w:t>
            </w:r>
          </w:p>
          <w:p>
            <w:pPr>
              <w:spacing w:line="360" w:lineRule="auto"/>
              <w:jc w:val="both"/>
              <w:rPr>
                <w:sz w:val="24"/>
              </w:rPr>
            </w:pPr>
            <w:r>
              <w:drawing>
                <wp:anchor distT="0" distB="0" distL="114300" distR="114300" simplePos="0" relativeHeight="2245146624" behindDoc="1" locked="0" layoutInCell="1" allowOverlap="1">
                  <wp:simplePos x="0" y="0"/>
                  <wp:positionH relativeFrom="column">
                    <wp:posOffset>68580</wp:posOffset>
                  </wp:positionH>
                  <wp:positionV relativeFrom="paragraph">
                    <wp:posOffset>53975</wp:posOffset>
                  </wp:positionV>
                  <wp:extent cx="5419725" cy="1205865"/>
                  <wp:effectExtent l="0" t="0" r="9525" b="13335"/>
                  <wp:wrapTight wrapText="bothSides">
                    <wp:wrapPolygon>
                      <wp:start x="0" y="0"/>
                      <wp:lineTo x="0" y="21156"/>
                      <wp:lineTo x="21562" y="21156"/>
                      <wp:lineTo x="21562" y="0"/>
                      <wp:lineTo x="0" y="0"/>
                    </wp:wrapPolygon>
                  </wp:wrapTight>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5419725" cy="1205865"/>
                          </a:xfrm>
                          <a:prstGeom prst="rect">
                            <a:avLst/>
                          </a:prstGeom>
                          <a:noFill/>
                          <a:ln>
                            <a:noFill/>
                          </a:ln>
                        </pic:spPr>
                      </pic:pic>
                    </a:graphicData>
                  </a:graphic>
                </wp:anchor>
              </w:drawing>
            </w:r>
            <w:r>
              <w:rPr>
                <w:sz w:val="24"/>
              </w:rPr>
              <mc:AlternateContent>
                <mc:Choice Requires="wps">
                  <w:drawing>
                    <wp:anchor distT="0" distB="0" distL="114300" distR="114300" simplePos="0" relativeHeight="3930647552" behindDoc="0" locked="0" layoutInCell="1" allowOverlap="1">
                      <wp:simplePos x="0" y="0"/>
                      <wp:positionH relativeFrom="column">
                        <wp:posOffset>913765</wp:posOffset>
                      </wp:positionH>
                      <wp:positionV relativeFrom="paragraph">
                        <wp:posOffset>1262380</wp:posOffset>
                      </wp:positionV>
                      <wp:extent cx="267335" cy="243840"/>
                      <wp:effectExtent l="0" t="0" r="18415" b="3810"/>
                      <wp:wrapNone/>
                      <wp:docPr id="7" name="文本框 7"/>
                      <wp:cNvGraphicFramePr/>
                      <a:graphic xmlns:a="http://schemas.openxmlformats.org/drawingml/2006/main">
                        <a:graphicData uri="http://schemas.microsoft.com/office/word/2010/wordprocessingShape">
                          <wps:wsp>
                            <wps:cNvSpPr txBox="1"/>
                            <wps:spPr>
                              <a:xfrm>
                                <a:off x="0" y="0"/>
                                <a:ext cx="267335" cy="24384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95pt;margin-top:99.4pt;height:19.2pt;width:21.05pt;z-index:-364319744;mso-width-relative:page;mso-height-relative:page;" fillcolor="#FFFFFF [3212]" filled="t" stroked="f" coordsize="21600,21600" o:gfxdata="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A86f9UAAAALAQAADwAAAAAAAAABACAAAAAiAAAAZHJzL2Rvd25yZXYueG1s&#10;UEsBAhQAFAAAAAgAh07iQH/UBK40AgAAQAQAAA4AAAAAAAAAAQAgAAAAJAEAAGRycy9lMm9Eb2Mu&#10;eG1sUEsFBgAAAAAGAAYAWQEAAMoFAAAAAA==&#10;">
                      <v:fill on="t" focussize="0,0"/>
                      <v:stroke on="f" weight="0.5pt"/>
                      <v:imagedata o:title=""/>
                      <o:lock v:ext="edit" aspectratio="f"/>
                      <v:textbox>
                        <w:txbxContent>
                          <w:p>
                            <w:pPr>
                              <w:rPr>
                                <w:rFonts w:hint="default" w:eastAsia="宋体"/>
                                <w:sz w:val="15"/>
                                <w:szCs w:val="15"/>
                                <w:lang w:val="en-US" w:eastAsia="zh-CN"/>
                              </w:rPr>
                            </w:pPr>
                          </w:p>
                        </w:txbxContent>
                      </v:textbox>
                    </v:shape>
                  </w:pict>
                </mc:Fallback>
              </mc:AlternateContent>
            </w:r>
          </w:p>
          <w:p>
            <w:pPr>
              <w:spacing w:line="360" w:lineRule="auto"/>
              <w:ind w:firstLine="422" w:firstLineChars="200"/>
              <w:jc w:val="center"/>
              <w:rPr>
                <w:b/>
                <w:szCs w:val="21"/>
              </w:rPr>
            </w:pPr>
            <w:r>
              <w:rPr>
                <w:b/>
                <w:szCs w:val="21"/>
              </w:rPr>
              <w:t>图2-1</w:t>
            </w:r>
            <w:r>
              <w:rPr>
                <w:rFonts w:hint="eastAsia"/>
                <w:b/>
                <w:szCs w:val="21"/>
                <w:lang w:val="en-US" w:eastAsia="zh-CN"/>
              </w:rPr>
              <w:t xml:space="preserve">  </w:t>
            </w:r>
            <w:r>
              <w:rPr>
                <w:b/>
                <w:szCs w:val="21"/>
              </w:rPr>
              <w:t>项目实际总水平衡图（单位：m</w:t>
            </w:r>
            <w:r>
              <w:rPr>
                <w:b/>
                <w:szCs w:val="21"/>
                <w:vertAlign w:val="superscript"/>
              </w:rPr>
              <w:t>3</w:t>
            </w:r>
            <w:r>
              <w:rPr>
                <w:b/>
                <w:szCs w:val="21"/>
              </w:rPr>
              <w:t>/d）</w:t>
            </w:r>
          </w:p>
          <w:p>
            <w:pPr>
              <w:tabs>
                <w:tab w:val="left" w:pos="5340"/>
              </w:tabs>
              <w:jc w:val="left"/>
              <w:rPr>
                <w:b/>
                <w:iCs/>
                <w:sz w:val="28"/>
                <w:szCs w:val="28"/>
              </w:rPr>
            </w:pPr>
            <w:r>
              <w:rPr>
                <w:rFonts w:hint="eastAsia"/>
                <w:b/>
                <w:iCs/>
                <w:sz w:val="28"/>
                <w:szCs w:val="28"/>
              </w:rPr>
              <w:t>2.7、建设项目生产工艺流程</w:t>
            </w:r>
          </w:p>
          <w:p>
            <w:pPr>
              <w:spacing w:line="360" w:lineRule="auto"/>
              <w:ind w:firstLine="482" w:firstLineChars="200"/>
              <w:rPr>
                <w:b/>
                <w:sz w:val="24"/>
              </w:rPr>
            </w:pPr>
            <w:r>
              <w:rPr>
                <w:b/>
                <w:sz w:val="24"/>
              </w:rPr>
              <w:t>生产工艺：</w:t>
            </w:r>
          </w:p>
          <w:p>
            <w:pPr>
              <w:pStyle w:val="3"/>
              <w:spacing w:before="0" w:after="0" w:line="360" w:lineRule="auto"/>
              <w:jc w:val="center"/>
              <w:rPr>
                <w:rFonts w:ascii="Times New Roman" w:hAnsi="Times New Roman" w:eastAsia="宋体"/>
                <w:sz w:val="24"/>
                <w:szCs w:val="24"/>
              </w:rPr>
            </w:pPr>
            <w:r>
              <w:drawing>
                <wp:inline distT="0" distB="0" distL="114300" distR="114300">
                  <wp:extent cx="5582285" cy="2207260"/>
                  <wp:effectExtent l="0" t="0" r="18415"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3"/>
                          <a:stretch>
                            <a:fillRect/>
                          </a:stretch>
                        </pic:blipFill>
                        <pic:spPr>
                          <a:xfrm>
                            <a:off x="0" y="0"/>
                            <a:ext cx="5582285" cy="2207260"/>
                          </a:xfrm>
                          <a:prstGeom prst="rect">
                            <a:avLst/>
                          </a:prstGeom>
                          <a:noFill/>
                          <a:ln>
                            <a:noFill/>
                          </a:ln>
                        </pic:spPr>
                      </pic:pic>
                    </a:graphicData>
                  </a:graphic>
                </wp:inline>
              </w:drawing>
            </w:r>
          </w:p>
          <w:p>
            <w:pPr>
              <w:jc w:val="center"/>
              <w:rPr>
                <w:b/>
                <w:sz w:val="24"/>
              </w:rPr>
            </w:pPr>
            <w:r>
              <w:rPr>
                <w:b/>
                <w:sz w:val="24"/>
              </w:rPr>
              <w:t>图</w:t>
            </w:r>
            <w:r>
              <w:rPr>
                <w:rFonts w:hint="eastAsia"/>
                <w:b/>
                <w:sz w:val="24"/>
                <w:lang w:val="en-US" w:eastAsia="zh-CN"/>
              </w:rPr>
              <w:t>2</w:t>
            </w:r>
            <w:r>
              <w:rPr>
                <w:b/>
                <w:sz w:val="24"/>
              </w:rPr>
              <w:t>-</w:t>
            </w:r>
            <w:r>
              <w:rPr>
                <w:rFonts w:hint="eastAsia"/>
                <w:b/>
                <w:sz w:val="24"/>
                <w:lang w:val="en-US" w:eastAsia="zh-CN"/>
              </w:rPr>
              <w:t>1</w:t>
            </w:r>
            <w:r>
              <w:rPr>
                <w:b/>
                <w:sz w:val="24"/>
              </w:rPr>
              <w:t xml:space="preserve">  生产工艺流程及产污节点</w:t>
            </w:r>
          </w:p>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ascii="宋体"/>
                <w:sz w:val="24"/>
              </w:rPr>
              <w:t>①</w:t>
            </w:r>
            <w:r>
              <w:rPr>
                <w:sz w:val="24"/>
              </w:rPr>
              <w:fldChar w:fldCharType="end"/>
            </w:r>
            <w:r>
              <w:rPr>
                <w:rFonts w:hint="eastAsia"/>
                <w:color w:val="000000"/>
                <w:sz w:val="24"/>
                <w:lang w:val="en-US" w:eastAsia="zh-CN"/>
              </w:rPr>
              <w:t>切割下料</w:t>
            </w:r>
            <w:r>
              <w:rPr>
                <w:color w:val="000000"/>
                <w:sz w:val="24"/>
              </w:rPr>
              <w:t>：</w:t>
            </w:r>
            <w:r>
              <w:rPr>
                <w:rFonts w:hint="eastAsia"/>
                <w:color w:val="000000"/>
                <w:sz w:val="24"/>
                <w:lang w:val="en-US" w:eastAsia="zh-CN"/>
              </w:rPr>
              <w:t>按照客户产品规格要求对铝型材进行切割成铝合金框料，切割下料产生铝合金型材边角料和铝屑</w:t>
            </w:r>
            <w:r>
              <w:rPr>
                <w:color w:val="000000"/>
                <w:sz w:val="24"/>
              </w:rPr>
              <w:t>。</w:t>
            </w:r>
          </w:p>
          <w:p>
            <w:pPr>
              <w:spacing w:line="360" w:lineRule="auto"/>
              <w:ind w:firstLine="480" w:firstLineChars="200"/>
              <w:rPr>
                <w:sz w:val="24"/>
              </w:rPr>
            </w:pPr>
            <w:r>
              <w:rPr>
                <w:rFonts w:ascii="宋体"/>
                <w:sz w:val="24"/>
              </w:rPr>
              <w:t>②</w:t>
            </w:r>
            <w:r>
              <w:rPr>
                <w:rFonts w:hint="eastAsia"/>
                <w:sz w:val="24"/>
                <w:lang w:val="en-US" w:eastAsia="zh-CN"/>
              </w:rPr>
              <w:t>打孔、打钉、去毛刺</w:t>
            </w:r>
            <w:r>
              <w:rPr>
                <w:sz w:val="24"/>
              </w:rPr>
              <w:t>：</w:t>
            </w:r>
            <w:r>
              <w:rPr>
                <w:rFonts w:hint="eastAsia"/>
                <w:sz w:val="24"/>
                <w:lang w:val="en-US" w:eastAsia="zh-CN"/>
              </w:rPr>
              <w:t>经铝合金框料合适位置打孔、打钉，用拉钉枪对铝型材进行衔接，拼装以及去毛刺</w:t>
            </w:r>
            <w:r>
              <w:rPr>
                <w:sz w:val="24"/>
              </w:rPr>
              <w:t>。</w:t>
            </w:r>
          </w:p>
          <w:p>
            <w:pPr>
              <w:spacing w:line="360" w:lineRule="auto"/>
              <w:ind w:firstLine="480" w:firstLineChars="200"/>
              <w:rPr>
                <w:sz w:val="24"/>
              </w:rPr>
            </w:pPr>
            <w:r>
              <w:rPr>
                <w:rFonts w:ascii="宋体"/>
                <w:sz w:val="24"/>
              </w:rPr>
              <w:t>③</w:t>
            </w:r>
            <w:r>
              <w:rPr>
                <w:rFonts w:hint="eastAsia"/>
                <w:sz w:val="24"/>
                <w:lang w:val="en-US" w:eastAsia="zh-CN"/>
              </w:rPr>
              <w:t>装胶条</w:t>
            </w:r>
            <w:r>
              <w:rPr>
                <w:sz w:val="24"/>
              </w:rPr>
              <w:t>：</w:t>
            </w:r>
            <w:r>
              <w:rPr>
                <w:rFonts w:hint="eastAsia"/>
                <w:sz w:val="24"/>
                <w:lang w:val="en-US" w:eastAsia="zh-CN"/>
              </w:rPr>
              <w:t>对铝型材中缝处安装胶条</w:t>
            </w:r>
            <w:r>
              <w:rPr>
                <w:sz w:val="24"/>
              </w:rPr>
              <w:t>。</w:t>
            </w:r>
          </w:p>
          <w:p>
            <w:pPr>
              <w:spacing w:line="360" w:lineRule="auto"/>
              <w:ind w:firstLine="480" w:firstLineChars="200"/>
              <w:rPr>
                <w:sz w:val="24"/>
              </w:rPr>
            </w:pPr>
            <w:r>
              <w:rPr>
                <w:sz w:val="24"/>
              </w:rPr>
              <w:fldChar w:fldCharType="begin"/>
            </w:r>
            <w:r>
              <w:rPr>
                <w:sz w:val="24"/>
              </w:rPr>
              <w:instrText xml:space="preserve"> = 4 \* GB3 </w:instrText>
            </w:r>
            <w:r>
              <w:rPr>
                <w:sz w:val="24"/>
              </w:rPr>
              <w:fldChar w:fldCharType="separate"/>
            </w:r>
            <w:r>
              <w:rPr>
                <w:rFonts w:ascii="宋体"/>
                <w:sz w:val="24"/>
              </w:rPr>
              <w:t>④</w:t>
            </w:r>
            <w:r>
              <w:rPr>
                <w:sz w:val="24"/>
              </w:rPr>
              <w:fldChar w:fldCharType="end"/>
            </w:r>
            <w:r>
              <w:rPr>
                <w:rFonts w:hint="eastAsia"/>
                <w:sz w:val="24"/>
                <w:lang w:val="en-US" w:eastAsia="zh-CN"/>
              </w:rPr>
              <w:t>玻璃擦试</w:t>
            </w:r>
            <w:r>
              <w:rPr>
                <w:sz w:val="24"/>
              </w:rPr>
              <w:t>：</w:t>
            </w:r>
            <w:r>
              <w:rPr>
                <w:rFonts w:hint="eastAsia"/>
                <w:sz w:val="24"/>
                <w:lang w:val="en-US" w:eastAsia="zh-CN"/>
              </w:rPr>
              <w:t>用水浸湿的抹布将玻璃表面擦拭干净</w:t>
            </w:r>
            <w:r>
              <w:rPr>
                <w:sz w:val="24"/>
              </w:rPr>
              <w:t>。</w:t>
            </w:r>
          </w:p>
          <w:p>
            <w:pPr>
              <w:spacing w:line="360" w:lineRule="auto"/>
              <w:ind w:firstLine="480" w:firstLineChars="200"/>
              <w:rPr>
                <w:sz w:val="24"/>
              </w:rPr>
            </w:pPr>
            <w:r>
              <w:rPr>
                <w:sz w:val="24"/>
              </w:rPr>
              <w:fldChar w:fldCharType="begin"/>
            </w:r>
            <w:r>
              <w:rPr>
                <w:sz w:val="24"/>
              </w:rPr>
              <w:instrText xml:space="preserve"> = 5 \* GB3 </w:instrText>
            </w:r>
            <w:r>
              <w:rPr>
                <w:sz w:val="24"/>
              </w:rPr>
              <w:fldChar w:fldCharType="separate"/>
            </w:r>
            <w:r>
              <w:rPr>
                <w:rFonts w:ascii="宋体"/>
                <w:sz w:val="24"/>
              </w:rPr>
              <w:t>⑤</w:t>
            </w:r>
            <w:r>
              <w:rPr>
                <w:sz w:val="24"/>
              </w:rPr>
              <w:fldChar w:fldCharType="end"/>
            </w:r>
            <w:r>
              <w:rPr>
                <w:rFonts w:hint="eastAsia"/>
                <w:sz w:val="24"/>
                <w:lang w:val="en-US" w:eastAsia="zh-CN"/>
              </w:rPr>
              <w:t>玻璃切割</w:t>
            </w:r>
            <w:r>
              <w:rPr>
                <w:sz w:val="24"/>
              </w:rPr>
              <w:t>：</w:t>
            </w:r>
            <w:r>
              <w:rPr>
                <w:rFonts w:hint="eastAsia"/>
                <w:sz w:val="24"/>
                <w:lang w:val="en-US" w:eastAsia="zh-CN"/>
              </w:rPr>
              <w:t>将擦拭后的玻璃进行切割，此工序由肥边角料产生</w:t>
            </w:r>
            <w:r>
              <w:rPr>
                <w:sz w:val="24"/>
              </w:rPr>
              <w:t>。</w:t>
            </w:r>
          </w:p>
          <w:p>
            <w:pPr>
              <w:spacing w:line="360" w:lineRule="auto"/>
              <w:ind w:firstLine="480" w:firstLineChars="200"/>
              <w:rPr>
                <w:sz w:val="24"/>
              </w:rPr>
            </w:pPr>
            <w:r>
              <w:rPr>
                <w:sz w:val="24"/>
              </w:rPr>
              <w:fldChar w:fldCharType="begin"/>
            </w:r>
            <w:r>
              <w:rPr>
                <w:sz w:val="24"/>
              </w:rPr>
              <w:instrText xml:space="preserve"> = 6 \* GB3 </w:instrText>
            </w:r>
            <w:r>
              <w:rPr>
                <w:sz w:val="24"/>
              </w:rPr>
              <w:fldChar w:fldCharType="separate"/>
            </w:r>
            <w:r>
              <w:rPr>
                <w:rFonts w:ascii="宋体"/>
                <w:sz w:val="24"/>
              </w:rPr>
              <w:t>⑥</w:t>
            </w:r>
            <w:r>
              <w:rPr>
                <w:sz w:val="24"/>
              </w:rPr>
              <w:fldChar w:fldCharType="end"/>
            </w:r>
            <w:r>
              <w:rPr>
                <w:rFonts w:hint="eastAsia"/>
                <w:sz w:val="24"/>
                <w:lang w:val="en-US" w:eastAsia="zh-CN"/>
              </w:rPr>
              <w:t>组装</w:t>
            </w:r>
            <w:r>
              <w:rPr>
                <w:sz w:val="24"/>
              </w:rPr>
              <w:t>：</w:t>
            </w:r>
            <w:r>
              <w:rPr>
                <w:rFonts w:hint="eastAsia"/>
                <w:sz w:val="24"/>
                <w:lang w:val="en-US" w:eastAsia="zh-CN"/>
              </w:rPr>
              <w:t>按照客户要求将玻璃以及其他配件进行装配</w:t>
            </w:r>
            <w:r>
              <w:rPr>
                <w:sz w:val="24"/>
              </w:rPr>
              <w:t>。</w:t>
            </w:r>
          </w:p>
          <w:p>
            <w:pPr>
              <w:spacing w:line="360" w:lineRule="auto"/>
              <w:ind w:firstLine="480" w:firstLineChars="200"/>
              <w:rPr>
                <w:sz w:val="24"/>
              </w:rPr>
            </w:pPr>
            <w:r>
              <w:rPr>
                <w:sz w:val="24"/>
              </w:rPr>
              <w:fldChar w:fldCharType="begin"/>
            </w:r>
            <w:r>
              <w:rPr>
                <w:sz w:val="24"/>
              </w:rPr>
              <w:instrText xml:space="preserve"> = 7 \* GB3 </w:instrText>
            </w:r>
            <w:r>
              <w:rPr>
                <w:sz w:val="24"/>
              </w:rPr>
              <w:fldChar w:fldCharType="separate"/>
            </w:r>
            <w:r>
              <w:rPr>
                <w:rFonts w:ascii="宋体"/>
                <w:sz w:val="24"/>
              </w:rPr>
              <w:t>⑦</w:t>
            </w:r>
            <w:r>
              <w:rPr>
                <w:sz w:val="24"/>
              </w:rPr>
              <w:fldChar w:fldCharType="end"/>
            </w:r>
            <w:r>
              <w:rPr>
                <w:rFonts w:hint="eastAsia"/>
                <w:sz w:val="24"/>
                <w:lang w:val="en-US" w:eastAsia="zh-CN"/>
              </w:rPr>
              <w:t>打胶、晾干：外协</w:t>
            </w:r>
            <w:r>
              <w:rPr>
                <w:sz w:val="24"/>
              </w:rPr>
              <w:t>。</w:t>
            </w:r>
          </w:p>
          <w:p>
            <w:pPr>
              <w:pStyle w:val="9"/>
              <w:ind w:left="0" w:leftChars="0" w:firstLine="0" w:firstLineChars="0"/>
              <w:rPr>
                <w:rFonts w:hint="default" w:eastAsia="宋体"/>
                <w:lang w:val="en-US" w:eastAsia="zh-CN"/>
              </w:rPr>
            </w:pPr>
            <w:r>
              <w:rPr>
                <w:rFonts w:hint="eastAsia"/>
                <w:sz w:val="24"/>
                <w:lang w:val="en-US" w:eastAsia="zh-CN"/>
              </w:rPr>
              <w:t xml:space="preserve">    ⑧包装：对成品进行包装入库。</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sz w:val="24"/>
              </w:rPr>
            </w:pPr>
          </w:p>
        </w:tc>
      </w:tr>
    </w:tbl>
    <w:p>
      <w:pPr>
        <w:spacing w:line="360" w:lineRule="auto"/>
        <w:rPr>
          <w:rFonts w:hAnsi="宋体"/>
          <w:b/>
          <w:sz w:val="28"/>
          <w:szCs w:val="28"/>
        </w:rPr>
      </w:pPr>
      <w:r>
        <w:rPr>
          <w:rFonts w:hint="eastAsia" w:hAnsi="宋体"/>
          <w:b/>
          <w:sz w:val="28"/>
          <w:szCs w:val="28"/>
        </w:rPr>
        <w:t>表三、</w:t>
      </w:r>
      <w:r>
        <w:rPr>
          <w:rFonts w:hAnsi="宋体"/>
          <w:b/>
          <w:sz w:val="28"/>
          <w:szCs w:val="28"/>
        </w:rPr>
        <w:t>主要污染源、污染物处理和排放</w:t>
      </w:r>
    </w:p>
    <w:tbl>
      <w:tblPr>
        <w:tblStyle w:val="15"/>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440" w:type="dxa"/>
            <w:vAlign w:val="center"/>
          </w:tcPr>
          <w:p>
            <w:pPr>
              <w:spacing w:line="360" w:lineRule="auto"/>
              <w:rPr>
                <w:b/>
                <w:bCs/>
                <w:spacing w:val="-2"/>
                <w:sz w:val="28"/>
                <w:szCs w:val="28"/>
              </w:rPr>
            </w:pPr>
            <w:r>
              <w:rPr>
                <w:rFonts w:hint="eastAsia"/>
                <w:b/>
                <w:bCs/>
                <w:spacing w:val="-2"/>
                <w:sz w:val="28"/>
                <w:szCs w:val="28"/>
              </w:rPr>
              <w:t>3.1、</w:t>
            </w:r>
            <w:r>
              <w:rPr>
                <w:rFonts w:hint="eastAsia"/>
                <w:b/>
                <w:bCs/>
                <w:sz w:val="28"/>
                <w:szCs w:val="28"/>
              </w:rPr>
              <w:t>废水</w:t>
            </w:r>
            <w:r>
              <w:rPr>
                <w:b/>
                <w:bCs/>
                <w:sz w:val="28"/>
                <w:szCs w:val="28"/>
              </w:rPr>
              <w:t>污染及主要治理措施</w:t>
            </w:r>
          </w:p>
          <w:p>
            <w:pPr>
              <w:spacing w:line="540" w:lineRule="exact"/>
              <w:ind w:firstLine="480"/>
              <w:rPr>
                <w:color w:val="auto"/>
                <w:sz w:val="24"/>
              </w:rPr>
            </w:pPr>
            <w:r>
              <w:rPr>
                <w:color w:val="auto"/>
                <w:sz w:val="24"/>
              </w:rPr>
              <w:t>本项目的废水</w:t>
            </w:r>
            <w:r>
              <w:rPr>
                <w:rFonts w:hint="eastAsia"/>
                <w:color w:val="auto"/>
                <w:sz w:val="24"/>
              </w:rPr>
              <w:t>主要为</w:t>
            </w:r>
            <w:r>
              <w:rPr>
                <w:color w:val="auto"/>
                <w:sz w:val="24"/>
              </w:rPr>
              <w:t>生活污水</w:t>
            </w:r>
            <w:r>
              <w:rPr>
                <w:rFonts w:hint="eastAsia"/>
                <w:color w:val="auto"/>
                <w:sz w:val="24"/>
                <w:lang w:val="en-US" w:eastAsia="zh-CN"/>
              </w:rPr>
              <w:t>和保洁废水</w:t>
            </w:r>
            <w:r>
              <w:rPr>
                <w:kern w:val="24"/>
                <w:sz w:val="24"/>
                <w:szCs w:val="24"/>
              </w:rPr>
              <w:t>。</w:t>
            </w:r>
          </w:p>
          <w:p>
            <w:pPr>
              <w:spacing w:line="360" w:lineRule="auto"/>
              <w:ind w:firstLine="480" w:firstLineChars="200"/>
              <w:rPr>
                <w:rFonts w:hint="eastAsia" w:ascii="宋体" w:hAnsi="宋体" w:eastAsia="宋体"/>
                <w:kern w:val="0"/>
                <w:sz w:val="24"/>
                <w:lang w:eastAsia="zh-CN"/>
              </w:rPr>
            </w:pPr>
            <w:r>
              <w:rPr>
                <w:rFonts w:hint="eastAsia" w:ascii="宋体" w:hAnsi="宋体"/>
                <w:kern w:val="0"/>
                <w:sz w:val="24"/>
              </w:rPr>
              <w:t>生活污水、保洁废水经化粪池处理后，满足西部组团污水处理厂接管标准，未规定的执行《污水综合排放标准</w:t>
            </w:r>
            <w:r>
              <w:rPr>
                <w:rFonts w:hint="default" w:ascii="Times New Roman" w:hAnsi="Times New Roman" w:cs="Times New Roman"/>
                <w:kern w:val="0"/>
                <w:sz w:val="24"/>
              </w:rPr>
              <w:t>》（GB8978-1996）中的三级标准，通过市政污水管网排入西部组团污水处理厂处理后排入派河</w:t>
            </w:r>
            <w:r>
              <w:rPr>
                <w:rFonts w:hint="eastAsia" w:ascii="Times New Roman" w:hAnsi="Times New Roman" w:cs="Times New Roman"/>
                <w:kern w:val="0"/>
                <w:sz w:val="24"/>
                <w:lang w:eastAsia="zh-CN"/>
              </w:rPr>
              <w:t>。</w:t>
            </w:r>
          </w:p>
          <w:p>
            <w:pPr>
              <w:spacing w:line="360" w:lineRule="auto"/>
              <w:rPr>
                <w:b/>
                <w:bCs/>
                <w:spacing w:val="-2"/>
                <w:sz w:val="28"/>
                <w:szCs w:val="28"/>
              </w:rPr>
            </w:pPr>
            <w:r>
              <w:rPr>
                <w:rFonts w:hint="eastAsia"/>
                <w:b/>
                <w:bCs/>
                <w:spacing w:val="-2"/>
                <w:sz w:val="28"/>
                <w:szCs w:val="28"/>
              </w:rPr>
              <w:t>3.2、</w:t>
            </w:r>
            <w:r>
              <w:rPr>
                <w:rFonts w:hint="eastAsia"/>
                <w:b/>
                <w:bCs/>
                <w:sz w:val="28"/>
                <w:szCs w:val="28"/>
              </w:rPr>
              <w:t>废气</w:t>
            </w:r>
            <w:r>
              <w:rPr>
                <w:b/>
                <w:bCs/>
                <w:sz w:val="28"/>
                <w:szCs w:val="28"/>
              </w:rPr>
              <w:t>污染及主要治理措施</w:t>
            </w:r>
          </w:p>
          <w:p>
            <w:pPr>
              <w:pStyle w:val="30"/>
              <w:spacing w:line="360" w:lineRule="auto"/>
              <w:jc w:val="left"/>
              <w:rPr>
                <w:rFonts w:hint="eastAsia" w:eastAsia="宋体" w:cs="宋体"/>
                <w:sz w:val="24"/>
                <w:szCs w:val="24"/>
                <w:lang w:eastAsia="zh-CN"/>
              </w:rPr>
            </w:pPr>
            <w:r>
              <w:rPr>
                <w:rFonts w:hint="eastAsia" w:cs="Times New Roman"/>
                <w:sz w:val="24"/>
                <w:szCs w:val="24"/>
                <w:lang w:val="en-US" w:eastAsia="zh-CN"/>
              </w:rPr>
              <w:t>本项目</w:t>
            </w:r>
            <w:r>
              <w:rPr>
                <w:rFonts w:hint="eastAsia" w:ascii="Times New Roman" w:hAnsi="Times New Roman" w:cs="Times New Roman"/>
                <w:sz w:val="24"/>
                <w:szCs w:val="24"/>
                <w:lang w:val="en-US" w:eastAsia="zh-CN"/>
              </w:rPr>
              <w:t>打胶、晾干工序外协，无非甲烷总烃产生</w:t>
            </w:r>
            <w:r>
              <w:rPr>
                <w:rFonts w:hint="eastAsia" w:cs="Times New Roman"/>
                <w:sz w:val="24"/>
                <w:szCs w:val="24"/>
                <w:lang w:val="en-US" w:eastAsia="zh-CN"/>
              </w:rPr>
              <w:t>。</w:t>
            </w:r>
          </w:p>
          <w:p>
            <w:pPr>
              <w:spacing w:line="360" w:lineRule="auto"/>
              <w:rPr>
                <w:b/>
                <w:bCs/>
                <w:sz w:val="28"/>
                <w:szCs w:val="28"/>
              </w:rPr>
            </w:pPr>
            <w:r>
              <w:rPr>
                <w:rFonts w:hint="eastAsia"/>
                <w:b/>
                <w:bCs/>
                <w:sz w:val="28"/>
                <w:szCs w:val="28"/>
              </w:rPr>
              <w:t>3.3、</w:t>
            </w:r>
            <w:r>
              <w:rPr>
                <w:b/>
                <w:bCs/>
                <w:sz w:val="28"/>
                <w:szCs w:val="28"/>
              </w:rPr>
              <w:t>噪声污染及主要治理措施</w:t>
            </w:r>
          </w:p>
          <w:p>
            <w:pPr>
              <w:snapToGrid w:val="0"/>
              <w:spacing w:line="360" w:lineRule="auto"/>
              <w:ind w:firstLine="480" w:firstLineChars="200"/>
              <w:rPr>
                <w:sz w:val="24"/>
              </w:rPr>
            </w:pPr>
            <w:r>
              <w:rPr>
                <w:sz w:val="24"/>
              </w:rPr>
              <w:t>建设项目主要噪声源有：</w:t>
            </w:r>
            <w:r>
              <w:rPr>
                <w:rFonts w:hint="eastAsia"/>
                <w:sz w:val="24"/>
                <w:lang w:bidi="ar"/>
              </w:rPr>
              <w:t>各类机加工设备以及</w:t>
            </w:r>
            <w:r>
              <w:rPr>
                <w:rFonts w:hint="eastAsia"/>
                <w:sz w:val="24"/>
                <w:lang w:val="en-US" w:eastAsia="zh-CN" w:bidi="ar"/>
              </w:rPr>
              <w:t>风机</w:t>
            </w:r>
            <w:r>
              <w:rPr>
                <w:sz w:val="24"/>
              </w:rPr>
              <w:t>等机械设备。</w:t>
            </w:r>
          </w:p>
          <w:p>
            <w:pPr>
              <w:snapToGrid w:val="0"/>
              <w:spacing w:line="360" w:lineRule="auto"/>
              <w:ind w:firstLine="456" w:firstLineChars="200"/>
              <w:rPr>
                <w:color w:val="000000"/>
                <w:spacing w:val="-6"/>
                <w:sz w:val="24"/>
              </w:rPr>
            </w:pPr>
            <w:r>
              <w:rPr>
                <w:color w:val="000000"/>
                <w:spacing w:val="-6"/>
                <w:sz w:val="24"/>
              </w:rPr>
              <w:t>噪声治理措施：</w:t>
            </w:r>
          </w:p>
          <w:p>
            <w:pPr>
              <w:snapToGrid w:val="0"/>
              <w:spacing w:line="360" w:lineRule="auto"/>
              <w:ind w:firstLine="456" w:firstLineChars="200"/>
              <w:rPr>
                <w:color w:val="000000"/>
                <w:spacing w:val="-6"/>
                <w:sz w:val="24"/>
              </w:rPr>
            </w:pPr>
            <w:r>
              <w:rPr>
                <w:color w:val="000000"/>
                <w:spacing w:val="-6"/>
                <w:sz w:val="24"/>
              </w:rPr>
              <w:t>（1）在生产设备的选型上，选用低噪声的设备。</w:t>
            </w:r>
          </w:p>
          <w:p>
            <w:pPr>
              <w:snapToGrid w:val="0"/>
              <w:spacing w:line="360" w:lineRule="auto"/>
              <w:ind w:firstLine="456" w:firstLineChars="200"/>
              <w:rPr>
                <w:sz w:val="24"/>
              </w:rPr>
            </w:pPr>
            <w:r>
              <w:rPr>
                <w:color w:val="000000"/>
                <w:spacing w:val="-6"/>
                <w:sz w:val="24"/>
              </w:rPr>
              <w:t>（2）加强设备的维护，确保设备处于良好的运转状态，杜绝因设备不正常运转时产生的高噪声现象。</w:t>
            </w:r>
          </w:p>
          <w:p>
            <w:pPr>
              <w:spacing w:line="360" w:lineRule="auto"/>
              <w:rPr>
                <w:b/>
                <w:bCs/>
                <w:sz w:val="28"/>
                <w:szCs w:val="28"/>
              </w:rPr>
            </w:pPr>
            <w:r>
              <w:rPr>
                <w:rFonts w:hint="eastAsia"/>
                <w:b/>
                <w:bCs/>
                <w:sz w:val="28"/>
                <w:szCs w:val="28"/>
              </w:rPr>
              <w:t>3</w:t>
            </w:r>
            <w:r>
              <w:rPr>
                <w:b/>
                <w:bCs/>
                <w:sz w:val="28"/>
                <w:szCs w:val="28"/>
              </w:rPr>
              <w:t>.</w:t>
            </w:r>
            <w:r>
              <w:rPr>
                <w:rFonts w:hint="eastAsia"/>
                <w:b/>
                <w:bCs/>
                <w:sz w:val="28"/>
                <w:szCs w:val="28"/>
              </w:rPr>
              <w:t>4</w:t>
            </w:r>
            <w:r>
              <w:rPr>
                <w:b/>
                <w:bCs/>
                <w:sz w:val="28"/>
                <w:szCs w:val="28"/>
              </w:rPr>
              <w:t>、固体废物污染及主要治理措施</w:t>
            </w:r>
          </w:p>
          <w:p>
            <w:pPr>
              <w:widowControl/>
              <w:spacing w:line="500" w:lineRule="exact"/>
              <w:ind w:firstLine="480" w:firstLineChars="200"/>
              <w:jc w:val="left"/>
              <w:rPr>
                <w:sz w:val="24"/>
                <w:szCs w:val="20"/>
              </w:rPr>
            </w:pPr>
            <w:r>
              <w:rPr>
                <w:rFonts w:hint="eastAsia" w:cs="宋体"/>
                <w:sz w:val="24"/>
                <w:szCs w:val="20"/>
                <w:lang w:bidi="ar"/>
              </w:rPr>
              <w:t>本项目产生的固体废弃物主要是生活垃圾、</w:t>
            </w:r>
            <w:r>
              <w:rPr>
                <w:rFonts w:hint="eastAsia" w:cs="宋体"/>
                <w:sz w:val="24"/>
                <w:szCs w:val="20"/>
                <w:lang w:val="en-US" w:eastAsia="zh-CN" w:bidi="ar"/>
              </w:rPr>
              <w:t>废边角料</w:t>
            </w:r>
            <w:r>
              <w:rPr>
                <w:rFonts w:hint="eastAsia" w:cs="宋体"/>
                <w:sz w:val="24"/>
                <w:szCs w:val="20"/>
                <w:lang w:bidi="ar"/>
              </w:rPr>
              <w:t>。生活垃圾由环卫部门统一收集后处理</w:t>
            </w:r>
            <w:r>
              <w:rPr>
                <w:rFonts w:hint="eastAsia"/>
                <w:sz w:val="24"/>
                <w:szCs w:val="20"/>
                <w:lang w:eastAsia="zh-CN" w:bidi="ar"/>
              </w:rPr>
              <w:t>；</w:t>
            </w:r>
            <w:r>
              <w:rPr>
                <w:rFonts w:hint="eastAsia" w:cs="宋体"/>
                <w:sz w:val="24"/>
                <w:szCs w:val="20"/>
                <w:lang w:val="en-US" w:eastAsia="zh-CN" w:bidi="ar"/>
              </w:rPr>
              <w:t>边角料</w:t>
            </w:r>
            <w:r>
              <w:rPr>
                <w:rFonts w:hint="eastAsia" w:cs="宋体"/>
                <w:sz w:val="24"/>
                <w:szCs w:val="20"/>
                <w:lang w:bidi="ar"/>
              </w:rPr>
              <w:t>定期外售废品收购站。</w:t>
            </w:r>
          </w:p>
          <w:p>
            <w:pPr>
              <w:spacing w:line="360" w:lineRule="auto"/>
              <w:ind w:firstLine="480" w:firstLineChars="200"/>
              <w:rPr>
                <w:sz w:val="24"/>
              </w:rPr>
            </w:pPr>
            <w:r>
              <w:rPr>
                <w:rFonts w:hint="eastAsia"/>
                <w:sz w:val="24"/>
              </w:rPr>
              <w:t>本项目固废处置情况见表3-2。</w:t>
            </w:r>
          </w:p>
          <w:p>
            <w:pPr>
              <w:spacing w:line="360" w:lineRule="auto"/>
              <w:ind w:firstLine="422" w:firstLineChars="200"/>
              <w:jc w:val="center"/>
              <w:rPr>
                <w:szCs w:val="21"/>
              </w:rPr>
            </w:pPr>
            <w:r>
              <w:rPr>
                <w:b/>
                <w:bCs/>
                <w:szCs w:val="21"/>
              </w:rPr>
              <w:t>表3-</w:t>
            </w:r>
            <w:r>
              <w:rPr>
                <w:rFonts w:hint="eastAsia"/>
                <w:b/>
                <w:bCs/>
                <w:szCs w:val="21"/>
              </w:rPr>
              <w:t>2</w:t>
            </w:r>
            <w:r>
              <w:rPr>
                <w:b/>
                <w:bCs/>
                <w:szCs w:val="21"/>
              </w:rPr>
              <w:t xml:space="preserve">  </w:t>
            </w:r>
            <w:r>
              <w:rPr>
                <w:rFonts w:hint="eastAsia"/>
                <w:b/>
                <w:bCs/>
                <w:szCs w:val="21"/>
              </w:rPr>
              <w:t>本</w:t>
            </w:r>
            <w:r>
              <w:rPr>
                <w:b/>
                <w:bCs/>
                <w:szCs w:val="21"/>
              </w:rPr>
              <w:t>项目</w:t>
            </w:r>
            <w:r>
              <w:rPr>
                <w:rFonts w:hint="eastAsia"/>
                <w:b/>
                <w:bCs/>
                <w:szCs w:val="21"/>
              </w:rPr>
              <w:t>固废处置</w:t>
            </w:r>
            <w:r>
              <w:rPr>
                <w:b/>
                <w:bCs/>
                <w:szCs w:val="21"/>
              </w:rPr>
              <w:t>情况</w:t>
            </w:r>
            <w:r>
              <w:rPr>
                <w:rFonts w:hint="eastAsia"/>
                <w:b/>
                <w:bCs/>
                <w:szCs w:val="21"/>
              </w:rPr>
              <w:t>一览表</w:t>
            </w:r>
          </w:p>
          <w:tbl>
            <w:tblPr>
              <w:tblStyle w:val="1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62"/>
              <w:gridCol w:w="2003"/>
              <w:gridCol w:w="2429"/>
              <w:gridCol w:w="1365"/>
              <w:gridCol w:w="25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2"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b/>
                      <w:sz w:val="21"/>
                      <w:szCs w:val="21"/>
                    </w:rPr>
                  </w:pPr>
                  <w:r>
                    <w:rPr>
                      <w:rFonts w:hint="eastAsia" w:cs="宋体"/>
                      <w:b/>
                      <w:sz w:val="21"/>
                      <w:szCs w:val="21"/>
                      <w:lang w:bidi="ar"/>
                    </w:rPr>
                    <w:t>序号</w:t>
                  </w:r>
                </w:p>
              </w:tc>
              <w:tc>
                <w:tcPr>
                  <w:tcW w:w="2003"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b/>
                      <w:sz w:val="21"/>
                      <w:szCs w:val="21"/>
                    </w:rPr>
                  </w:pPr>
                  <w:r>
                    <w:rPr>
                      <w:rFonts w:hint="eastAsia" w:cs="宋体"/>
                      <w:b/>
                      <w:sz w:val="21"/>
                      <w:szCs w:val="21"/>
                      <w:lang w:bidi="ar"/>
                    </w:rPr>
                    <w:t>种</w:t>
                  </w:r>
                  <w:r>
                    <w:rPr>
                      <w:b/>
                      <w:sz w:val="21"/>
                      <w:szCs w:val="21"/>
                      <w:lang w:bidi="ar"/>
                    </w:rPr>
                    <w:t xml:space="preserve"> </w:t>
                  </w:r>
                  <w:r>
                    <w:rPr>
                      <w:rFonts w:hint="eastAsia" w:cs="宋体"/>
                      <w:b/>
                      <w:sz w:val="21"/>
                      <w:szCs w:val="21"/>
                      <w:lang w:bidi="ar"/>
                    </w:rPr>
                    <w:t>类</w:t>
                  </w:r>
                </w:p>
              </w:tc>
              <w:tc>
                <w:tcPr>
                  <w:tcW w:w="2429"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b/>
                      <w:sz w:val="21"/>
                      <w:szCs w:val="21"/>
                    </w:rPr>
                  </w:pPr>
                  <w:r>
                    <w:rPr>
                      <w:rFonts w:hint="eastAsia" w:cs="宋体"/>
                      <w:b/>
                      <w:sz w:val="21"/>
                      <w:szCs w:val="21"/>
                      <w:lang w:bidi="ar"/>
                    </w:rPr>
                    <w:t>名</w:t>
                  </w:r>
                  <w:r>
                    <w:rPr>
                      <w:b/>
                      <w:sz w:val="21"/>
                      <w:szCs w:val="21"/>
                      <w:lang w:bidi="ar"/>
                    </w:rPr>
                    <w:t xml:space="preserve">  </w:t>
                  </w:r>
                  <w:r>
                    <w:rPr>
                      <w:rFonts w:hint="eastAsia" w:cs="宋体"/>
                      <w:b/>
                      <w:sz w:val="21"/>
                      <w:szCs w:val="21"/>
                      <w:lang w:bidi="ar"/>
                    </w:rPr>
                    <w:t>称</w:t>
                  </w:r>
                </w:p>
              </w:tc>
              <w:tc>
                <w:tcPr>
                  <w:tcW w:w="1365"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b/>
                      <w:sz w:val="21"/>
                      <w:szCs w:val="21"/>
                    </w:rPr>
                  </w:pPr>
                  <w:r>
                    <w:rPr>
                      <w:rFonts w:hint="eastAsia" w:cs="宋体"/>
                      <w:b/>
                      <w:sz w:val="21"/>
                      <w:szCs w:val="21"/>
                      <w:lang w:bidi="ar"/>
                    </w:rPr>
                    <w:t>产生量</w:t>
                  </w:r>
                </w:p>
              </w:tc>
              <w:tc>
                <w:tcPr>
                  <w:tcW w:w="2560" w:type="dxa"/>
                  <w:tcBorders>
                    <w:top w:val="single" w:color="auto" w:sz="2" w:space="0"/>
                    <w:left w:val="single" w:color="auto" w:sz="2" w:space="0"/>
                    <w:bottom w:val="single" w:color="auto" w:sz="2" w:space="0"/>
                    <w:right w:val="single" w:color="auto" w:sz="2" w:space="0"/>
                  </w:tcBorders>
                  <w:noWrap w:val="0"/>
                  <w:vAlign w:val="center"/>
                </w:tcPr>
                <w:p>
                  <w:pPr>
                    <w:widowControl/>
                    <w:spacing w:line="240" w:lineRule="auto"/>
                    <w:jc w:val="center"/>
                    <w:rPr>
                      <w:b/>
                      <w:sz w:val="21"/>
                      <w:szCs w:val="21"/>
                    </w:rPr>
                  </w:pPr>
                  <w:r>
                    <w:rPr>
                      <w:rFonts w:hint="eastAsia" w:cs="宋体"/>
                      <w:b/>
                      <w:sz w:val="21"/>
                      <w:szCs w:val="21"/>
                      <w:lang w:bidi="ar"/>
                    </w:rPr>
                    <w:t>处</w:t>
                  </w:r>
                  <w:r>
                    <w:rPr>
                      <w:b/>
                      <w:sz w:val="21"/>
                      <w:szCs w:val="21"/>
                      <w:lang w:bidi="ar"/>
                    </w:rPr>
                    <w:t xml:space="preserve"> </w:t>
                  </w:r>
                  <w:r>
                    <w:rPr>
                      <w:rFonts w:hint="eastAsia" w:cs="宋体"/>
                      <w:b/>
                      <w:sz w:val="21"/>
                      <w:szCs w:val="21"/>
                      <w:lang w:bidi="ar"/>
                    </w:rPr>
                    <w:t>置</w:t>
                  </w:r>
                  <w:r>
                    <w:rPr>
                      <w:b/>
                      <w:sz w:val="21"/>
                      <w:szCs w:val="21"/>
                      <w:lang w:bidi="ar"/>
                    </w:rPr>
                    <w:t xml:space="preserve"> </w:t>
                  </w:r>
                  <w:r>
                    <w:rPr>
                      <w:rFonts w:hint="eastAsia" w:cs="宋体"/>
                      <w:b/>
                      <w:sz w:val="21"/>
                      <w:szCs w:val="21"/>
                      <w:lang w:bidi="ar"/>
                    </w:rPr>
                    <w:t>措</w:t>
                  </w:r>
                  <w:r>
                    <w:rPr>
                      <w:b/>
                      <w:sz w:val="21"/>
                      <w:szCs w:val="21"/>
                      <w:lang w:bidi="ar"/>
                    </w:rPr>
                    <w:t xml:space="preserve"> </w:t>
                  </w:r>
                  <w:r>
                    <w:rPr>
                      <w:rFonts w:hint="eastAsia" w:cs="宋体"/>
                      <w:b/>
                      <w:sz w:val="21"/>
                      <w:szCs w:val="21"/>
                      <w:lang w:bidi="ar"/>
                    </w:rPr>
                    <w:t>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2"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sz w:val="21"/>
                      <w:szCs w:val="21"/>
                      <w:lang w:bidi="ar"/>
                    </w:rPr>
                    <w:t>1</w:t>
                  </w:r>
                </w:p>
              </w:tc>
              <w:tc>
                <w:tcPr>
                  <w:tcW w:w="2003"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rFonts w:hint="eastAsia" w:cs="宋体"/>
                      <w:sz w:val="21"/>
                      <w:szCs w:val="21"/>
                      <w:lang w:bidi="ar"/>
                    </w:rPr>
                    <w:t>生活垃圾</w:t>
                  </w:r>
                </w:p>
              </w:tc>
              <w:tc>
                <w:tcPr>
                  <w:tcW w:w="2429"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rFonts w:hint="eastAsia" w:cs="宋体"/>
                      <w:sz w:val="21"/>
                      <w:szCs w:val="21"/>
                      <w:lang w:bidi="ar"/>
                    </w:rPr>
                    <w:t>生活垃圾</w:t>
                  </w:r>
                </w:p>
              </w:tc>
              <w:tc>
                <w:tcPr>
                  <w:tcW w:w="1365"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rFonts w:hint="eastAsia"/>
                      <w:sz w:val="21"/>
                      <w:szCs w:val="21"/>
                      <w:lang w:val="en-US" w:eastAsia="zh-CN" w:bidi="ar"/>
                    </w:rPr>
                    <w:t>2.25</w:t>
                  </w:r>
                  <w:r>
                    <w:rPr>
                      <w:sz w:val="21"/>
                      <w:szCs w:val="21"/>
                      <w:lang w:bidi="ar"/>
                    </w:rPr>
                    <w:t>t/a</w:t>
                  </w:r>
                </w:p>
              </w:tc>
              <w:tc>
                <w:tcPr>
                  <w:tcW w:w="2560" w:type="dxa"/>
                  <w:tcBorders>
                    <w:top w:val="single" w:color="auto" w:sz="2" w:space="0"/>
                    <w:left w:val="single" w:color="auto" w:sz="2" w:space="0"/>
                    <w:bottom w:val="single" w:color="auto" w:sz="2" w:space="0"/>
                    <w:right w:val="single" w:color="auto" w:sz="2" w:space="0"/>
                  </w:tcBorders>
                  <w:noWrap w:val="0"/>
                  <w:vAlign w:val="center"/>
                </w:tcPr>
                <w:p>
                  <w:pPr>
                    <w:widowControl/>
                    <w:spacing w:line="240" w:lineRule="auto"/>
                    <w:jc w:val="center"/>
                    <w:rPr>
                      <w:sz w:val="21"/>
                      <w:szCs w:val="21"/>
                    </w:rPr>
                  </w:pPr>
                  <w:r>
                    <w:rPr>
                      <w:rFonts w:hint="eastAsia" w:cs="宋体"/>
                      <w:sz w:val="21"/>
                      <w:szCs w:val="21"/>
                      <w:lang w:bidi="ar"/>
                    </w:rPr>
                    <w:t>由环卫部门清运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62"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sz w:val="21"/>
                      <w:szCs w:val="21"/>
                      <w:lang w:bidi="ar"/>
                    </w:rPr>
                    <w:t>2</w:t>
                  </w:r>
                </w:p>
              </w:tc>
              <w:tc>
                <w:tcPr>
                  <w:tcW w:w="2003"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rFonts w:hint="eastAsia" w:cs="宋体"/>
                      <w:sz w:val="21"/>
                      <w:szCs w:val="21"/>
                      <w:lang w:bidi="ar"/>
                    </w:rPr>
                    <w:t>一般工业固废</w:t>
                  </w:r>
                </w:p>
              </w:tc>
              <w:tc>
                <w:tcPr>
                  <w:tcW w:w="2429"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rFonts w:hint="eastAsia" w:eastAsia="宋体"/>
                      <w:sz w:val="21"/>
                      <w:szCs w:val="21"/>
                      <w:lang w:eastAsia="zh-CN"/>
                    </w:rPr>
                  </w:pPr>
                  <w:r>
                    <w:rPr>
                      <w:rFonts w:hint="eastAsia" w:cs="宋体"/>
                      <w:sz w:val="21"/>
                      <w:szCs w:val="21"/>
                      <w:lang w:val="en-US" w:eastAsia="zh-CN" w:bidi="ar"/>
                    </w:rPr>
                    <w:t>废边角料</w:t>
                  </w:r>
                </w:p>
              </w:tc>
              <w:tc>
                <w:tcPr>
                  <w:tcW w:w="1365" w:type="dxa"/>
                  <w:tcBorders>
                    <w:top w:val="single" w:color="auto" w:sz="2" w:space="0"/>
                    <w:left w:val="single" w:color="auto" w:sz="2" w:space="0"/>
                    <w:bottom w:val="single" w:color="auto" w:sz="2" w:space="0"/>
                    <w:right w:val="single" w:color="auto" w:sz="2" w:space="0"/>
                  </w:tcBorders>
                  <w:noWrap w:val="0"/>
                  <w:tcMar>
                    <w:left w:w="28" w:type="dxa"/>
                    <w:right w:w="28" w:type="dxa"/>
                  </w:tcMar>
                  <w:vAlign w:val="center"/>
                </w:tcPr>
                <w:p>
                  <w:pPr>
                    <w:widowControl/>
                    <w:spacing w:line="240" w:lineRule="auto"/>
                    <w:jc w:val="center"/>
                    <w:rPr>
                      <w:sz w:val="21"/>
                      <w:szCs w:val="21"/>
                    </w:rPr>
                  </w:pPr>
                  <w:r>
                    <w:rPr>
                      <w:rFonts w:hint="eastAsia"/>
                      <w:sz w:val="21"/>
                      <w:szCs w:val="21"/>
                      <w:lang w:val="en-US" w:eastAsia="zh-CN" w:bidi="ar"/>
                    </w:rPr>
                    <w:t>8</w:t>
                  </w:r>
                  <w:r>
                    <w:rPr>
                      <w:sz w:val="21"/>
                      <w:szCs w:val="21"/>
                      <w:lang w:bidi="ar"/>
                    </w:rPr>
                    <w:t>t/a</w:t>
                  </w:r>
                </w:p>
              </w:tc>
              <w:tc>
                <w:tcPr>
                  <w:tcW w:w="2560" w:type="dxa"/>
                  <w:tcBorders>
                    <w:top w:val="single" w:color="auto" w:sz="2" w:space="0"/>
                    <w:left w:val="single" w:color="auto" w:sz="2" w:space="0"/>
                    <w:bottom w:val="single" w:color="auto" w:sz="2" w:space="0"/>
                    <w:right w:val="single" w:color="auto" w:sz="2" w:space="0"/>
                  </w:tcBorders>
                  <w:noWrap w:val="0"/>
                  <w:vAlign w:val="center"/>
                </w:tcPr>
                <w:p>
                  <w:pPr>
                    <w:spacing w:line="240" w:lineRule="auto"/>
                    <w:jc w:val="center"/>
                    <w:rPr>
                      <w:sz w:val="21"/>
                      <w:szCs w:val="21"/>
                    </w:rPr>
                  </w:pPr>
                  <w:r>
                    <w:rPr>
                      <w:rFonts w:hint="eastAsia" w:cs="宋体"/>
                      <w:sz w:val="21"/>
                      <w:szCs w:val="21"/>
                      <w:lang w:bidi="ar"/>
                    </w:rPr>
                    <w:t>废品回收站回收</w:t>
                  </w:r>
                </w:p>
              </w:tc>
            </w:tr>
          </w:tbl>
          <w:p>
            <w:pPr>
              <w:widowControl/>
              <w:adjustRightInd w:val="0"/>
              <w:snapToGrid w:val="0"/>
              <w:spacing w:line="360" w:lineRule="auto"/>
              <w:jc w:val="left"/>
              <w:rPr>
                <w:b/>
                <w:bCs/>
                <w:sz w:val="28"/>
                <w:szCs w:val="28"/>
              </w:rPr>
            </w:pPr>
            <w:r>
              <w:rPr>
                <w:rFonts w:hint="eastAsia"/>
                <w:b/>
                <w:bCs/>
                <w:sz w:val="28"/>
                <w:szCs w:val="28"/>
              </w:rPr>
              <w:t>3.5、环境保护投资</w:t>
            </w:r>
          </w:p>
          <w:p>
            <w:pPr>
              <w:pStyle w:val="6"/>
              <w:kinsoku w:val="0"/>
              <w:overflowPunct w:val="0"/>
              <w:spacing w:after="0" w:line="360" w:lineRule="auto"/>
              <w:ind w:firstLine="480" w:firstLineChars="200"/>
              <w:rPr>
                <w:b/>
                <w:bCs/>
                <w:sz w:val="24"/>
              </w:rPr>
            </w:pPr>
            <w:r>
              <w:rPr>
                <w:color w:val="000000"/>
                <w:sz w:val="24"/>
              </w:rPr>
              <w:t>建设项目整体</w:t>
            </w:r>
            <w:r>
              <w:rPr>
                <w:sz w:val="24"/>
              </w:rPr>
              <w:t>设计总投资</w:t>
            </w:r>
            <w:r>
              <w:rPr>
                <w:rFonts w:hint="eastAsia"/>
                <w:sz w:val="24"/>
                <w:lang w:val="en-US" w:eastAsia="zh-CN"/>
              </w:rPr>
              <w:t>5</w:t>
            </w:r>
            <w:r>
              <w:rPr>
                <w:sz w:val="24"/>
              </w:rPr>
              <w:t>00万元，其中环保投资</w:t>
            </w:r>
            <w:r>
              <w:rPr>
                <w:rFonts w:hint="eastAsia"/>
                <w:sz w:val="24"/>
                <w:lang w:val="en-US" w:eastAsia="zh-CN"/>
              </w:rPr>
              <w:t>7</w:t>
            </w:r>
            <w:r>
              <w:rPr>
                <w:sz w:val="24"/>
              </w:rPr>
              <w:t>万元，占总投资的</w:t>
            </w:r>
            <w:r>
              <w:rPr>
                <w:rFonts w:hint="eastAsia"/>
                <w:sz w:val="24"/>
              </w:rPr>
              <w:t>1.</w:t>
            </w:r>
            <w:r>
              <w:rPr>
                <w:rFonts w:hint="eastAsia"/>
                <w:sz w:val="24"/>
                <w:lang w:val="en-US" w:eastAsia="zh-CN"/>
              </w:rPr>
              <w:t>4</w:t>
            </w:r>
            <w:r>
              <w:rPr>
                <w:sz w:val="24"/>
              </w:rPr>
              <w:t>%；实际</w:t>
            </w:r>
            <w:r>
              <w:rPr>
                <w:rFonts w:hint="eastAsia"/>
                <w:sz w:val="24"/>
                <w:lang w:val="en-US" w:eastAsia="zh-CN"/>
              </w:rPr>
              <w:t>本次</w:t>
            </w:r>
            <w:r>
              <w:rPr>
                <w:sz w:val="24"/>
              </w:rPr>
              <w:t>验收总投资</w:t>
            </w:r>
            <w:r>
              <w:rPr>
                <w:rFonts w:hint="eastAsia"/>
                <w:sz w:val="24"/>
                <w:lang w:val="en-US" w:eastAsia="zh-CN"/>
              </w:rPr>
              <w:t>5</w:t>
            </w:r>
            <w:r>
              <w:rPr>
                <w:rFonts w:hint="eastAsia"/>
                <w:sz w:val="24"/>
              </w:rPr>
              <w:t>00</w:t>
            </w:r>
            <w:r>
              <w:rPr>
                <w:sz w:val="24"/>
              </w:rPr>
              <w:t>万元，其中环保投资</w:t>
            </w:r>
            <w:r>
              <w:rPr>
                <w:rFonts w:hint="eastAsia"/>
                <w:sz w:val="24"/>
                <w:lang w:val="en-US" w:eastAsia="zh-CN"/>
              </w:rPr>
              <w:t>7</w:t>
            </w:r>
            <w:r>
              <w:rPr>
                <w:sz w:val="24"/>
              </w:rPr>
              <w:t>万元，占总投资的</w:t>
            </w:r>
            <w:r>
              <w:rPr>
                <w:rFonts w:hint="eastAsia"/>
                <w:sz w:val="24"/>
                <w:lang w:val="en-US" w:eastAsia="zh-CN"/>
              </w:rPr>
              <w:t>1.4</w:t>
            </w:r>
            <w:r>
              <w:rPr>
                <w:sz w:val="24"/>
              </w:rPr>
              <w:t>%。</w:t>
            </w:r>
            <w:r>
              <w:rPr>
                <w:rFonts w:hint="eastAsia"/>
                <w:sz w:val="24"/>
              </w:rPr>
              <w:t>详细见下表3-3。</w:t>
            </w:r>
          </w:p>
          <w:p>
            <w:pPr>
              <w:spacing w:line="360" w:lineRule="auto"/>
              <w:jc w:val="center"/>
              <w:rPr>
                <w:b/>
                <w:bCs/>
                <w:szCs w:val="21"/>
              </w:rPr>
            </w:pPr>
            <w:r>
              <w:rPr>
                <w:b/>
                <w:bCs/>
                <w:szCs w:val="21"/>
              </w:rPr>
              <w:t>表3-</w:t>
            </w:r>
            <w:r>
              <w:rPr>
                <w:rFonts w:hint="eastAsia"/>
                <w:b/>
                <w:bCs/>
                <w:szCs w:val="21"/>
              </w:rPr>
              <w:t>3</w:t>
            </w:r>
            <w:r>
              <w:rPr>
                <w:b/>
                <w:bCs/>
                <w:szCs w:val="21"/>
              </w:rPr>
              <w:t xml:space="preserve">  项目环保设施投资一览表</w:t>
            </w:r>
          </w:p>
          <w:tbl>
            <w:tblPr>
              <w:tblStyle w:val="15"/>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05"/>
              <w:gridCol w:w="640"/>
              <w:gridCol w:w="2744"/>
              <w:gridCol w:w="1686"/>
              <w:gridCol w:w="2339"/>
              <w:gridCol w:w="129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 w:type="pct"/>
                  <w:vMerge w:val="restart"/>
                  <w:tcBorders>
                    <w:top w:val="single" w:color="auto" w:sz="2" w:space="0"/>
                    <w:left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序号</w:t>
                  </w:r>
                </w:p>
              </w:tc>
              <w:tc>
                <w:tcPr>
                  <w:tcW w:w="347" w:type="pct"/>
                  <w:vMerge w:val="restart"/>
                  <w:tcBorders>
                    <w:top w:val="single" w:color="auto" w:sz="2" w:space="0"/>
                    <w:left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项目</w:t>
                  </w:r>
                </w:p>
              </w:tc>
              <w:tc>
                <w:tcPr>
                  <w:tcW w:w="2403" w:type="pct"/>
                  <w:gridSpan w:val="2"/>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eastAsia"/>
                      <w:szCs w:val="21"/>
                    </w:rPr>
                  </w:pPr>
                  <w:r>
                    <w:rPr>
                      <w:rFonts w:hint="eastAsia"/>
                      <w:szCs w:val="21"/>
                    </w:rPr>
                    <w:t>环评设计</w:t>
                  </w:r>
                </w:p>
              </w:tc>
              <w:tc>
                <w:tcPr>
                  <w:tcW w:w="1974" w:type="pct"/>
                  <w:gridSpan w:val="2"/>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cs="宋体"/>
                      <w:szCs w:val="21"/>
                      <w:lang w:bidi="ar"/>
                    </w:rPr>
                  </w:pPr>
                  <w:r>
                    <w:rPr>
                      <w:rFonts w:hint="eastAsia" w:cs="宋体"/>
                      <w:szCs w:val="21"/>
                      <w:lang w:bidi="ar"/>
                    </w:rPr>
                    <w:t>落实情况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 w:type="pct"/>
                  <w:vMerge w:val="continue"/>
                  <w:tcBorders>
                    <w:left w:val="single" w:color="auto" w:sz="2" w:space="0"/>
                    <w:bottom w:val="single" w:color="auto" w:sz="2" w:space="0"/>
                    <w:right w:val="single" w:color="auto" w:sz="2" w:space="0"/>
                  </w:tcBorders>
                  <w:noWrap w:val="0"/>
                  <w:vAlign w:val="center"/>
                </w:tcPr>
                <w:p>
                  <w:pPr>
                    <w:widowControl/>
                    <w:spacing w:line="240" w:lineRule="atLeast"/>
                    <w:jc w:val="center"/>
                    <w:rPr>
                      <w:rFonts w:hint="eastAsia" w:cs="宋体"/>
                      <w:szCs w:val="21"/>
                      <w:lang w:bidi="ar"/>
                    </w:rPr>
                  </w:pPr>
                </w:p>
              </w:tc>
              <w:tc>
                <w:tcPr>
                  <w:tcW w:w="347" w:type="pct"/>
                  <w:vMerge w:val="continue"/>
                  <w:tcBorders>
                    <w:left w:val="single" w:color="auto" w:sz="2" w:space="0"/>
                    <w:bottom w:val="single" w:color="auto" w:sz="2" w:space="0"/>
                    <w:right w:val="single" w:color="auto" w:sz="2" w:space="0"/>
                  </w:tcBorders>
                  <w:noWrap w:val="0"/>
                  <w:vAlign w:val="center"/>
                </w:tcPr>
                <w:p>
                  <w:pPr>
                    <w:widowControl/>
                    <w:spacing w:line="240" w:lineRule="atLeast"/>
                    <w:jc w:val="center"/>
                    <w:rPr>
                      <w:rFonts w:hint="eastAsia" w:cs="宋体"/>
                      <w:szCs w:val="21"/>
                      <w:lang w:bidi="ar"/>
                    </w:rPr>
                  </w:pPr>
                </w:p>
              </w:tc>
              <w:tc>
                <w:tcPr>
                  <w:tcW w:w="1488"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eastAsia" w:cs="宋体"/>
                      <w:szCs w:val="21"/>
                      <w:lang w:bidi="ar"/>
                    </w:rPr>
                  </w:pPr>
                  <w:r>
                    <w:rPr>
                      <w:rFonts w:hint="eastAsia" w:cs="宋体"/>
                      <w:szCs w:val="21"/>
                      <w:lang w:bidi="ar"/>
                    </w:rPr>
                    <w:t>投资环保设施</w:t>
                  </w:r>
                </w:p>
              </w:tc>
              <w:tc>
                <w:tcPr>
                  <w:tcW w:w="91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eastAsia" w:cs="宋体"/>
                      <w:szCs w:val="21"/>
                      <w:lang w:bidi="ar"/>
                    </w:rPr>
                  </w:pPr>
                  <w:r>
                    <w:rPr>
                      <w:rFonts w:hint="eastAsia" w:cs="宋体"/>
                      <w:szCs w:val="21"/>
                      <w:lang w:bidi="ar"/>
                    </w:rPr>
                    <w:t>投资额（万元）</w:t>
                  </w:r>
                </w:p>
              </w:tc>
              <w:tc>
                <w:tcPr>
                  <w:tcW w:w="1269"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eastAsia" w:cs="宋体"/>
                      <w:szCs w:val="21"/>
                      <w:lang w:bidi="ar"/>
                    </w:rPr>
                  </w:pPr>
                  <w:r>
                    <w:rPr>
                      <w:rFonts w:hint="eastAsia" w:cs="宋体"/>
                      <w:szCs w:val="21"/>
                      <w:lang w:bidi="ar"/>
                    </w:rPr>
                    <w:t>投资环保设施</w:t>
                  </w:r>
                </w:p>
              </w:tc>
              <w:tc>
                <w:tcPr>
                  <w:tcW w:w="70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eastAsia" w:cs="宋体"/>
                      <w:szCs w:val="21"/>
                      <w:lang w:bidi="ar"/>
                    </w:rPr>
                  </w:pPr>
                  <w:r>
                    <w:rPr>
                      <w:rFonts w:hint="eastAsia" w:cs="宋体"/>
                      <w:szCs w:val="21"/>
                      <w:lang w:bidi="ar"/>
                    </w:rPr>
                    <w:t>投资额（万元）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56" w:hRule="atLeast"/>
                <w:jc w:val="center"/>
              </w:trPr>
              <w:tc>
                <w:tcPr>
                  <w:tcW w:w="274"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szCs w:val="21"/>
                      <w:lang w:bidi="ar"/>
                    </w:rPr>
                    <w:t>1</w:t>
                  </w:r>
                </w:p>
              </w:tc>
              <w:tc>
                <w:tcPr>
                  <w:tcW w:w="347"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水污染</w:t>
                  </w:r>
                </w:p>
                <w:p>
                  <w:pPr>
                    <w:widowControl/>
                    <w:spacing w:line="240" w:lineRule="atLeast"/>
                    <w:jc w:val="center"/>
                    <w:rPr>
                      <w:szCs w:val="21"/>
                    </w:rPr>
                  </w:pPr>
                  <w:r>
                    <w:rPr>
                      <w:rFonts w:hint="eastAsia" w:cs="宋体"/>
                      <w:szCs w:val="21"/>
                      <w:lang w:bidi="ar"/>
                    </w:rPr>
                    <w:t>治理</w:t>
                  </w:r>
                </w:p>
              </w:tc>
              <w:tc>
                <w:tcPr>
                  <w:tcW w:w="1488" w:type="pct"/>
                  <w:tcBorders>
                    <w:top w:val="single" w:color="auto" w:sz="2" w:space="0"/>
                    <w:left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生活污水、保洁废水</w:t>
                  </w:r>
                  <w:r>
                    <w:rPr>
                      <w:rFonts w:hint="eastAsia" w:cs="宋体"/>
                      <w:szCs w:val="21"/>
                      <w:lang w:val="en-US" w:eastAsia="zh-CN" w:bidi="ar"/>
                    </w:rPr>
                    <w:t>依托厂区现有</w:t>
                  </w:r>
                  <w:r>
                    <w:rPr>
                      <w:rFonts w:hint="eastAsia" w:cs="宋体"/>
                      <w:szCs w:val="21"/>
                      <w:lang w:bidi="ar"/>
                    </w:rPr>
                    <w:t>化粪池处理后，通过市政污水管网排入西部组团污水处理厂处理后排入派河</w:t>
                  </w:r>
                </w:p>
              </w:tc>
              <w:tc>
                <w:tcPr>
                  <w:tcW w:w="915" w:type="pct"/>
                  <w:tcBorders>
                    <w:top w:val="single" w:color="auto" w:sz="2" w:space="0"/>
                    <w:left w:val="single" w:color="auto" w:sz="2" w:space="0"/>
                    <w:right w:val="single" w:color="auto" w:sz="2" w:space="0"/>
                  </w:tcBorders>
                  <w:noWrap w:val="0"/>
                  <w:vAlign w:val="center"/>
                </w:tcPr>
                <w:p>
                  <w:pPr>
                    <w:widowControl/>
                    <w:spacing w:line="240" w:lineRule="atLeast"/>
                    <w:jc w:val="center"/>
                    <w:rPr>
                      <w:rFonts w:hint="eastAsia" w:eastAsia="宋体"/>
                      <w:szCs w:val="21"/>
                      <w:lang w:eastAsia="zh-CN"/>
                    </w:rPr>
                  </w:pPr>
                  <w:r>
                    <w:rPr>
                      <w:rFonts w:hint="eastAsia"/>
                      <w:szCs w:val="21"/>
                      <w:lang w:val="en-US" w:eastAsia="zh-CN" w:bidi="ar"/>
                    </w:rPr>
                    <w:t>0</w:t>
                  </w:r>
                </w:p>
              </w:tc>
              <w:tc>
                <w:tcPr>
                  <w:tcW w:w="1269" w:type="pct"/>
                  <w:tcBorders>
                    <w:top w:val="single" w:color="auto" w:sz="2" w:space="0"/>
                    <w:left w:val="single" w:color="auto" w:sz="2" w:space="0"/>
                    <w:right w:val="single" w:color="auto" w:sz="2" w:space="0"/>
                  </w:tcBorders>
                  <w:noWrap w:val="0"/>
                  <w:vAlign w:val="center"/>
                </w:tcPr>
                <w:p>
                  <w:pPr>
                    <w:widowControl/>
                    <w:spacing w:line="240" w:lineRule="atLeast"/>
                    <w:jc w:val="center"/>
                    <w:rPr>
                      <w:szCs w:val="21"/>
                      <w:lang w:bidi="ar"/>
                    </w:rPr>
                  </w:pPr>
                  <w:r>
                    <w:rPr>
                      <w:rFonts w:hint="eastAsia" w:cs="宋体"/>
                      <w:szCs w:val="21"/>
                      <w:lang w:bidi="ar"/>
                    </w:rPr>
                    <w:t>生活污水、保洁废水</w:t>
                  </w:r>
                  <w:r>
                    <w:rPr>
                      <w:rFonts w:hint="eastAsia" w:cs="宋体"/>
                      <w:szCs w:val="21"/>
                      <w:lang w:val="en-US" w:eastAsia="zh-CN" w:bidi="ar"/>
                    </w:rPr>
                    <w:t>依托厂区现有</w:t>
                  </w:r>
                  <w:r>
                    <w:rPr>
                      <w:rFonts w:hint="eastAsia" w:cs="宋体"/>
                      <w:szCs w:val="21"/>
                      <w:lang w:bidi="ar"/>
                    </w:rPr>
                    <w:t>化粪池处理后，通过市政污水管网排入西部组团污水处理厂处理后排入派河</w:t>
                  </w:r>
                </w:p>
              </w:tc>
              <w:tc>
                <w:tcPr>
                  <w:tcW w:w="70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bidi="ar"/>
                    </w:rPr>
                  </w:pPr>
                  <w:r>
                    <w:rPr>
                      <w:rFonts w:hint="eastAsia"/>
                      <w:szCs w:val="21"/>
                      <w:lang w:val="en-US" w:eastAsia="zh-CN"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274"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szCs w:val="21"/>
                      <w:lang w:bidi="ar"/>
                    </w:rPr>
                    <w:t>2</w:t>
                  </w:r>
                </w:p>
              </w:tc>
              <w:tc>
                <w:tcPr>
                  <w:tcW w:w="347"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大气治理</w:t>
                  </w:r>
                </w:p>
              </w:tc>
              <w:tc>
                <w:tcPr>
                  <w:tcW w:w="1488" w:type="pct"/>
                  <w:tcBorders>
                    <w:top w:val="single" w:color="auto" w:sz="2" w:space="0"/>
                    <w:left w:val="single" w:color="auto" w:sz="2" w:space="0"/>
                    <w:right w:val="single" w:color="auto" w:sz="2" w:space="0"/>
                  </w:tcBorders>
                  <w:noWrap w:val="0"/>
                  <w:vAlign w:val="center"/>
                </w:tcPr>
                <w:p>
                  <w:pPr>
                    <w:widowControl/>
                    <w:spacing w:line="240" w:lineRule="atLeast"/>
                    <w:jc w:val="center"/>
                    <w:rPr>
                      <w:szCs w:val="21"/>
                    </w:rPr>
                  </w:pPr>
                  <w:r>
                    <w:rPr>
                      <w:rFonts w:hint="eastAsia"/>
                      <w:bCs/>
                      <w:sz w:val="21"/>
                      <w:szCs w:val="21"/>
                      <w:lang w:val="en-US" w:eastAsia="zh-CN"/>
                    </w:rPr>
                    <w:t>打胶、晾干</w:t>
                  </w:r>
                  <w:r>
                    <w:rPr>
                      <w:rFonts w:hint="eastAsia"/>
                      <w:bCs/>
                      <w:sz w:val="21"/>
                      <w:szCs w:val="21"/>
                    </w:rPr>
                    <w:t>工序</w:t>
                  </w:r>
                  <w:r>
                    <w:rPr>
                      <w:rFonts w:hint="eastAsia"/>
                      <w:bCs/>
                      <w:sz w:val="21"/>
                      <w:szCs w:val="21"/>
                      <w:lang w:val="en-US" w:eastAsia="zh-CN"/>
                    </w:rPr>
                    <w:t>产生的非甲烷总烃，经活性炭+UV光解装置处理达标后，15m高排气筒高空排放</w:t>
                  </w:r>
                </w:p>
              </w:tc>
              <w:tc>
                <w:tcPr>
                  <w:tcW w:w="915" w:type="pct"/>
                  <w:tcBorders>
                    <w:top w:val="single" w:color="auto" w:sz="2" w:space="0"/>
                    <w:left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rPr>
                  </w:pPr>
                  <w:r>
                    <w:rPr>
                      <w:rFonts w:hint="eastAsia"/>
                      <w:szCs w:val="21"/>
                      <w:lang w:val="en-US" w:eastAsia="zh-CN" w:bidi="ar"/>
                    </w:rPr>
                    <w:t>5</w:t>
                  </w:r>
                </w:p>
              </w:tc>
              <w:tc>
                <w:tcPr>
                  <w:tcW w:w="1269" w:type="pct"/>
                  <w:tcBorders>
                    <w:top w:val="single" w:color="auto" w:sz="2" w:space="0"/>
                    <w:left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bidi="ar"/>
                    </w:rPr>
                  </w:pPr>
                  <w:r>
                    <w:rPr>
                      <w:rFonts w:hint="eastAsia" w:cs="宋体"/>
                      <w:szCs w:val="21"/>
                      <w:lang w:val="en-US" w:eastAsia="zh-CN" w:bidi="ar"/>
                    </w:rPr>
                    <w:t>未建</w:t>
                  </w:r>
                </w:p>
              </w:tc>
              <w:tc>
                <w:tcPr>
                  <w:tcW w:w="70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bidi="ar"/>
                    </w:rPr>
                  </w:pPr>
                  <w:r>
                    <w:rPr>
                      <w:rFonts w:hint="eastAsia"/>
                      <w:szCs w:val="21"/>
                      <w:lang w:val="en-US" w:eastAsia="zh-CN" w:bidi="ar"/>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szCs w:val="21"/>
                      <w:lang w:bidi="ar"/>
                    </w:rPr>
                    <w:t>3</w:t>
                  </w:r>
                </w:p>
              </w:tc>
              <w:tc>
                <w:tcPr>
                  <w:tcW w:w="347"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固废治理</w:t>
                  </w:r>
                </w:p>
              </w:tc>
              <w:tc>
                <w:tcPr>
                  <w:tcW w:w="1488"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rStyle w:val="21"/>
                      <w:rFonts w:ascii="Times New Roman" w:hAnsi="Times New Roman" w:cs="Times New Roman"/>
                      <w:kern w:val="2"/>
                      <w:sz w:val="21"/>
                      <w:szCs w:val="21"/>
                    </w:rPr>
                    <w:t>生活垃圾交由环卫部门统一处理；</w:t>
                  </w:r>
                  <w:r>
                    <w:rPr>
                      <w:rStyle w:val="21"/>
                      <w:rFonts w:hint="eastAsia" w:ascii="Times New Roman" w:hAnsi="Times New Roman" w:cs="Times New Roman"/>
                      <w:kern w:val="2"/>
                      <w:sz w:val="21"/>
                      <w:szCs w:val="21"/>
                      <w:lang w:val="en-US" w:eastAsia="zh-CN"/>
                    </w:rPr>
                    <w:t>车间生产加工过程产生的废料，由专业物资部门回收处理；</w:t>
                  </w:r>
                  <w:r>
                    <w:rPr>
                      <w:rStyle w:val="21"/>
                      <w:rFonts w:ascii="Times New Roman" w:hAnsi="Times New Roman" w:cs="Times New Roman"/>
                      <w:kern w:val="2"/>
                      <w:sz w:val="21"/>
                      <w:szCs w:val="21"/>
                    </w:rPr>
                    <w:t>危险废物收集后交由资质单位处置，设置危险废物临时贮存房</w:t>
                  </w:r>
                  <w:r>
                    <w:rPr>
                      <w:rStyle w:val="21"/>
                      <w:rFonts w:hint="eastAsia" w:ascii="Times New Roman" w:hAnsi="Times New Roman" w:cs="Times New Roman"/>
                      <w:kern w:val="2"/>
                      <w:sz w:val="21"/>
                      <w:szCs w:val="21"/>
                      <w:lang w:val="en-US" w:eastAsia="zh-CN"/>
                    </w:rPr>
                    <w:t>8</w:t>
                  </w:r>
                  <w:r>
                    <w:rPr>
                      <w:rStyle w:val="21"/>
                      <w:rFonts w:ascii="Times New Roman" w:hAnsi="Times New Roman" w:cs="Times New Roman"/>
                      <w:kern w:val="2"/>
                      <w:sz w:val="21"/>
                      <w:szCs w:val="21"/>
                    </w:rPr>
                    <w:t xml:space="preserve"> m</w:t>
                  </w:r>
                  <w:r>
                    <w:rPr>
                      <w:rStyle w:val="21"/>
                      <w:rFonts w:ascii="Times New Roman" w:hAnsi="Times New Roman" w:cs="Times New Roman"/>
                      <w:kern w:val="2"/>
                      <w:sz w:val="21"/>
                      <w:szCs w:val="21"/>
                      <w:vertAlign w:val="superscript"/>
                    </w:rPr>
                    <w:t>2</w:t>
                  </w:r>
                </w:p>
              </w:tc>
              <w:tc>
                <w:tcPr>
                  <w:tcW w:w="91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rPr>
                  </w:pPr>
                  <w:r>
                    <w:rPr>
                      <w:rFonts w:hint="eastAsia"/>
                      <w:szCs w:val="21"/>
                      <w:lang w:val="en-US" w:eastAsia="zh-CN" w:bidi="ar"/>
                    </w:rPr>
                    <w:t>1.5</w:t>
                  </w:r>
                </w:p>
              </w:tc>
              <w:tc>
                <w:tcPr>
                  <w:tcW w:w="1269"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lang w:bidi="ar"/>
                    </w:rPr>
                  </w:pPr>
                  <w:r>
                    <w:rPr>
                      <w:rFonts w:hint="eastAsia" w:cs="宋体"/>
                      <w:szCs w:val="21"/>
                      <w:lang w:bidi="ar"/>
                    </w:rPr>
                    <w:t>生活垃圾由环卫部门统一收集后处理； 边角料定期外售废品收购站</w:t>
                  </w:r>
                </w:p>
              </w:tc>
              <w:tc>
                <w:tcPr>
                  <w:tcW w:w="70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lang w:bidi="ar"/>
                    </w:rPr>
                  </w:pPr>
                  <w:r>
                    <w:rPr>
                      <w:rFonts w:hint="eastAsia"/>
                      <w:szCs w:val="21"/>
                      <w:lang w:val="en-US" w:eastAsia="zh-CN" w:bidi="ar"/>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74"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szCs w:val="21"/>
                      <w:lang w:bidi="ar"/>
                    </w:rPr>
                    <w:t>4</w:t>
                  </w:r>
                </w:p>
              </w:tc>
              <w:tc>
                <w:tcPr>
                  <w:tcW w:w="347"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噪声治理</w:t>
                  </w:r>
                </w:p>
              </w:tc>
              <w:tc>
                <w:tcPr>
                  <w:tcW w:w="1488"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rPr>
                  </w:pPr>
                  <w:r>
                    <w:rPr>
                      <w:rFonts w:hint="eastAsia" w:cs="宋体"/>
                      <w:szCs w:val="21"/>
                      <w:lang w:bidi="ar"/>
                    </w:rPr>
                    <w:t>选用低噪声设备，封闭，基础减震、密闭</w:t>
                  </w:r>
                </w:p>
              </w:tc>
              <w:tc>
                <w:tcPr>
                  <w:tcW w:w="91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rPr>
                  </w:pPr>
                  <w:r>
                    <w:rPr>
                      <w:rFonts w:hint="eastAsia"/>
                      <w:szCs w:val="21"/>
                      <w:lang w:val="en-US" w:eastAsia="zh-CN" w:bidi="ar"/>
                    </w:rPr>
                    <w:t>0.5</w:t>
                  </w:r>
                </w:p>
              </w:tc>
              <w:tc>
                <w:tcPr>
                  <w:tcW w:w="1269"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szCs w:val="21"/>
                      <w:lang w:bidi="ar"/>
                    </w:rPr>
                  </w:pPr>
                  <w:r>
                    <w:rPr>
                      <w:rFonts w:hint="eastAsia" w:cs="宋体"/>
                      <w:szCs w:val="21"/>
                      <w:lang w:bidi="ar"/>
                    </w:rPr>
                    <w:t>选用低噪声设备，封闭，基础减震、密闭</w:t>
                  </w:r>
                </w:p>
              </w:tc>
              <w:tc>
                <w:tcPr>
                  <w:tcW w:w="70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bidi="ar"/>
                    </w:rPr>
                  </w:pPr>
                  <w:r>
                    <w:rPr>
                      <w:rFonts w:hint="eastAsia"/>
                      <w:szCs w:val="21"/>
                      <w:lang w:val="en-US" w:eastAsia="zh-CN" w:bidi="ar"/>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10" w:type="pct"/>
                  <w:gridSpan w:val="3"/>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cs="宋体"/>
                      <w:kern w:val="0"/>
                      <w:szCs w:val="21"/>
                      <w:lang w:bidi="ar"/>
                    </w:rPr>
                  </w:pPr>
                  <w:r>
                    <w:rPr>
                      <w:rFonts w:hint="eastAsia" w:cs="宋体"/>
                      <w:kern w:val="0"/>
                      <w:szCs w:val="21"/>
                      <w:lang w:bidi="ar"/>
                    </w:rPr>
                    <w:t>合计</w:t>
                  </w:r>
                </w:p>
              </w:tc>
              <w:tc>
                <w:tcPr>
                  <w:tcW w:w="91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bidi="ar"/>
                    </w:rPr>
                  </w:pPr>
                  <w:r>
                    <w:rPr>
                      <w:rFonts w:hint="eastAsia"/>
                      <w:szCs w:val="21"/>
                      <w:lang w:val="en-US" w:eastAsia="zh-CN" w:bidi="ar"/>
                    </w:rPr>
                    <w:t>7</w:t>
                  </w:r>
                </w:p>
              </w:tc>
              <w:tc>
                <w:tcPr>
                  <w:tcW w:w="1269"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cs="宋体"/>
                      <w:kern w:val="0"/>
                      <w:szCs w:val="21"/>
                      <w:lang w:bidi="ar"/>
                    </w:rPr>
                  </w:pPr>
                  <w:r>
                    <w:rPr>
                      <w:rFonts w:hint="eastAsia" w:cs="宋体"/>
                      <w:kern w:val="0"/>
                      <w:szCs w:val="21"/>
                      <w:lang w:bidi="ar"/>
                    </w:rPr>
                    <w:t>/</w:t>
                  </w:r>
                </w:p>
              </w:tc>
              <w:tc>
                <w:tcPr>
                  <w:tcW w:w="705" w:type="pct"/>
                  <w:tcBorders>
                    <w:top w:val="single" w:color="auto" w:sz="2" w:space="0"/>
                    <w:left w:val="single" w:color="auto" w:sz="2" w:space="0"/>
                    <w:bottom w:val="single" w:color="auto" w:sz="2" w:space="0"/>
                    <w:right w:val="single" w:color="auto" w:sz="2" w:space="0"/>
                  </w:tcBorders>
                  <w:noWrap w:val="0"/>
                  <w:vAlign w:val="center"/>
                </w:tcPr>
                <w:p>
                  <w:pPr>
                    <w:widowControl/>
                    <w:spacing w:line="240" w:lineRule="atLeast"/>
                    <w:jc w:val="center"/>
                    <w:rPr>
                      <w:rFonts w:hint="default" w:eastAsia="宋体"/>
                      <w:szCs w:val="21"/>
                      <w:lang w:val="en-US" w:eastAsia="zh-CN" w:bidi="ar"/>
                    </w:rPr>
                  </w:pPr>
                  <w:r>
                    <w:rPr>
                      <w:rFonts w:hint="eastAsia"/>
                      <w:szCs w:val="21"/>
                      <w:lang w:val="en-US" w:eastAsia="zh-CN" w:bidi="ar"/>
                    </w:rPr>
                    <w:t>7</w:t>
                  </w:r>
                </w:p>
              </w:tc>
            </w:tr>
          </w:tbl>
          <w:p>
            <w:pPr>
              <w:spacing w:line="360" w:lineRule="auto"/>
              <w:jc w:val="center"/>
              <w:rPr>
                <w:b/>
                <w:bCs/>
                <w:szCs w:val="21"/>
              </w:rPr>
            </w:pPr>
          </w:p>
          <w:p>
            <w:pPr>
              <w:tabs>
                <w:tab w:val="left" w:pos="1834"/>
              </w:tabs>
              <w:spacing w:line="360" w:lineRule="auto"/>
              <w:rPr>
                <w:rFonts w:hint="eastAsia"/>
                <w:b/>
                <w:bCs/>
                <w:color w:val="auto"/>
                <w:sz w:val="28"/>
                <w:szCs w:val="28"/>
                <w:lang w:val="en-US" w:eastAsia="zh-CN"/>
              </w:rPr>
            </w:pPr>
            <w:r>
              <w:rPr>
                <w:rFonts w:hint="eastAsia"/>
                <w:b/>
                <w:bCs/>
                <w:color w:val="auto"/>
                <w:sz w:val="28"/>
                <w:szCs w:val="28"/>
                <w:lang w:val="en-US" w:eastAsia="zh-CN"/>
              </w:rPr>
              <w:t>3.6、其他防范措施</w:t>
            </w:r>
          </w:p>
          <w:p>
            <w:pPr>
              <w:tabs>
                <w:tab w:val="left" w:pos="1834"/>
              </w:tabs>
              <w:spacing w:line="360" w:lineRule="auto"/>
              <w:rPr>
                <w:rFonts w:hint="eastAsia"/>
                <w:b/>
                <w:bCs/>
                <w:color w:val="auto"/>
                <w:sz w:val="24"/>
                <w:szCs w:val="24"/>
                <w:lang w:val="en-US" w:eastAsia="zh-CN"/>
              </w:rPr>
            </w:pPr>
            <w:r>
              <w:rPr>
                <w:rFonts w:hint="eastAsia"/>
                <w:b/>
                <w:bCs/>
                <w:color w:val="auto"/>
                <w:sz w:val="24"/>
                <w:szCs w:val="24"/>
                <w:lang w:val="en-US" w:eastAsia="zh-CN"/>
              </w:rPr>
              <w:t>3.6.1、环境防护距离</w:t>
            </w:r>
          </w:p>
          <w:p>
            <w:pPr>
              <w:tabs>
                <w:tab w:val="left" w:pos="1834"/>
              </w:tabs>
              <w:spacing w:line="360" w:lineRule="auto"/>
              <w:ind w:firstLine="480" w:firstLineChars="200"/>
              <w:rPr>
                <w:rFonts w:hint="eastAsia"/>
                <w:color w:val="auto"/>
                <w:sz w:val="24"/>
                <w:lang w:val="en-US" w:eastAsia="zh-CN"/>
              </w:rPr>
            </w:pPr>
            <w:r>
              <w:rPr>
                <w:rFonts w:hint="eastAsia"/>
                <w:color w:val="auto"/>
                <w:sz w:val="24"/>
                <w:szCs w:val="24"/>
                <w:lang w:val="en-US" w:eastAsia="zh-CN"/>
              </w:rPr>
              <w:t>根据环评及批复内容：</w:t>
            </w:r>
            <w:r>
              <w:rPr>
                <w:sz w:val="24"/>
              </w:rPr>
              <w:t>以生产车间边界为起点划定了50m的</w:t>
            </w:r>
            <w:r>
              <w:rPr>
                <w:rFonts w:hint="eastAsia"/>
                <w:sz w:val="24"/>
                <w:lang w:val="en-US" w:eastAsia="zh-CN"/>
              </w:rPr>
              <w:t>环境</w:t>
            </w:r>
            <w:r>
              <w:rPr>
                <w:sz w:val="24"/>
              </w:rPr>
              <w:t>防护距离</w:t>
            </w:r>
            <w:r>
              <w:rPr>
                <w:rFonts w:hint="eastAsia"/>
                <w:color w:val="auto"/>
                <w:sz w:val="24"/>
                <w:lang w:val="en-US" w:eastAsia="zh-CN"/>
              </w:rPr>
              <w:t>。</w:t>
            </w:r>
          </w:p>
          <w:p>
            <w:pPr>
              <w:tabs>
                <w:tab w:val="left" w:pos="1834"/>
              </w:tabs>
              <w:spacing w:line="360" w:lineRule="auto"/>
              <w:ind w:firstLine="480" w:firstLineChars="200"/>
              <w:rPr>
                <w:rFonts w:hint="eastAsia"/>
                <w:color w:val="auto"/>
                <w:sz w:val="24"/>
                <w:lang w:val="en-US" w:eastAsia="zh-CN"/>
              </w:rPr>
            </w:pPr>
            <w:r>
              <w:rPr>
                <w:rFonts w:hint="eastAsia"/>
                <w:color w:val="auto"/>
                <w:sz w:val="24"/>
                <w:lang w:val="en-US" w:eastAsia="zh-CN"/>
              </w:rPr>
              <w:t>根据现场勘查，本项目环境防护距离内无敏感点。</w:t>
            </w:r>
          </w:p>
          <w:p>
            <w:pPr>
              <w:spacing w:line="360" w:lineRule="auto"/>
              <w:rPr>
                <w:b/>
                <w:sz w:val="28"/>
                <w:szCs w:val="28"/>
              </w:rPr>
            </w:pPr>
            <w:r>
              <w:rPr>
                <w:b/>
                <w:bCs/>
                <w:sz w:val="28"/>
                <w:szCs w:val="28"/>
              </w:rPr>
              <w:t>3.</w:t>
            </w:r>
            <w:r>
              <w:rPr>
                <w:rFonts w:hint="eastAsia"/>
                <w:b/>
                <w:bCs/>
                <w:sz w:val="28"/>
                <w:szCs w:val="28"/>
                <w:lang w:val="en-US" w:eastAsia="zh-CN"/>
              </w:rPr>
              <w:t>7</w:t>
            </w:r>
            <w:r>
              <w:rPr>
                <w:b/>
                <w:bCs/>
                <w:sz w:val="28"/>
                <w:szCs w:val="28"/>
              </w:rPr>
              <w:t>、</w:t>
            </w:r>
            <w:r>
              <w:rPr>
                <w:b/>
                <w:sz w:val="28"/>
                <w:szCs w:val="28"/>
              </w:rPr>
              <w:t>环保“三同时”制度落实情况</w:t>
            </w:r>
          </w:p>
          <w:p>
            <w:pPr>
              <w:spacing w:line="360" w:lineRule="auto"/>
              <w:ind w:firstLine="480" w:firstLineChars="200"/>
              <w:rPr>
                <w:b/>
                <w:bCs/>
                <w:color w:val="auto"/>
                <w:sz w:val="24"/>
              </w:rPr>
            </w:pP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rFonts w:hint="eastAsia"/>
                <w:kern w:val="0"/>
                <w:sz w:val="24"/>
                <w:lang w:val="en-US" w:eastAsia="zh-CN"/>
              </w:rPr>
              <w:t>根据国家建设项目环境保护管理规定，认真执行各项环保审批手续，同时建设单位执行了环保“三同时”制度，项目主体工程、环保治理设施做到同时设计、同时施工、同时投产</w:t>
            </w:r>
            <w:r>
              <w:rPr>
                <w:color w:val="auto"/>
                <w:sz w:val="24"/>
              </w:rPr>
              <w:t>。</w:t>
            </w:r>
            <w:r>
              <w:rPr>
                <w:bCs/>
                <w:color w:val="auto"/>
                <w:sz w:val="24"/>
              </w:rPr>
              <w:t>详细“三同时”落实情况见表3-4。</w:t>
            </w:r>
          </w:p>
          <w:p>
            <w:pPr>
              <w:spacing w:line="360" w:lineRule="auto"/>
              <w:jc w:val="center"/>
              <w:rPr>
                <w:b/>
                <w:bCs/>
                <w:color w:val="000000"/>
                <w:sz w:val="24"/>
              </w:rPr>
            </w:pPr>
            <w:r>
              <w:rPr>
                <w:b/>
                <w:bCs/>
                <w:color w:val="000000"/>
                <w:szCs w:val="21"/>
              </w:rPr>
              <w:t>表3-4  建设项目环境保护“三同时”验收一览表</w:t>
            </w:r>
          </w:p>
          <w:tbl>
            <w:tblPr>
              <w:tblStyle w:val="16"/>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2413"/>
              <w:gridCol w:w="1950"/>
              <w:gridCol w:w="3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9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szCs w:val="21"/>
                    </w:rPr>
                    <w:t>污染源</w:t>
                  </w:r>
                </w:p>
              </w:tc>
              <w:tc>
                <w:tcPr>
                  <w:tcW w:w="24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szCs w:val="21"/>
                    </w:rPr>
                    <w:t>治理措施</w:t>
                  </w:r>
                </w:p>
              </w:tc>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szCs w:val="21"/>
                    </w:rPr>
                    <w:t>预期效果</w:t>
                  </w:r>
                </w:p>
              </w:tc>
              <w:tc>
                <w:tcPr>
                  <w:tcW w:w="373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szCs w:val="21"/>
                    </w:rPr>
                  </w:pPr>
                  <w:r>
                    <w:rPr>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99" w:type="dxa"/>
                  <w:vAlign w:val="center"/>
                </w:tcPr>
                <w:p>
                  <w:pPr>
                    <w:jc w:val="center"/>
                    <w:rPr>
                      <w:szCs w:val="21"/>
                    </w:rPr>
                  </w:pPr>
                  <w:r>
                    <w:rPr>
                      <w:szCs w:val="21"/>
                    </w:rPr>
                    <w:t>职工生活污水</w:t>
                  </w:r>
                </w:p>
              </w:tc>
              <w:tc>
                <w:tcPr>
                  <w:tcW w:w="2413" w:type="dxa"/>
                  <w:vAlign w:val="center"/>
                </w:tcPr>
                <w:p>
                  <w:pPr>
                    <w:jc w:val="center"/>
                    <w:rPr>
                      <w:rFonts w:hint="default" w:eastAsia="宋体"/>
                      <w:szCs w:val="21"/>
                      <w:lang w:val="en-US" w:eastAsia="zh-CN"/>
                    </w:rPr>
                  </w:pPr>
                  <w:r>
                    <w:rPr>
                      <w:rFonts w:hint="eastAsia" w:cs="宋体"/>
                      <w:szCs w:val="21"/>
                      <w:lang w:bidi="ar"/>
                    </w:rPr>
                    <w:t>生活污水、保洁废水</w:t>
                  </w:r>
                  <w:r>
                    <w:rPr>
                      <w:rFonts w:hint="eastAsia" w:cs="宋体"/>
                      <w:szCs w:val="21"/>
                      <w:lang w:val="en-US" w:eastAsia="zh-CN" w:bidi="ar"/>
                    </w:rPr>
                    <w:t>依托厂区现有</w:t>
                  </w:r>
                  <w:r>
                    <w:rPr>
                      <w:rFonts w:hint="eastAsia" w:cs="宋体"/>
                      <w:szCs w:val="21"/>
                      <w:lang w:bidi="ar"/>
                    </w:rPr>
                    <w:t>化粪池处理后，通过市政污水管网排入西部组团污水处理厂处理后排入派河</w:t>
                  </w:r>
                </w:p>
              </w:tc>
              <w:tc>
                <w:tcPr>
                  <w:tcW w:w="1950" w:type="dxa"/>
                  <w:vAlign w:val="center"/>
                </w:tcPr>
                <w:p>
                  <w:pPr>
                    <w:jc w:val="center"/>
                    <w:rPr>
                      <w:szCs w:val="21"/>
                    </w:rPr>
                  </w:pPr>
                  <w:r>
                    <w:rPr>
                      <w:rFonts w:hint="eastAsia"/>
                      <w:szCs w:val="21"/>
                      <w:lang w:bidi="ar"/>
                    </w:rPr>
                    <w:t>污水排放满足《污水综合排放标准》（</w:t>
                  </w:r>
                  <w:r>
                    <w:rPr>
                      <w:szCs w:val="21"/>
                      <w:lang w:bidi="ar"/>
                    </w:rPr>
                    <w:t>GB8978-1996</w:t>
                  </w:r>
                  <w:r>
                    <w:rPr>
                      <w:rFonts w:hint="eastAsia"/>
                      <w:szCs w:val="21"/>
                      <w:lang w:bidi="ar"/>
                    </w:rPr>
                    <w:t>）表</w:t>
                  </w:r>
                  <w:r>
                    <w:rPr>
                      <w:szCs w:val="21"/>
                      <w:lang w:bidi="ar"/>
                    </w:rPr>
                    <w:t>4</w:t>
                  </w:r>
                  <w:r>
                    <w:rPr>
                      <w:rFonts w:hint="eastAsia"/>
                      <w:szCs w:val="21"/>
                      <w:lang w:bidi="ar"/>
                    </w:rPr>
                    <w:t>中的三级标准和污水处理厂接管要求</w:t>
                  </w:r>
                </w:p>
              </w:tc>
              <w:tc>
                <w:tcPr>
                  <w:tcW w:w="3738" w:type="dxa"/>
                  <w:vAlign w:val="center"/>
                </w:tcPr>
                <w:p>
                  <w:pPr>
                    <w:jc w:val="center"/>
                    <w:rPr>
                      <w:szCs w:val="21"/>
                    </w:rPr>
                  </w:pPr>
                  <w:r>
                    <w:rPr>
                      <w:rFonts w:hint="eastAsia"/>
                      <w:szCs w:val="21"/>
                    </w:rPr>
                    <w:t>经</w:t>
                  </w:r>
                  <w:r>
                    <w:rPr>
                      <w:szCs w:val="21"/>
                    </w:rPr>
                    <w:t>自查</w:t>
                  </w:r>
                  <w:r>
                    <w:rPr>
                      <w:rFonts w:hint="eastAsia"/>
                      <w:szCs w:val="21"/>
                    </w:rPr>
                    <w:t>：</w:t>
                  </w:r>
                  <w:r>
                    <w:rPr>
                      <w:rFonts w:hint="eastAsia" w:cs="宋体"/>
                      <w:szCs w:val="21"/>
                      <w:lang w:bidi="ar"/>
                    </w:rPr>
                    <w:t>生活污水、保洁废水经化粪池处理后，满足西部组团污水处理厂接管标准，未规定的执行《污水综合排放标准》（GB8978-1996）中的三级标准，通过市政污水管网排入西部组团污水处理厂处理后排入派河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99" w:type="dxa"/>
                  <w:vAlign w:val="center"/>
                </w:tcPr>
                <w:p>
                  <w:pPr>
                    <w:jc w:val="center"/>
                    <w:rPr>
                      <w:szCs w:val="21"/>
                    </w:rPr>
                  </w:pPr>
                  <w:r>
                    <w:rPr>
                      <w:szCs w:val="21"/>
                    </w:rPr>
                    <w:t>废气</w:t>
                  </w:r>
                </w:p>
              </w:tc>
              <w:tc>
                <w:tcPr>
                  <w:tcW w:w="2413" w:type="dxa"/>
                  <w:vAlign w:val="center"/>
                </w:tcPr>
                <w:p>
                  <w:pPr>
                    <w:jc w:val="center"/>
                    <w:rPr>
                      <w:szCs w:val="21"/>
                    </w:rPr>
                  </w:pPr>
                  <w:r>
                    <w:rPr>
                      <w:rFonts w:hint="eastAsia"/>
                      <w:bCs/>
                      <w:sz w:val="21"/>
                      <w:szCs w:val="21"/>
                      <w:lang w:val="en-US" w:eastAsia="zh-CN"/>
                    </w:rPr>
                    <w:t>打胶、晾干</w:t>
                  </w:r>
                  <w:r>
                    <w:rPr>
                      <w:rFonts w:hint="eastAsia"/>
                      <w:bCs/>
                      <w:sz w:val="21"/>
                      <w:szCs w:val="21"/>
                    </w:rPr>
                    <w:t>工序</w:t>
                  </w:r>
                  <w:r>
                    <w:rPr>
                      <w:rFonts w:hint="eastAsia"/>
                      <w:bCs/>
                      <w:sz w:val="21"/>
                      <w:szCs w:val="21"/>
                      <w:lang w:val="en-US" w:eastAsia="zh-CN"/>
                    </w:rPr>
                    <w:t>产生的非甲烷总烃，经活性炭+UV光解装置处理达标后，15m高排气筒高空排放</w:t>
                  </w:r>
                </w:p>
              </w:tc>
              <w:tc>
                <w:tcPr>
                  <w:tcW w:w="1950" w:type="dxa"/>
                  <w:vAlign w:val="center"/>
                </w:tcPr>
                <w:p>
                  <w:pPr>
                    <w:jc w:val="center"/>
                    <w:rPr>
                      <w:szCs w:val="21"/>
                    </w:rPr>
                  </w:pPr>
                  <w:r>
                    <w:rPr>
                      <w:rFonts w:hint="eastAsia"/>
                      <w:szCs w:val="21"/>
                      <w:lang w:bidi="ar"/>
                    </w:rPr>
                    <w:t>满足《大气污染物综合排放标准》（</w:t>
                  </w:r>
                  <w:r>
                    <w:rPr>
                      <w:szCs w:val="21"/>
                      <w:lang w:bidi="ar"/>
                    </w:rPr>
                    <w:t>GB16297-1996</w:t>
                  </w:r>
                  <w:r>
                    <w:rPr>
                      <w:rFonts w:hint="eastAsia"/>
                      <w:szCs w:val="21"/>
                      <w:lang w:bidi="ar"/>
                    </w:rPr>
                    <w:t>）表</w:t>
                  </w:r>
                  <w:r>
                    <w:rPr>
                      <w:szCs w:val="21"/>
                      <w:lang w:bidi="ar"/>
                    </w:rPr>
                    <w:t>2</w:t>
                  </w:r>
                  <w:r>
                    <w:rPr>
                      <w:rFonts w:hint="eastAsia"/>
                      <w:szCs w:val="21"/>
                      <w:lang w:bidi="ar"/>
                    </w:rPr>
                    <w:t>中污染源大气污染物浓度限值及其无组织排放监控浓度限值要求</w:t>
                  </w:r>
                </w:p>
              </w:tc>
              <w:tc>
                <w:tcPr>
                  <w:tcW w:w="3738" w:type="dxa"/>
                  <w:vAlign w:val="center"/>
                </w:tcPr>
                <w:p>
                  <w:pPr>
                    <w:jc w:val="center"/>
                    <w:rPr>
                      <w:rFonts w:hint="eastAsia" w:eastAsia="宋体"/>
                      <w:szCs w:val="21"/>
                      <w:lang w:val="en-US" w:eastAsia="zh-CN"/>
                    </w:rPr>
                  </w:pPr>
                  <w:r>
                    <w:rPr>
                      <w:rFonts w:hint="eastAsia"/>
                      <w:szCs w:val="21"/>
                    </w:rPr>
                    <w:t>经自查：本项目打胶、晾干工序外协，无非甲烷总烃产生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99" w:type="dxa"/>
                  <w:vAlign w:val="center"/>
                </w:tcPr>
                <w:p>
                  <w:pPr>
                    <w:jc w:val="center"/>
                    <w:rPr>
                      <w:szCs w:val="21"/>
                    </w:rPr>
                  </w:pPr>
                  <w:r>
                    <w:rPr>
                      <w:szCs w:val="21"/>
                    </w:rPr>
                    <w:t>固废</w:t>
                  </w:r>
                </w:p>
              </w:tc>
              <w:tc>
                <w:tcPr>
                  <w:tcW w:w="2413" w:type="dxa"/>
                  <w:vAlign w:val="center"/>
                </w:tcPr>
                <w:p>
                  <w:pPr>
                    <w:jc w:val="center"/>
                    <w:rPr>
                      <w:szCs w:val="21"/>
                    </w:rPr>
                  </w:pPr>
                  <w:r>
                    <w:rPr>
                      <w:rStyle w:val="21"/>
                      <w:rFonts w:ascii="Times New Roman" w:hAnsi="Times New Roman" w:cs="Times New Roman"/>
                      <w:kern w:val="2"/>
                      <w:sz w:val="21"/>
                      <w:szCs w:val="21"/>
                    </w:rPr>
                    <w:t>生活垃圾交由环卫部门统一处理；</w:t>
                  </w:r>
                  <w:r>
                    <w:rPr>
                      <w:rStyle w:val="21"/>
                      <w:rFonts w:hint="eastAsia" w:ascii="Times New Roman" w:hAnsi="Times New Roman" w:cs="Times New Roman"/>
                      <w:kern w:val="2"/>
                      <w:sz w:val="21"/>
                      <w:szCs w:val="21"/>
                      <w:lang w:val="en-US" w:eastAsia="zh-CN"/>
                    </w:rPr>
                    <w:t>车间生产加工过程产生的废料，由专业物资部门回收处理；</w:t>
                  </w:r>
                  <w:r>
                    <w:rPr>
                      <w:rStyle w:val="21"/>
                      <w:rFonts w:ascii="Times New Roman" w:hAnsi="Times New Roman" w:cs="Times New Roman"/>
                      <w:kern w:val="2"/>
                      <w:sz w:val="21"/>
                      <w:szCs w:val="21"/>
                    </w:rPr>
                    <w:t>危险废物收集后交由资质单位处置，设置危险废物临时贮存房</w:t>
                  </w:r>
                  <w:r>
                    <w:rPr>
                      <w:rStyle w:val="21"/>
                      <w:rFonts w:hint="eastAsia" w:ascii="Times New Roman" w:hAnsi="Times New Roman" w:cs="Times New Roman"/>
                      <w:kern w:val="2"/>
                      <w:sz w:val="21"/>
                      <w:szCs w:val="21"/>
                      <w:lang w:val="en-US" w:eastAsia="zh-CN"/>
                    </w:rPr>
                    <w:t>8</w:t>
                  </w:r>
                  <w:r>
                    <w:rPr>
                      <w:rStyle w:val="21"/>
                      <w:rFonts w:ascii="Times New Roman" w:hAnsi="Times New Roman" w:cs="Times New Roman"/>
                      <w:kern w:val="2"/>
                      <w:sz w:val="21"/>
                      <w:szCs w:val="21"/>
                    </w:rPr>
                    <w:t xml:space="preserve"> m</w:t>
                  </w:r>
                  <w:r>
                    <w:rPr>
                      <w:rStyle w:val="21"/>
                      <w:rFonts w:ascii="Times New Roman" w:hAnsi="Times New Roman" w:cs="Times New Roman"/>
                      <w:kern w:val="2"/>
                      <w:sz w:val="21"/>
                      <w:szCs w:val="21"/>
                      <w:vertAlign w:val="superscript"/>
                    </w:rPr>
                    <w:t>2</w:t>
                  </w:r>
                </w:p>
              </w:tc>
              <w:tc>
                <w:tcPr>
                  <w:tcW w:w="1950" w:type="dxa"/>
                  <w:vAlign w:val="center"/>
                </w:tcPr>
                <w:p>
                  <w:pPr>
                    <w:jc w:val="center"/>
                    <w:rPr>
                      <w:szCs w:val="21"/>
                    </w:rPr>
                  </w:pPr>
                  <w:r>
                    <w:rPr>
                      <w:szCs w:val="21"/>
                    </w:rPr>
                    <w:t>均得到资源化、</w:t>
                  </w:r>
                </w:p>
                <w:p>
                  <w:pPr>
                    <w:jc w:val="center"/>
                    <w:rPr>
                      <w:szCs w:val="21"/>
                    </w:rPr>
                  </w:pPr>
                  <w:r>
                    <w:rPr>
                      <w:szCs w:val="21"/>
                    </w:rPr>
                    <w:t>无害化处理</w:t>
                  </w:r>
                </w:p>
              </w:tc>
              <w:tc>
                <w:tcPr>
                  <w:tcW w:w="3738" w:type="dxa"/>
                  <w:vAlign w:val="center"/>
                </w:tcPr>
                <w:p>
                  <w:pPr>
                    <w:jc w:val="left"/>
                    <w:rPr>
                      <w:szCs w:val="21"/>
                    </w:rPr>
                  </w:pPr>
                  <w:r>
                    <w:rPr>
                      <w:szCs w:val="21"/>
                    </w:rPr>
                    <w:t>经自查</w:t>
                  </w:r>
                  <w:r>
                    <w:rPr>
                      <w:rFonts w:hint="eastAsia"/>
                      <w:szCs w:val="21"/>
                      <w:lang w:eastAsia="zh-CN"/>
                    </w:rPr>
                    <w:t>：</w:t>
                  </w:r>
                  <w:r>
                    <w:rPr>
                      <w:rFonts w:hint="eastAsia" w:cs="宋体"/>
                      <w:szCs w:val="21"/>
                      <w:lang w:bidi="ar"/>
                    </w:rPr>
                    <w:t>生活垃圾由环卫部门统一收集后处理； 边角料定期外售废品收购站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99" w:type="dxa"/>
                  <w:vAlign w:val="center"/>
                </w:tcPr>
                <w:p>
                  <w:pPr>
                    <w:jc w:val="center"/>
                    <w:rPr>
                      <w:szCs w:val="21"/>
                    </w:rPr>
                  </w:pPr>
                  <w:r>
                    <w:rPr>
                      <w:szCs w:val="21"/>
                    </w:rPr>
                    <w:t>噪声</w:t>
                  </w:r>
                </w:p>
              </w:tc>
              <w:tc>
                <w:tcPr>
                  <w:tcW w:w="2413" w:type="dxa"/>
                  <w:vAlign w:val="center"/>
                </w:tcPr>
                <w:p>
                  <w:pPr>
                    <w:jc w:val="center"/>
                    <w:rPr>
                      <w:szCs w:val="21"/>
                    </w:rPr>
                  </w:pPr>
                  <w:r>
                    <w:rPr>
                      <w:szCs w:val="21"/>
                    </w:rPr>
                    <w:t>隔声、减震等</w:t>
                  </w:r>
                </w:p>
              </w:tc>
              <w:tc>
                <w:tcPr>
                  <w:tcW w:w="1950" w:type="dxa"/>
                  <w:vAlign w:val="center"/>
                </w:tcPr>
                <w:p>
                  <w:pPr>
                    <w:jc w:val="center"/>
                    <w:rPr>
                      <w:szCs w:val="21"/>
                    </w:rPr>
                  </w:pPr>
                  <w:r>
                    <w:rPr>
                      <w:szCs w:val="21"/>
                    </w:rPr>
                    <w:t>厂界噪声排放达到GB12348-2008中的</w:t>
                  </w:r>
                  <w:r>
                    <w:rPr>
                      <w:rFonts w:hint="eastAsia"/>
                      <w:szCs w:val="21"/>
                      <w:lang w:val="en-US" w:eastAsia="zh-CN"/>
                    </w:rPr>
                    <w:t>2</w:t>
                  </w:r>
                  <w:r>
                    <w:rPr>
                      <w:szCs w:val="21"/>
                    </w:rPr>
                    <w:t>类标准</w:t>
                  </w:r>
                </w:p>
              </w:tc>
              <w:tc>
                <w:tcPr>
                  <w:tcW w:w="3738" w:type="dxa"/>
                  <w:vAlign w:val="center"/>
                </w:tcPr>
                <w:p>
                  <w:pPr>
                    <w:jc w:val="left"/>
                    <w:rPr>
                      <w:szCs w:val="21"/>
                    </w:rPr>
                  </w:pPr>
                  <w:r>
                    <w:rPr>
                      <w:szCs w:val="21"/>
                    </w:rPr>
                    <w:t>经自查：对于生产设备，采取墙体隔声、基础减振等治理措施。验收监测期间，</w:t>
                  </w:r>
                  <w:r>
                    <w:rPr>
                      <w:bCs/>
                      <w:snapToGrid w:val="0"/>
                      <w:szCs w:val="21"/>
                    </w:rPr>
                    <w:t>厂界噪声满足《工业企业厂界环境噪声排放标准》（GB12348-2008）</w:t>
                  </w:r>
                  <w:r>
                    <w:rPr>
                      <w:rFonts w:hint="eastAsia"/>
                      <w:bCs/>
                      <w:snapToGrid w:val="0"/>
                      <w:szCs w:val="21"/>
                      <w:lang w:val="en-US" w:eastAsia="zh-CN"/>
                    </w:rPr>
                    <w:t>2</w:t>
                  </w:r>
                  <w:r>
                    <w:rPr>
                      <w:bCs/>
                      <w:snapToGrid w:val="0"/>
                      <w:szCs w:val="21"/>
                    </w:rPr>
                    <w:t>类标准</w:t>
                  </w:r>
                </w:p>
              </w:tc>
            </w:tr>
          </w:tbl>
          <w:p>
            <w:pPr>
              <w:tabs>
                <w:tab w:val="left" w:pos="450"/>
              </w:tabs>
              <w:spacing w:line="360" w:lineRule="auto"/>
              <w:rPr>
                <w:b/>
                <w:sz w:val="28"/>
                <w:szCs w:val="28"/>
              </w:rPr>
            </w:pPr>
            <w:r>
              <w:rPr>
                <w:b/>
                <w:sz w:val="28"/>
                <w:szCs w:val="28"/>
              </w:rPr>
              <w:t>3.</w:t>
            </w:r>
            <w:r>
              <w:rPr>
                <w:rFonts w:hint="eastAsia"/>
                <w:b/>
                <w:sz w:val="28"/>
                <w:szCs w:val="28"/>
                <w:lang w:val="en-US" w:eastAsia="zh-CN"/>
              </w:rPr>
              <w:t>8</w:t>
            </w:r>
            <w:r>
              <w:rPr>
                <w:b/>
                <w:sz w:val="28"/>
                <w:szCs w:val="28"/>
              </w:rPr>
              <w:t>、环保批复落实情况一览表</w:t>
            </w: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rFonts w:hint="eastAsia"/>
                <w:b/>
                <w:bCs/>
                <w:color w:val="000000"/>
                <w:szCs w:val="21"/>
              </w:rPr>
            </w:pPr>
          </w:p>
          <w:p>
            <w:pPr>
              <w:tabs>
                <w:tab w:val="left" w:pos="450"/>
              </w:tabs>
              <w:spacing w:line="360" w:lineRule="auto"/>
              <w:jc w:val="center"/>
              <w:rPr>
                <w:b/>
                <w:szCs w:val="21"/>
              </w:rPr>
            </w:pPr>
            <w:r>
              <w:rPr>
                <w:rFonts w:hint="eastAsia"/>
                <w:b/>
                <w:bCs/>
                <w:color w:val="000000"/>
                <w:szCs w:val="21"/>
              </w:rPr>
              <w:t>表</w:t>
            </w:r>
            <w:r>
              <w:rPr>
                <w:b/>
                <w:bCs/>
                <w:color w:val="000000"/>
                <w:szCs w:val="21"/>
              </w:rPr>
              <w:t>3-</w:t>
            </w:r>
            <w:r>
              <w:rPr>
                <w:rFonts w:hint="eastAsia"/>
                <w:b/>
                <w:bCs/>
                <w:color w:val="000000"/>
                <w:szCs w:val="21"/>
              </w:rPr>
              <w:t>5</w:t>
            </w:r>
            <w:r>
              <w:rPr>
                <w:b/>
                <w:bCs/>
                <w:color w:val="000000"/>
                <w:szCs w:val="21"/>
              </w:rPr>
              <w:t xml:space="preserve">  建设项目环评批复落实情况一览表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4803"/>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spacing w:line="240" w:lineRule="auto"/>
                    <w:jc w:val="center"/>
                    <w:rPr>
                      <w:b/>
                      <w:bCs/>
                      <w:color w:val="auto"/>
                      <w:sz w:val="21"/>
                      <w:szCs w:val="21"/>
                    </w:rPr>
                  </w:pPr>
                  <w:r>
                    <w:rPr>
                      <w:b/>
                      <w:bCs/>
                      <w:color w:val="auto"/>
                      <w:sz w:val="21"/>
                      <w:szCs w:val="21"/>
                    </w:rPr>
                    <w:t>序号</w:t>
                  </w:r>
                </w:p>
              </w:tc>
              <w:tc>
                <w:tcPr>
                  <w:tcW w:w="4803" w:type="dxa"/>
                  <w:noWrap w:val="0"/>
                  <w:vAlign w:val="center"/>
                </w:tcPr>
                <w:p>
                  <w:pPr>
                    <w:spacing w:line="240" w:lineRule="auto"/>
                    <w:jc w:val="center"/>
                    <w:rPr>
                      <w:b/>
                      <w:bCs/>
                      <w:color w:val="auto"/>
                      <w:sz w:val="21"/>
                      <w:szCs w:val="21"/>
                    </w:rPr>
                  </w:pPr>
                  <w:r>
                    <w:rPr>
                      <w:b/>
                      <w:bCs/>
                      <w:color w:val="auto"/>
                      <w:sz w:val="21"/>
                      <w:szCs w:val="21"/>
                    </w:rPr>
                    <w:t>环评、环评批复要求</w:t>
                  </w:r>
                </w:p>
              </w:tc>
              <w:tc>
                <w:tcPr>
                  <w:tcW w:w="3761" w:type="dxa"/>
                  <w:noWrap w:val="0"/>
                  <w:vAlign w:val="center"/>
                </w:tcPr>
                <w:p>
                  <w:pPr>
                    <w:spacing w:line="240" w:lineRule="auto"/>
                    <w:jc w:val="center"/>
                    <w:rPr>
                      <w:b/>
                      <w:bCs/>
                      <w:color w:val="auto"/>
                      <w:sz w:val="21"/>
                      <w:szCs w:val="21"/>
                    </w:rPr>
                  </w:pPr>
                  <w:r>
                    <w:rPr>
                      <w:b/>
                      <w:bCs/>
                      <w:color w:val="auto"/>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0" w:type="dxa"/>
                  <w:noWrap w:val="0"/>
                  <w:vAlign w:val="center"/>
                </w:tcPr>
                <w:p>
                  <w:pPr>
                    <w:spacing w:line="240" w:lineRule="auto"/>
                    <w:jc w:val="center"/>
                    <w:rPr>
                      <w:color w:val="auto"/>
                      <w:sz w:val="21"/>
                      <w:szCs w:val="21"/>
                    </w:rPr>
                  </w:pPr>
                  <w:r>
                    <w:rPr>
                      <w:color w:val="auto"/>
                      <w:sz w:val="21"/>
                      <w:szCs w:val="21"/>
                    </w:rPr>
                    <w:t>1</w:t>
                  </w:r>
                </w:p>
              </w:tc>
              <w:tc>
                <w:tcPr>
                  <w:tcW w:w="4803" w:type="dxa"/>
                  <w:noWrap w:val="0"/>
                  <w:vAlign w:val="center"/>
                </w:tcPr>
                <w:p>
                  <w:pPr>
                    <w:adjustRightInd w:val="0"/>
                    <w:snapToGrid w:val="0"/>
                    <w:spacing w:line="240" w:lineRule="auto"/>
                    <w:rPr>
                      <w:color w:val="auto"/>
                      <w:sz w:val="21"/>
                      <w:szCs w:val="21"/>
                    </w:rPr>
                  </w:pPr>
                  <w:r>
                    <w:rPr>
                      <w:rFonts w:hint="eastAsia"/>
                      <w:color w:val="auto"/>
                      <w:kern w:val="0"/>
                      <w:sz w:val="21"/>
                      <w:szCs w:val="21"/>
                    </w:rPr>
                    <w:t>项目区域采取"雨污分流"排水体系。生活废水、保洁废水经化粪池预处理后，由规范化排污口达标排入市政污水管网。</w:t>
                  </w:r>
                </w:p>
              </w:tc>
              <w:tc>
                <w:tcPr>
                  <w:tcW w:w="3761" w:type="dxa"/>
                  <w:noWrap w:val="0"/>
                  <w:vAlign w:val="center"/>
                </w:tcPr>
                <w:p>
                  <w:pPr>
                    <w:spacing w:line="240" w:lineRule="auto"/>
                    <w:rPr>
                      <w:rFonts w:hint="eastAsia"/>
                      <w:color w:val="auto"/>
                      <w:sz w:val="21"/>
                      <w:szCs w:val="21"/>
                    </w:rPr>
                  </w:pPr>
                  <w:r>
                    <w:rPr>
                      <w:rFonts w:hint="eastAsia" w:cs="宋体"/>
                      <w:color w:val="auto"/>
                      <w:szCs w:val="21"/>
                      <w:lang w:bidi="ar"/>
                    </w:rPr>
                    <w:t>生活污水、保洁废水经化粪池处理后，满足西部组团污水处理厂接管标准，未规定的执行《污水综合排放标准》（GB8978-1996）中的三级标准，通过市政污水管网排入西部组团污水处理厂处理后排入派河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50" w:type="dxa"/>
                  <w:noWrap w:val="0"/>
                  <w:vAlign w:val="center"/>
                </w:tcPr>
                <w:p>
                  <w:pPr>
                    <w:spacing w:line="240" w:lineRule="auto"/>
                    <w:jc w:val="center"/>
                    <w:rPr>
                      <w:color w:val="auto"/>
                      <w:sz w:val="21"/>
                      <w:szCs w:val="21"/>
                    </w:rPr>
                  </w:pPr>
                  <w:r>
                    <w:rPr>
                      <w:color w:val="auto"/>
                      <w:sz w:val="21"/>
                      <w:szCs w:val="21"/>
                    </w:rPr>
                    <w:t>2</w:t>
                  </w:r>
                </w:p>
              </w:tc>
              <w:tc>
                <w:tcPr>
                  <w:tcW w:w="4803" w:type="dxa"/>
                  <w:noWrap w:val="0"/>
                  <w:vAlign w:val="center"/>
                </w:tcPr>
                <w:p>
                  <w:pPr>
                    <w:widowControl/>
                    <w:spacing w:after="240" w:line="240" w:lineRule="auto"/>
                    <w:jc w:val="left"/>
                    <w:rPr>
                      <w:rFonts w:hint="eastAsia"/>
                      <w:color w:val="auto"/>
                      <w:sz w:val="21"/>
                      <w:szCs w:val="21"/>
                    </w:rPr>
                  </w:pPr>
                  <w:r>
                    <w:rPr>
                      <w:rFonts w:hint="eastAsia"/>
                      <w:color w:val="auto"/>
                      <w:sz w:val="21"/>
                      <w:szCs w:val="21"/>
                    </w:rPr>
                    <w:t>本项目生产过程中打胶和晾干工序产生的有机废气经集气罩收集后由活性炭+UV光解装置进行处理，处理后的废气通过1根15米高的排气筒达标外排。</w:t>
                  </w:r>
                </w:p>
                <w:p>
                  <w:pPr>
                    <w:widowControl/>
                    <w:spacing w:after="240" w:line="240" w:lineRule="auto"/>
                    <w:jc w:val="left"/>
                    <w:rPr>
                      <w:color w:val="auto"/>
                      <w:sz w:val="21"/>
                      <w:szCs w:val="21"/>
                    </w:rPr>
                  </w:pPr>
                  <w:r>
                    <w:rPr>
                      <w:rFonts w:hint="eastAsia"/>
                      <w:color w:val="auto"/>
                      <w:sz w:val="21"/>
                      <w:szCs w:val="21"/>
                    </w:rPr>
                    <w:t>本项目环评设置的环境防护距离50米范围内，建设单位应告知并建议当地政府或主管部门，在此范围内不再规划建设学校、住宅、医院等对大气环境要求较高的环境敏感项目。</w:t>
                  </w:r>
                </w:p>
              </w:tc>
              <w:tc>
                <w:tcPr>
                  <w:tcW w:w="3761" w:type="dxa"/>
                  <w:noWrap w:val="0"/>
                  <w:vAlign w:val="center"/>
                </w:tcPr>
                <w:p>
                  <w:pPr>
                    <w:widowControl/>
                    <w:spacing w:line="240" w:lineRule="auto"/>
                    <w:rPr>
                      <w:color w:val="auto"/>
                      <w:sz w:val="21"/>
                      <w:szCs w:val="21"/>
                    </w:rPr>
                  </w:pPr>
                  <w:r>
                    <w:rPr>
                      <w:rFonts w:hint="eastAsia"/>
                      <w:color w:val="auto"/>
                      <w:szCs w:val="21"/>
                    </w:rPr>
                    <w:t>本项目打胶、晾干工序外协，无非甲烷总烃产生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50" w:type="dxa"/>
                  <w:noWrap w:val="0"/>
                  <w:vAlign w:val="center"/>
                </w:tcPr>
                <w:p>
                  <w:pPr>
                    <w:spacing w:line="240" w:lineRule="auto"/>
                    <w:jc w:val="center"/>
                    <w:rPr>
                      <w:color w:val="auto"/>
                      <w:sz w:val="21"/>
                      <w:szCs w:val="21"/>
                    </w:rPr>
                  </w:pPr>
                  <w:r>
                    <w:rPr>
                      <w:color w:val="auto"/>
                      <w:sz w:val="21"/>
                      <w:szCs w:val="21"/>
                    </w:rPr>
                    <w:t>3</w:t>
                  </w:r>
                </w:p>
              </w:tc>
              <w:tc>
                <w:tcPr>
                  <w:tcW w:w="4803" w:type="dxa"/>
                  <w:noWrap w:val="0"/>
                  <w:vAlign w:val="center"/>
                </w:tcPr>
                <w:p>
                  <w:pPr>
                    <w:adjustRightInd w:val="0"/>
                    <w:snapToGrid w:val="0"/>
                    <w:spacing w:line="240" w:lineRule="auto"/>
                    <w:rPr>
                      <w:color w:val="auto"/>
                      <w:sz w:val="21"/>
                      <w:szCs w:val="21"/>
                    </w:rPr>
                  </w:pPr>
                  <w:r>
                    <w:rPr>
                      <w:rFonts w:hint="eastAsia"/>
                      <w:color w:val="auto"/>
                      <w:kern w:val="0"/>
                      <w:sz w:val="21"/>
                      <w:szCs w:val="21"/>
                    </w:rPr>
                    <w:t>合理项目区布局。逸用低噪声设备，同时对主要产噪生产设备采取隔声、减振等措施，确保噪声达标排放，避免噪声扰民</w:t>
                  </w:r>
                </w:p>
              </w:tc>
              <w:tc>
                <w:tcPr>
                  <w:tcW w:w="3761" w:type="dxa"/>
                  <w:noWrap w:val="0"/>
                  <w:vAlign w:val="center"/>
                </w:tcPr>
                <w:p>
                  <w:pPr>
                    <w:spacing w:line="240" w:lineRule="auto"/>
                    <w:rPr>
                      <w:color w:val="auto"/>
                      <w:sz w:val="21"/>
                      <w:szCs w:val="21"/>
                    </w:rPr>
                  </w:pPr>
                  <w:r>
                    <w:rPr>
                      <w:color w:val="auto"/>
                      <w:szCs w:val="21"/>
                    </w:rPr>
                    <w:t>对于生产设备，采取墙体隔声、基础减振等治理措施。验收监测期间，</w:t>
                  </w:r>
                  <w:r>
                    <w:rPr>
                      <w:bCs/>
                      <w:snapToGrid w:val="0"/>
                      <w:color w:val="auto"/>
                      <w:szCs w:val="21"/>
                    </w:rPr>
                    <w:t>厂界噪声满足《工业企业厂界环境噪声排放标准》（GB12348-2008）</w:t>
                  </w:r>
                  <w:r>
                    <w:rPr>
                      <w:rFonts w:hint="eastAsia"/>
                      <w:bCs/>
                      <w:snapToGrid w:val="0"/>
                      <w:color w:val="auto"/>
                      <w:szCs w:val="21"/>
                      <w:lang w:val="en-US" w:eastAsia="zh-CN"/>
                    </w:rPr>
                    <w:t>2</w:t>
                  </w:r>
                  <w:r>
                    <w:rPr>
                      <w:bCs/>
                      <w:snapToGrid w:val="0"/>
                      <w:color w:val="auto"/>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650" w:type="dxa"/>
                  <w:noWrap w:val="0"/>
                  <w:vAlign w:val="center"/>
                </w:tcPr>
                <w:p>
                  <w:pPr>
                    <w:spacing w:line="240" w:lineRule="auto"/>
                    <w:jc w:val="center"/>
                    <w:rPr>
                      <w:color w:val="auto"/>
                      <w:sz w:val="21"/>
                      <w:szCs w:val="21"/>
                    </w:rPr>
                  </w:pPr>
                  <w:r>
                    <w:rPr>
                      <w:color w:val="auto"/>
                      <w:sz w:val="21"/>
                      <w:szCs w:val="21"/>
                    </w:rPr>
                    <w:t>4</w:t>
                  </w:r>
                </w:p>
              </w:tc>
              <w:tc>
                <w:tcPr>
                  <w:tcW w:w="4803" w:type="dxa"/>
                  <w:noWrap w:val="0"/>
                  <w:vAlign w:val="center"/>
                </w:tcPr>
                <w:p>
                  <w:pPr>
                    <w:widowControl/>
                    <w:spacing w:after="240" w:line="240" w:lineRule="auto"/>
                    <w:jc w:val="left"/>
                    <w:rPr>
                      <w:color w:val="auto"/>
                      <w:sz w:val="21"/>
                      <w:szCs w:val="21"/>
                    </w:rPr>
                  </w:pPr>
                  <w:r>
                    <w:rPr>
                      <w:rFonts w:hint="eastAsia"/>
                      <w:color w:val="auto"/>
                      <w:sz w:val="21"/>
                      <w:szCs w:val="21"/>
                    </w:rPr>
                    <w:t>固体物应分类收集。生产过程中产生废边角料集中收集后由专业回收公司回收利用；废活性炭、废UV灯管、废胶桶等属危险固废，应按环评要求设定专门存储场所或贮存物妥善收集存放，及时转送有资质处置单位处置生活垃圾袋装化处理后由环卫部门及时清运处置</w:t>
                  </w:r>
                </w:p>
              </w:tc>
              <w:tc>
                <w:tcPr>
                  <w:tcW w:w="3761" w:type="dxa"/>
                  <w:noWrap w:val="0"/>
                  <w:vAlign w:val="center"/>
                </w:tcPr>
                <w:p>
                  <w:pPr>
                    <w:widowControl/>
                    <w:spacing w:after="240" w:line="240" w:lineRule="auto"/>
                    <w:jc w:val="left"/>
                    <w:rPr>
                      <w:rFonts w:hint="eastAsia"/>
                      <w:color w:val="auto"/>
                      <w:sz w:val="21"/>
                      <w:szCs w:val="21"/>
                    </w:rPr>
                  </w:pPr>
                  <w:r>
                    <w:rPr>
                      <w:rFonts w:hint="eastAsia" w:cs="宋体"/>
                      <w:color w:val="auto"/>
                      <w:szCs w:val="21"/>
                      <w:lang w:bidi="ar"/>
                    </w:rPr>
                    <w:t>生活垃圾由环卫部门统一收集后处理； 边角料定期外售废品收购站</w:t>
                  </w:r>
                </w:p>
              </w:tc>
            </w:tr>
          </w:tbl>
          <w:p>
            <w:pPr>
              <w:keepNext w:val="0"/>
              <w:keepLines w:val="0"/>
              <w:pageBreakBefore w:val="0"/>
              <w:widowControl w:val="0"/>
              <w:tabs>
                <w:tab w:val="left" w:pos="1834"/>
              </w:tabs>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p>
        </w:tc>
      </w:tr>
    </w:tbl>
    <w:p>
      <w:pPr>
        <w:rPr>
          <w:rFonts w:hAnsi="宋体"/>
          <w:b/>
          <w:sz w:val="24"/>
        </w:rPr>
      </w:pPr>
    </w:p>
    <w:p>
      <w:pPr>
        <w:rPr>
          <w:rFonts w:hint="eastAsia"/>
          <w:b/>
          <w:sz w:val="28"/>
          <w:szCs w:val="28"/>
        </w:rPr>
      </w:pPr>
    </w:p>
    <w:p>
      <w:pPr>
        <w:rPr>
          <w:rFonts w:hint="eastAsia"/>
          <w:b/>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rPr>
          <w:b/>
          <w:sz w:val="28"/>
          <w:szCs w:val="28"/>
        </w:rPr>
      </w:pPr>
      <w:r>
        <w:rPr>
          <w:rFonts w:hint="eastAsia"/>
          <w:b/>
          <w:sz w:val="28"/>
          <w:szCs w:val="28"/>
        </w:rPr>
        <w:t>表四、建设项目环境影响报告表主要结论及审批部门审批决定</w:t>
      </w:r>
    </w:p>
    <w:tbl>
      <w:tblPr>
        <w:tblStyle w:val="15"/>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6" w:hRule="atLeast"/>
          <w:jc w:val="center"/>
        </w:trPr>
        <w:tc>
          <w:tcPr>
            <w:tcW w:w="9363" w:type="dxa"/>
            <w:vAlign w:val="center"/>
          </w:tcPr>
          <w:p>
            <w:pPr>
              <w:spacing w:line="360" w:lineRule="auto"/>
              <w:rPr>
                <w:sz w:val="24"/>
              </w:rPr>
            </w:pPr>
            <w:bookmarkStart w:id="26" w:name="_Toc14598"/>
            <w:bookmarkStart w:id="27" w:name="_Toc24406"/>
            <w:bookmarkStart w:id="28" w:name="_Toc29951"/>
            <w:bookmarkStart w:id="29" w:name="_Toc7534"/>
            <w:bookmarkStart w:id="30" w:name="_Toc16652"/>
            <w:bookmarkStart w:id="31" w:name="_Toc23404"/>
            <w:bookmarkStart w:id="32" w:name="_Toc30618"/>
            <w:bookmarkStart w:id="33" w:name="_Toc18285"/>
            <w:bookmarkStart w:id="34" w:name="_Toc30905"/>
            <w:bookmarkStart w:id="35" w:name="_Toc27421"/>
            <w:bookmarkStart w:id="36" w:name="_Toc12726"/>
            <w:r>
              <w:rPr>
                <w:b/>
                <w:bCs/>
                <w:sz w:val="28"/>
                <w:szCs w:val="28"/>
              </w:rPr>
              <w:t>4.1、环评结论</w:t>
            </w:r>
            <w:bookmarkEnd w:id="26"/>
            <w:bookmarkEnd w:id="27"/>
            <w:bookmarkEnd w:id="28"/>
            <w:bookmarkEnd w:id="29"/>
            <w:bookmarkEnd w:id="30"/>
            <w:bookmarkEnd w:id="31"/>
            <w:bookmarkEnd w:id="32"/>
            <w:bookmarkEnd w:id="33"/>
            <w:bookmarkEnd w:id="34"/>
            <w:bookmarkEnd w:id="35"/>
            <w:bookmarkEnd w:id="36"/>
            <w:bookmarkStart w:id="37" w:name="_Toc18031"/>
            <w:bookmarkStart w:id="38" w:name="_Toc4030"/>
            <w:bookmarkStart w:id="39" w:name="_Toc24409"/>
            <w:bookmarkStart w:id="40" w:name="_Toc24185"/>
            <w:bookmarkStart w:id="41" w:name="_Toc102"/>
          </w:p>
          <w:bookmarkEnd w:id="37"/>
          <w:bookmarkEnd w:id="38"/>
          <w:bookmarkEnd w:id="39"/>
          <w:bookmarkEnd w:id="40"/>
          <w:bookmarkEnd w:id="41"/>
          <w:p>
            <w:pPr>
              <w:spacing w:line="360" w:lineRule="auto"/>
              <w:ind w:firstLine="472" w:firstLineChars="196"/>
              <w:rPr>
                <w:b/>
                <w:sz w:val="24"/>
              </w:rPr>
            </w:pPr>
            <w:r>
              <w:rPr>
                <w:rFonts w:hint="eastAsia"/>
                <w:b/>
                <w:sz w:val="24"/>
              </w:rPr>
              <w:t>1、</w:t>
            </w:r>
            <w:r>
              <w:rPr>
                <w:b/>
                <w:sz w:val="24"/>
              </w:rPr>
              <w:t xml:space="preserve"> </w:t>
            </w:r>
            <w:r>
              <w:rPr>
                <w:rFonts w:hint="eastAsia"/>
                <w:b/>
                <w:sz w:val="24"/>
              </w:rPr>
              <w:t>项目概况</w:t>
            </w:r>
          </w:p>
          <w:p>
            <w:pPr>
              <w:adjustRightInd w:val="0"/>
              <w:snapToGrid w:val="0"/>
              <w:spacing w:line="360" w:lineRule="auto"/>
              <w:ind w:firstLine="480" w:firstLineChars="200"/>
              <w:rPr>
                <w:kern w:val="0"/>
                <w:sz w:val="24"/>
              </w:rPr>
            </w:pP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铝合金门窗加工生产项目位于合肥市肥西县桃花工业园繁华大道与方兴大道交口东南侧综合楼（北纬</w:t>
            </w:r>
            <w:r>
              <w:rPr>
                <w:rFonts w:hint="eastAsia"/>
                <w:kern w:val="0"/>
                <w:sz w:val="24"/>
                <w:lang w:val="en-US" w:eastAsia="zh-CN"/>
              </w:rPr>
              <w:t>31.777134</w:t>
            </w:r>
            <w:r>
              <w:rPr>
                <w:rFonts w:hint="eastAsia"/>
                <w:kern w:val="0"/>
                <w:sz w:val="24"/>
              </w:rPr>
              <w:t>东经</w:t>
            </w:r>
            <w:r>
              <w:rPr>
                <w:rFonts w:hint="eastAsia"/>
                <w:kern w:val="0"/>
                <w:sz w:val="24"/>
                <w:lang w:val="en-US" w:eastAsia="zh-CN"/>
              </w:rPr>
              <w:t>117.106287</w:t>
            </w:r>
            <w:r>
              <w:rPr>
                <w:rFonts w:hint="eastAsia"/>
                <w:kern w:val="0"/>
                <w:sz w:val="24"/>
              </w:rPr>
              <w:t>）</w:t>
            </w:r>
            <w:r>
              <w:rPr>
                <w:rFonts w:hint="eastAsia"/>
                <w:kern w:val="0"/>
                <w:sz w:val="24"/>
                <w:lang w:eastAsia="zh-CN"/>
              </w:rPr>
              <w:t>，</w:t>
            </w:r>
            <w:r>
              <w:rPr>
                <w:rFonts w:hint="eastAsia"/>
                <w:kern w:val="0"/>
                <w:sz w:val="24"/>
              </w:rPr>
              <w:t>本项目</w:t>
            </w:r>
            <w:r>
              <w:rPr>
                <w:rFonts w:hint="eastAsia"/>
                <w:kern w:val="0"/>
                <w:sz w:val="24"/>
                <w:lang w:val="en-US" w:eastAsia="zh-CN"/>
              </w:rPr>
              <w:t>建筑</w:t>
            </w:r>
            <w:r>
              <w:rPr>
                <w:rFonts w:hint="eastAsia"/>
                <w:kern w:val="0"/>
                <w:sz w:val="24"/>
              </w:rPr>
              <w:t>面积约</w:t>
            </w:r>
            <w:r>
              <w:rPr>
                <w:rFonts w:hint="eastAsia"/>
                <w:color w:val="000000" w:themeColor="text1"/>
                <w:kern w:val="0"/>
                <w:sz w:val="24"/>
                <w14:textFill>
                  <w14:solidFill>
                    <w14:schemeClr w14:val="tx1"/>
                  </w14:solidFill>
                </w14:textFill>
              </w:rPr>
              <w:t>为</w:t>
            </w:r>
            <w:r>
              <w:rPr>
                <w:rFonts w:hint="eastAsia"/>
                <w:color w:val="000000" w:themeColor="text1"/>
                <w:kern w:val="0"/>
                <w:sz w:val="24"/>
                <w:lang w:val="en-US" w:eastAsia="zh-CN"/>
                <w14:textFill>
                  <w14:solidFill>
                    <w14:schemeClr w14:val="tx1"/>
                  </w14:solidFill>
                </w14:textFill>
              </w:rPr>
              <w:t>6</w:t>
            </w:r>
            <w:r>
              <w:rPr>
                <w:rFonts w:hint="eastAsia"/>
                <w:color w:val="000000" w:themeColor="text1"/>
                <w:kern w:val="0"/>
                <w:sz w:val="24"/>
                <w14:textFill>
                  <w14:solidFill>
                    <w14:schemeClr w14:val="tx1"/>
                  </w14:solidFill>
                </w14:textFill>
              </w:rPr>
              <w:t>00m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vertAlign w:val="baseline"/>
                <w:lang w:eastAsia="zh-CN"/>
                <w14:textFill>
                  <w14:solidFill>
                    <w14:schemeClr w14:val="tx1"/>
                  </w14:solidFill>
                </w14:textFill>
              </w:rPr>
              <w:t>，项目建成后可生产</w:t>
            </w:r>
            <w:r>
              <w:rPr>
                <w:rFonts w:hint="eastAsia"/>
                <w:kern w:val="0"/>
                <w:sz w:val="24"/>
              </w:rPr>
              <w:t>年产7.5万m</w:t>
            </w:r>
            <w:r>
              <w:rPr>
                <w:rFonts w:hint="eastAsia"/>
                <w:kern w:val="0"/>
                <w:sz w:val="24"/>
                <w:vertAlign w:val="superscript"/>
              </w:rPr>
              <w:t>2</w:t>
            </w:r>
            <w:r>
              <w:rPr>
                <w:rFonts w:hint="eastAsia"/>
                <w:kern w:val="0"/>
                <w:sz w:val="24"/>
              </w:rPr>
              <w:t>铝合金门窗</w:t>
            </w:r>
            <w:r>
              <w:rPr>
                <w:rFonts w:hint="eastAsia"/>
                <w:color w:val="000000" w:themeColor="text1"/>
                <w:kern w:val="0"/>
                <w:sz w:val="24"/>
                <w14:textFill>
                  <w14:solidFill>
                    <w14:schemeClr w14:val="tx1"/>
                  </w14:solidFill>
                </w14:textFill>
              </w:rPr>
              <w:t>。</w:t>
            </w:r>
          </w:p>
          <w:p>
            <w:pPr>
              <w:adjustRightInd w:val="0"/>
              <w:snapToGrid w:val="0"/>
              <w:spacing w:line="360" w:lineRule="auto"/>
              <w:ind w:firstLine="482" w:firstLineChars="200"/>
              <w:rPr>
                <w:b/>
                <w:sz w:val="24"/>
              </w:rPr>
            </w:pPr>
            <w:r>
              <w:rPr>
                <w:rFonts w:hint="eastAsia"/>
                <w:b/>
                <w:sz w:val="24"/>
              </w:rPr>
              <w:t>2、现状环境质量评价结论</w:t>
            </w:r>
          </w:p>
          <w:p>
            <w:pPr>
              <w:widowControl/>
              <w:spacing w:line="360" w:lineRule="auto"/>
              <w:ind w:firstLine="480" w:firstLineChars="200"/>
              <w:jc w:val="left"/>
              <w:rPr>
                <w:kern w:val="0"/>
                <w:sz w:val="24"/>
                <w:szCs w:val="20"/>
              </w:rPr>
            </w:pPr>
            <w:r>
              <w:rPr>
                <w:rFonts w:hint="eastAsia" w:cs="宋体"/>
                <w:sz w:val="24"/>
                <w:szCs w:val="20"/>
                <w:lang w:val="en-US" w:eastAsia="zh-CN" w:bidi="ar"/>
              </w:rPr>
              <w:t>项目纳污水体派河水质</w:t>
            </w:r>
            <w:r>
              <w:rPr>
                <w:rFonts w:hint="eastAsia" w:cs="宋体"/>
                <w:kern w:val="28"/>
                <w:sz w:val="24"/>
                <w:szCs w:val="20"/>
                <w:lang w:bidi="ar"/>
              </w:rPr>
              <w:t>不满足《地表水环境质量标准》（</w:t>
            </w:r>
            <w:r>
              <w:rPr>
                <w:kern w:val="28"/>
                <w:sz w:val="24"/>
                <w:szCs w:val="20"/>
                <w:lang w:bidi="ar"/>
              </w:rPr>
              <w:t>GB3838-2002</w:t>
            </w:r>
            <w:r>
              <w:rPr>
                <w:rFonts w:hint="eastAsia" w:cs="宋体"/>
                <w:kern w:val="28"/>
                <w:sz w:val="24"/>
                <w:szCs w:val="20"/>
                <w:lang w:bidi="ar"/>
              </w:rPr>
              <w:t>）中</w:t>
            </w:r>
            <w:r>
              <w:rPr>
                <w:rFonts w:hint="eastAsia"/>
                <w:sz w:val="24"/>
                <w:szCs w:val="20"/>
                <w:lang w:val="en-US" w:eastAsia="zh-CN" w:bidi="ar"/>
              </w:rPr>
              <w:t>Ⅳ</w:t>
            </w:r>
            <w:r>
              <w:rPr>
                <w:rFonts w:hint="eastAsia" w:cs="宋体"/>
                <w:kern w:val="28"/>
                <w:sz w:val="24"/>
                <w:szCs w:val="20"/>
                <w:lang w:bidi="ar"/>
              </w:rPr>
              <w:t>类</w:t>
            </w:r>
            <w:r>
              <w:rPr>
                <w:rFonts w:hint="eastAsia" w:cs="宋体"/>
                <w:kern w:val="28"/>
                <w:sz w:val="24"/>
                <w:szCs w:val="20"/>
                <w:lang w:val="en-US" w:eastAsia="zh-CN" w:bidi="ar"/>
              </w:rPr>
              <w:t>水体标准，环境空气</w:t>
            </w:r>
            <w:r>
              <w:rPr>
                <w:rFonts w:hint="eastAsia" w:cs="宋体"/>
                <w:sz w:val="24"/>
                <w:szCs w:val="20"/>
                <w:lang w:bidi="ar"/>
              </w:rPr>
              <w:t>不满足《环境空气质量标准》（</w:t>
            </w:r>
            <w:r>
              <w:rPr>
                <w:sz w:val="24"/>
                <w:szCs w:val="20"/>
                <w:lang w:bidi="ar"/>
              </w:rPr>
              <w:t>GB3095-2012</w:t>
            </w:r>
            <w:r>
              <w:rPr>
                <w:rFonts w:hint="eastAsia" w:cs="宋体"/>
                <w:sz w:val="24"/>
                <w:szCs w:val="20"/>
                <w:lang w:bidi="ar"/>
              </w:rPr>
              <w:t>）中二级标准要求，</w:t>
            </w:r>
            <w:r>
              <w:rPr>
                <w:rFonts w:hint="eastAsia" w:cs="宋体"/>
                <w:kern w:val="0"/>
                <w:sz w:val="24"/>
                <w:szCs w:val="20"/>
                <w:lang w:bidi="ar"/>
              </w:rPr>
              <w:t>区域声环境质量满足《声环境质量标准》（</w:t>
            </w:r>
            <w:r>
              <w:rPr>
                <w:kern w:val="0"/>
                <w:sz w:val="24"/>
                <w:szCs w:val="20"/>
                <w:lang w:bidi="ar"/>
              </w:rPr>
              <w:t>GB3096-2008</w:t>
            </w:r>
            <w:r>
              <w:rPr>
                <w:rFonts w:hint="eastAsia" w:cs="宋体"/>
                <w:kern w:val="0"/>
                <w:sz w:val="24"/>
                <w:szCs w:val="20"/>
                <w:lang w:bidi="ar"/>
              </w:rPr>
              <w:t>）</w:t>
            </w:r>
            <w:r>
              <w:rPr>
                <w:rFonts w:hint="eastAsia"/>
                <w:kern w:val="0"/>
                <w:sz w:val="24"/>
                <w:szCs w:val="20"/>
                <w:lang w:val="en-US" w:eastAsia="zh-CN" w:bidi="ar"/>
              </w:rPr>
              <w:t>2</w:t>
            </w:r>
            <w:r>
              <w:rPr>
                <w:rFonts w:hint="eastAsia" w:cs="宋体"/>
                <w:kern w:val="0"/>
                <w:sz w:val="24"/>
                <w:szCs w:val="20"/>
                <w:lang w:bidi="ar"/>
              </w:rPr>
              <w:t>类标准。</w:t>
            </w:r>
          </w:p>
          <w:p>
            <w:pPr>
              <w:snapToGrid w:val="0"/>
              <w:spacing w:line="360" w:lineRule="auto"/>
              <w:ind w:firstLine="482" w:firstLineChars="200"/>
              <w:rPr>
                <w:b/>
                <w:sz w:val="24"/>
              </w:rPr>
            </w:pPr>
            <w:r>
              <w:rPr>
                <w:rFonts w:hint="eastAsia"/>
                <w:b/>
                <w:sz w:val="24"/>
                <w:lang w:val="en-US" w:eastAsia="zh-CN"/>
              </w:rPr>
              <w:t>3</w:t>
            </w:r>
            <w:r>
              <w:rPr>
                <w:rFonts w:hint="eastAsia"/>
                <w:b/>
                <w:sz w:val="24"/>
              </w:rPr>
              <w:t>、环境影响评价结论</w:t>
            </w:r>
          </w:p>
          <w:p>
            <w:pPr>
              <w:widowControl/>
              <w:spacing w:line="500" w:lineRule="exact"/>
              <w:ind w:firstLine="480" w:firstLineChars="200"/>
              <w:jc w:val="left"/>
              <w:rPr>
                <w:kern w:val="24"/>
                <w:sz w:val="24"/>
                <w:szCs w:val="20"/>
              </w:rPr>
            </w:pPr>
            <w:r>
              <w:rPr>
                <w:rFonts w:hint="eastAsia" w:cs="宋体"/>
                <w:kern w:val="24"/>
                <w:sz w:val="24"/>
                <w:szCs w:val="20"/>
                <w:lang w:bidi="ar"/>
              </w:rPr>
              <w:t>本项目施工期的环境影响分析结论如下：</w:t>
            </w:r>
          </w:p>
          <w:p>
            <w:pPr>
              <w:widowControl/>
              <w:spacing w:line="360" w:lineRule="auto"/>
              <w:ind w:firstLine="480" w:firstLineChars="200"/>
              <w:jc w:val="left"/>
              <w:rPr>
                <w:rFonts w:hint="eastAsia" w:ascii="宋体" w:hAnsi="宋体" w:cs="宋体"/>
                <w:kern w:val="24"/>
                <w:sz w:val="24"/>
                <w:szCs w:val="24"/>
                <w:lang w:val="en-US" w:eastAsia="zh-CN" w:bidi="ar"/>
              </w:rPr>
            </w:pPr>
            <w:r>
              <w:rPr>
                <w:rFonts w:hint="eastAsia" w:ascii="宋体" w:hAnsi="宋体" w:cs="宋体"/>
                <w:kern w:val="24"/>
                <w:sz w:val="24"/>
                <w:szCs w:val="24"/>
                <w:lang w:val="en-US" w:eastAsia="zh-CN" w:bidi="ar"/>
              </w:rPr>
              <w:t>本项目为新建项目，无土建工程，设备安装后即可正常运营。</w:t>
            </w:r>
          </w:p>
          <w:p>
            <w:pPr>
              <w:pStyle w:val="9"/>
              <w:spacing w:line="360" w:lineRule="auto"/>
              <w:ind w:left="0" w:leftChars="0" w:firstLine="480" w:firstLineChars="200"/>
              <w:rPr>
                <w:rFonts w:hint="default"/>
                <w:sz w:val="24"/>
                <w:szCs w:val="24"/>
                <w:lang w:val="en-US" w:eastAsia="zh-CN"/>
              </w:rPr>
            </w:pPr>
            <w:r>
              <w:rPr>
                <w:rFonts w:hint="eastAsia" w:ascii="宋体" w:hAnsi="宋体" w:cs="宋体"/>
                <w:kern w:val="24"/>
                <w:sz w:val="24"/>
                <w:szCs w:val="24"/>
                <w:lang w:val="en-US" w:eastAsia="zh-CN" w:bidi="ar"/>
              </w:rPr>
              <w:t>因此施工期对环境的主要影响是设备安装产生的噪声，属于局部和短期性质，不会造成长期影响。</w:t>
            </w:r>
          </w:p>
          <w:p>
            <w:pPr>
              <w:widowControl/>
              <w:spacing w:line="360" w:lineRule="auto"/>
              <w:ind w:firstLine="480" w:firstLineChars="200"/>
              <w:jc w:val="left"/>
              <w:rPr>
                <w:bCs/>
                <w:sz w:val="24"/>
                <w:szCs w:val="20"/>
              </w:rPr>
            </w:pPr>
            <w:r>
              <w:rPr>
                <w:rFonts w:hint="eastAsia" w:cs="宋体"/>
                <w:bCs/>
                <w:sz w:val="24"/>
                <w:szCs w:val="20"/>
                <w:lang w:bidi="ar"/>
              </w:rPr>
              <w:t>营运期环境影响</w:t>
            </w:r>
          </w:p>
          <w:p>
            <w:pPr>
              <w:pStyle w:val="14"/>
              <w:spacing w:before="0" w:beforeAutospacing="0" w:after="0" w:afterAutospacing="0" w:line="500" w:lineRule="exact"/>
              <w:ind w:firstLine="480" w:firstLineChars="200"/>
              <w:rPr>
                <w:bCs/>
                <w:snapToGrid w:val="0"/>
              </w:rPr>
            </w:pPr>
            <w:r>
              <w:rPr>
                <w:rFonts w:hint="eastAsia" w:ascii="Times New Roman" w:hAnsi="Times New Roman"/>
                <w:bCs/>
                <w:snapToGrid w:val="0"/>
                <w:kern w:val="2"/>
                <w:lang w:bidi="ar"/>
              </w:rPr>
              <w:t>（</w:t>
            </w:r>
            <w:r>
              <w:rPr>
                <w:rFonts w:ascii="Times New Roman" w:hAnsi="Times New Roman" w:cs="Times New Roman"/>
                <w:bCs/>
                <w:snapToGrid w:val="0"/>
                <w:kern w:val="2"/>
                <w:lang w:bidi="ar"/>
              </w:rPr>
              <w:t>1</w:t>
            </w:r>
            <w:r>
              <w:rPr>
                <w:rFonts w:hint="eastAsia" w:ascii="Times New Roman" w:hAnsi="Times New Roman"/>
                <w:bCs/>
                <w:snapToGrid w:val="0"/>
                <w:kern w:val="2"/>
                <w:lang w:bidi="ar"/>
              </w:rPr>
              <w:t>）废水</w:t>
            </w:r>
          </w:p>
          <w:p>
            <w:pPr>
              <w:widowControl/>
              <w:spacing w:line="500" w:lineRule="exact"/>
              <w:ind w:firstLine="480" w:firstLineChars="200"/>
              <w:jc w:val="left"/>
              <w:rPr>
                <w:kern w:val="24"/>
                <w:sz w:val="24"/>
              </w:rPr>
            </w:pPr>
            <w:r>
              <w:rPr>
                <w:rFonts w:hint="eastAsia" w:cs="宋体"/>
                <w:kern w:val="24"/>
                <w:sz w:val="24"/>
                <w:lang w:bidi="ar"/>
              </w:rPr>
              <w:t>生活污水、保洁废水依托厂区现有化粪池处理后，通过市政污水管网排入西部组团污水处理厂处理后排入派河。</w:t>
            </w:r>
          </w:p>
          <w:p>
            <w:pPr>
              <w:pStyle w:val="14"/>
              <w:spacing w:before="0" w:beforeAutospacing="0" w:after="0" w:afterAutospacing="0" w:line="500" w:lineRule="exact"/>
              <w:ind w:firstLine="480" w:firstLineChars="200"/>
              <w:rPr>
                <w:bCs/>
                <w:snapToGrid w:val="0"/>
              </w:rPr>
            </w:pPr>
            <w:r>
              <w:rPr>
                <w:rFonts w:hint="eastAsia" w:ascii="Times New Roman" w:hAnsi="Times New Roman"/>
                <w:bCs/>
                <w:snapToGrid w:val="0"/>
                <w:kern w:val="2"/>
                <w:lang w:bidi="ar"/>
              </w:rPr>
              <w:t>（</w:t>
            </w:r>
            <w:r>
              <w:rPr>
                <w:rFonts w:ascii="Times New Roman" w:hAnsi="Times New Roman" w:cs="Times New Roman"/>
                <w:bCs/>
                <w:snapToGrid w:val="0"/>
                <w:kern w:val="2"/>
                <w:lang w:bidi="ar"/>
              </w:rPr>
              <w:t>2</w:t>
            </w:r>
            <w:r>
              <w:rPr>
                <w:rFonts w:hint="eastAsia" w:ascii="Times New Roman" w:hAnsi="Times New Roman"/>
                <w:bCs/>
                <w:snapToGrid w:val="0"/>
                <w:kern w:val="2"/>
                <w:lang w:bidi="ar"/>
              </w:rPr>
              <w:t>）废气</w:t>
            </w:r>
          </w:p>
          <w:p>
            <w:pPr>
              <w:widowControl/>
              <w:spacing w:line="500" w:lineRule="exact"/>
              <w:ind w:firstLine="480"/>
              <w:jc w:val="left"/>
              <w:rPr>
                <w:kern w:val="24"/>
                <w:sz w:val="24"/>
              </w:rPr>
            </w:pPr>
            <w:r>
              <w:rPr>
                <w:rFonts w:hint="eastAsia" w:cs="宋体"/>
                <w:kern w:val="24"/>
                <w:sz w:val="24"/>
                <w:lang w:bidi="ar"/>
              </w:rPr>
              <w:t>打胶、晾干工序产生的非甲烷总烃，经活性炭+UV光解装置处理达标后，15m高排气筒高空排放。</w:t>
            </w:r>
          </w:p>
          <w:p>
            <w:pPr>
              <w:widowControl/>
              <w:spacing w:line="500" w:lineRule="exact"/>
              <w:ind w:firstLine="480" w:firstLineChars="200"/>
              <w:jc w:val="left"/>
              <w:rPr>
                <w:sz w:val="24"/>
                <w:szCs w:val="20"/>
              </w:rPr>
            </w:pPr>
            <w:r>
              <w:rPr>
                <w:rFonts w:hint="eastAsia" w:cs="宋体"/>
                <w:sz w:val="24"/>
                <w:szCs w:val="20"/>
                <w:lang w:bidi="ar"/>
              </w:rPr>
              <w:t>（</w:t>
            </w:r>
            <w:r>
              <w:rPr>
                <w:sz w:val="24"/>
                <w:szCs w:val="20"/>
                <w:lang w:bidi="ar"/>
              </w:rPr>
              <w:t>3</w:t>
            </w:r>
            <w:r>
              <w:rPr>
                <w:rFonts w:hint="eastAsia" w:cs="宋体"/>
                <w:sz w:val="24"/>
                <w:szCs w:val="20"/>
                <w:lang w:bidi="ar"/>
              </w:rPr>
              <w:t>）噪声</w:t>
            </w:r>
          </w:p>
          <w:p>
            <w:pPr>
              <w:widowControl/>
              <w:spacing w:line="480" w:lineRule="exact"/>
              <w:ind w:firstLine="480" w:firstLineChars="200"/>
              <w:jc w:val="left"/>
              <w:rPr>
                <w:bCs/>
              </w:rPr>
            </w:pPr>
            <w:r>
              <w:rPr>
                <w:rFonts w:hint="eastAsia" w:cs="宋体"/>
                <w:bCs/>
                <w:sz w:val="24"/>
                <w:lang w:bidi="ar"/>
              </w:rPr>
              <w:t>本项目的</w:t>
            </w:r>
            <w:r>
              <w:rPr>
                <w:rFonts w:hint="eastAsia" w:cs="宋体"/>
                <w:bCs/>
                <w:sz w:val="24"/>
                <w:lang w:val="en-US" w:eastAsia="zh-CN" w:bidi="ar"/>
              </w:rPr>
              <w:t>各</w:t>
            </w:r>
            <w:r>
              <w:rPr>
                <w:rFonts w:hint="eastAsia" w:cs="宋体"/>
                <w:bCs/>
                <w:sz w:val="24"/>
                <w:lang w:bidi="ar"/>
              </w:rPr>
              <w:t>噪声设备</w:t>
            </w:r>
            <w:r>
              <w:rPr>
                <w:rFonts w:hint="eastAsia" w:cs="宋体"/>
                <w:bCs/>
                <w:sz w:val="24"/>
                <w:lang w:val="en-US" w:eastAsia="zh-CN" w:bidi="ar"/>
              </w:rPr>
              <w:t>经</w:t>
            </w:r>
            <w:r>
              <w:rPr>
                <w:rFonts w:hint="eastAsia" w:cs="宋体"/>
                <w:bCs/>
                <w:sz w:val="24"/>
                <w:lang w:bidi="ar"/>
              </w:rPr>
              <w:t>隔声、减振等降噪措施，经预测，项目正常运营时，厂界昼间噪声均能达到《工业企业厂界环境噪声排放标准》</w:t>
            </w:r>
            <w:r>
              <w:rPr>
                <w:bCs/>
                <w:sz w:val="24"/>
                <w:lang w:bidi="ar"/>
              </w:rPr>
              <w:t>(GB12348-2008)</w:t>
            </w:r>
            <w:r>
              <w:rPr>
                <w:rFonts w:hint="eastAsia" w:cs="宋体"/>
                <w:bCs/>
                <w:sz w:val="24"/>
                <w:lang w:bidi="ar"/>
              </w:rPr>
              <w:t>中</w:t>
            </w:r>
            <w:r>
              <w:rPr>
                <w:rFonts w:hint="eastAsia"/>
                <w:bCs/>
                <w:sz w:val="24"/>
                <w:lang w:val="en-US" w:eastAsia="zh-CN" w:bidi="ar"/>
              </w:rPr>
              <w:t>2</w:t>
            </w:r>
            <w:r>
              <w:rPr>
                <w:rFonts w:hint="eastAsia" w:cs="宋体"/>
                <w:bCs/>
                <w:sz w:val="24"/>
                <w:lang w:bidi="ar"/>
              </w:rPr>
              <w:t>类标准限值排放</w:t>
            </w:r>
            <w:r>
              <w:rPr>
                <w:rFonts w:hint="eastAsia" w:cs="宋体"/>
                <w:sz w:val="24"/>
                <w:lang w:bidi="ar"/>
              </w:rPr>
              <w:t>。</w:t>
            </w:r>
          </w:p>
          <w:p>
            <w:pPr>
              <w:widowControl/>
              <w:spacing w:line="500" w:lineRule="exact"/>
              <w:ind w:firstLine="480" w:firstLineChars="200"/>
              <w:jc w:val="left"/>
              <w:rPr>
                <w:bCs/>
                <w:snapToGrid w:val="0"/>
                <w:sz w:val="24"/>
              </w:rPr>
            </w:pPr>
            <w:r>
              <w:rPr>
                <w:rFonts w:hint="eastAsia" w:cs="宋体"/>
                <w:sz w:val="24"/>
                <w:szCs w:val="20"/>
                <w:lang w:bidi="ar"/>
              </w:rPr>
              <w:t>（</w:t>
            </w:r>
            <w:r>
              <w:rPr>
                <w:sz w:val="24"/>
                <w:szCs w:val="20"/>
                <w:lang w:bidi="ar"/>
              </w:rPr>
              <w:t>4</w:t>
            </w:r>
            <w:r>
              <w:rPr>
                <w:rFonts w:hint="eastAsia" w:cs="宋体"/>
                <w:sz w:val="24"/>
                <w:szCs w:val="20"/>
                <w:lang w:bidi="ar"/>
              </w:rPr>
              <w:t>）固体废物</w:t>
            </w:r>
          </w:p>
          <w:p>
            <w:pPr>
              <w:widowControl/>
              <w:spacing w:line="360" w:lineRule="auto"/>
              <w:ind w:firstLine="480" w:firstLineChars="200"/>
              <w:jc w:val="left"/>
              <w:rPr>
                <w:rFonts w:hint="eastAsia" w:cs="宋体"/>
                <w:sz w:val="24"/>
                <w:szCs w:val="24"/>
                <w:lang w:bidi="ar"/>
              </w:rPr>
            </w:pPr>
            <w:r>
              <w:rPr>
                <w:rStyle w:val="21"/>
                <w:rFonts w:ascii="Times New Roman" w:hAnsi="Times New Roman" w:cs="Times New Roman"/>
                <w:kern w:val="2"/>
                <w:sz w:val="24"/>
                <w:szCs w:val="24"/>
              </w:rPr>
              <w:t>生活垃圾交由环卫部门统一处理；</w:t>
            </w:r>
            <w:r>
              <w:rPr>
                <w:rStyle w:val="21"/>
                <w:rFonts w:hint="eastAsia" w:ascii="Times New Roman" w:hAnsi="Times New Roman" w:cs="Times New Roman"/>
                <w:kern w:val="2"/>
                <w:sz w:val="24"/>
                <w:szCs w:val="24"/>
                <w:lang w:val="en-US" w:eastAsia="zh-CN"/>
              </w:rPr>
              <w:t>车间生产加工过程产生的废料，由专业物资部门回收处理；</w:t>
            </w:r>
            <w:r>
              <w:rPr>
                <w:rStyle w:val="21"/>
                <w:rFonts w:ascii="Times New Roman" w:hAnsi="Times New Roman" w:cs="Times New Roman"/>
                <w:kern w:val="2"/>
                <w:sz w:val="24"/>
                <w:szCs w:val="24"/>
              </w:rPr>
              <w:t>危险废物收集后交由资质单位处置，设置危险废物临时贮存房</w:t>
            </w:r>
            <w:r>
              <w:rPr>
                <w:rStyle w:val="21"/>
                <w:rFonts w:hint="eastAsia" w:ascii="Times New Roman" w:hAnsi="Times New Roman" w:cs="Times New Roman"/>
                <w:kern w:val="2"/>
                <w:sz w:val="24"/>
                <w:szCs w:val="24"/>
                <w:lang w:val="en-US" w:eastAsia="zh-CN"/>
              </w:rPr>
              <w:t>8</w:t>
            </w:r>
            <w:r>
              <w:rPr>
                <w:rStyle w:val="21"/>
                <w:rFonts w:ascii="Times New Roman" w:hAnsi="Times New Roman" w:cs="Times New Roman"/>
                <w:kern w:val="2"/>
                <w:sz w:val="24"/>
                <w:szCs w:val="24"/>
              </w:rPr>
              <w:t xml:space="preserve"> m</w:t>
            </w:r>
            <w:r>
              <w:rPr>
                <w:rStyle w:val="21"/>
                <w:rFonts w:ascii="Times New Roman" w:hAnsi="Times New Roman" w:cs="Times New Roman"/>
                <w:kern w:val="2"/>
                <w:sz w:val="24"/>
                <w:szCs w:val="24"/>
                <w:vertAlign w:val="superscript"/>
              </w:rPr>
              <w:t>2</w:t>
            </w:r>
            <w:r>
              <w:rPr>
                <w:rFonts w:hint="eastAsia" w:cs="宋体"/>
                <w:sz w:val="24"/>
                <w:szCs w:val="24"/>
                <w:lang w:bidi="ar"/>
              </w:rPr>
              <w:t>。</w:t>
            </w:r>
          </w:p>
          <w:p>
            <w:pPr>
              <w:snapToGrid w:val="0"/>
              <w:spacing w:line="360" w:lineRule="auto"/>
              <w:ind w:firstLine="482" w:firstLineChars="200"/>
              <w:rPr>
                <w:rFonts w:hint="eastAsia" w:eastAsia="宋体"/>
                <w:b/>
                <w:sz w:val="24"/>
                <w:lang w:eastAsia="zh-CN"/>
              </w:rPr>
            </w:pPr>
            <w:r>
              <w:rPr>
                <w:rFonts w:hint="eastAsia"/>
                <w:b/>
                <w:sz w:val="24"/>
                <w:lang w:val="en-US" w:eastAsia="zh-CN"/>
              </w:rPr>
              <w:t>4</w:t>
            </w:r>
            <w:r>
              <w:rPr>
                <w:rFonts w:hint="eastAsia"/>
                <w:b/>
                <w:sz w:val="24"/>
              </w:rPr>
              <w:t>、</w:t>
            </w:r>
            <w:r>
              <w:rPr>
                <w:rFonts w:hint="eastAsia"/>
                <w:b/>
                <w:sz w:val="24"/>
                <w:lang w:val="en-US" w:eastAsia="zh-CN"/>
              </w:rPr>
              <w:t>产业政策符合性</w:t>
            </w:r>
          </w:p>
          <w:p>
            <w:pPr>
              <w:pStyle w:val="9"/>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default" w:eastAsia="宋体"/>
                <w:sz w:val="24"/>
                <w:szCs w:val="24"/>
                <w:lang w:val="en-US" w:eastAsia="zh-CN"/>
              </w:rPr>
            </w:pPr>
            <w:r>
              <w:rPr>
                <w:rFonts w:hint="eastAsia"/>
                <w:sz w:val="24"/>
                <w:szCs w:val="24"/>
                <w:lang w:val="en-US" w:eastAsia="zh-CN"/>
              </w:rPr>
              <w:t>本项目不属于《产业结构调整指导目录（2019年本）》中限制类或淘汰类，可视为允许类，项目建设符合国家的产业政策。</w:t>
            </w:r>
          </w:p>
          <w:p>
            <w:pPr>
              <w:snapToGrid w:val="0"/>
              <w:spacing w:line="360" w:lineRule="auto"/>
              <w:ind w:firstLine="482" w:firstLineChars="200"/>
              <w:rPr>
                <w:rFonts w:hint="eastAsia" w:eastAsia="宋体"/>
                <w:b/>
                <w:sz w:val="24"/>
                <w:lang w:eastAsia="zh-CN"/>
              </w:rPr>
            </w:pPr>
            <w:r>
              <w:rPr>
                <w:rFonts w:hint="eastAsia"/>
                <w:b/>
                <w:sz w:val="24"/>
                <w:lang w:val="en-US" w:eastAsia="zh-CN"/>
              </w:rPr>
              <w:t>5</w:t>
            </w:r>
            <w:r>
              <w:rPr>
                <w:rFonts w:hint="eastAsia"/>
                <w:b/>
                <w:sz w:val="24"/>
              </w:rPr>
              <w:t>、</w:t>
            </w:r>
            <w:r>
              <w:rPr>
                <w:rFonts w:hint="eastAsia"/>
                <w:b/>
                <w:sz w:val="24"/>
                <w:lang w:val="en-US" w:eastAsia="zh-CN"/>
              </w:rPr>
              <w:t>规划相符性分析</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pPr>
            <w:r>
              <w:rPr>
                <w:rFonts w:hint="eastAsia"/>
                <w:sz w:val="24"/>
                <w:szCs w:val="24"/>
                <w:lang w:val="en-US" w:eastAsia="zh-CN"/>
              </w:rPr>
              <w:t>项目为新建项目，租赁合肥海事达机械部件有限责任公司现有厂房，土地证为工业，符合城市区域总体规划要求。</w:t>
            </w:r>
          </w:p>
          <w:p>
            <w:pPr>
              <w:pStyle w:val="9"/>
              <w:ind w:left="0" w:leftChars="0" w:firstLine="0" w:firstLineChars="0"/>
              <w:rPr>
                <w:b/>
                <w:bCs/>
                <w:sz w:val="24"/>
              </w:rPr>
            </w:pPr>
            <w:r>
              <w:rPr>
                <w:b/>
                <w:bCs/>
                <w:sz w:val="24"/>
              </w:rPr>
              <w:t>4.</w:t>
            </w:r>
            <w:r>
              <w:rPr>
                <w:rFonts w:hint="eastAsia"/>
                <w:b/>
                <w:bCs/>
                <w:sz w:val="24"/>
                <w:lang w:val="en-US" w:eastAsia="zh-CN"/>
              </w:rPr>
              <w:t>2</w:t>
            </w:r>
            <w:r>
              <w:rPr>
                <w:b/>
                <w:bCs/>
                <w:sz w:val="24"/>
              </w:rPr>
              <w:t>审批部门审批决定</w:t>
            </w:r>
          </w:p>
          <w:p>
            <w:pPr>
              <w:adjustRightInd w:val="0"/>
              <w:snapToGrid w:val="0"/>
              <w:spacing w:line="360" w:lineRule="auto"/>
              <w:ind w:firstLine="480" w:firstLineChars="200"/>
              <w:jc w:val="center"/>
              <w:rPr>
                <w:rFonts w:hint="eastAsia" w:hAnsi="宋体"/>
                <w:color w:val="auto"/>
                <w:kern w:val="0"/>
                <w:sz w:val="24"/>
              </w:rPr>
            </w:pPr>
            <w:r>
              <w:rPr>
                <w:rFonts w:hint="eastAsia" w:hAnsi="宋体"/>
                <w:color w:val="auto"/>
                <w:kern w:val="0"/>
                <w:sz w:val="24"/>
              </w:rPr>
              <w:t>肥西</w:t>
            </w:r>
            <w:r>
              <w:rPr>
                <w:rFonts w:hint="eastAsia" w:hAnsi="宋体"/>
                <w:color w:val="auto"/>
                <w:kern w:val="0"/>
                <w:sz w:val="24"/>
                <w:lang w:val="en-US" w:eastAsia="zh-CN"/>
              </w:rPr>
              <w:t>环境保护</w:t>
            </w:r>
            <w:r>
              <w:rPr>
                <w:rFonts w:hint="eastAsia" w:hAnsi="宋体"/>
                <w:color w:val="auto"/>
                <w:kern w:val="0"/>
                <w:sz w:val="24"/>
              </w:rPr>
              <w:t>局</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关于安徽常宇门窗有限公司《年产7.5万m</w:t>
            </w:r>
            <w:r>
              <w:rPr>
                <w:rFonts w:hint="eastAsia" w:hAnsi="宋体"/>
                <w:color w:val="auto"/>
                <w:kern w:val="0"/>
                <w:sz w:val="24"/>
                <w:vertAlign w:val="superscript"/>
              </w:rPr>
              <w:t>2</w:t>
            </w:r>
            <w:r>
              <w:rPr>
                <w:rFonts w:hint="eastAsia" w:hAnsi="宋体"/>
                <w:color w:val="auto"/>
                <w:kern w:val="0"/>
                <w:sz w:val="24"/>
              </w:rPr>
              <w:t>铝合金门窗加工生产项目环境影响报告表》的审批意见</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安徽常宇门窗有限公司</w:t>
            </w:r>
            <w:r>
              <w:rPr>
                <w:rFonts w:hint="eastAsia" w:hAnsi="宋体"/>
                <w:color w:val="auto"/>
                <w:kern w:val="0"/>
                <w:sz w:val="24"/>
                <w:lang w:eastAsia="zh-CN"/>
              </w:rPr>
              <w:t>：</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你公司报来的《年产7.5万m</w:t>
            </w:r>
            <w:r>
              <w:rPr>
                <w:rFonts w:hint="eastAsia" w:hAnsi="宋体"/>
                <w:color w:val="auto"/>
                <w:kern w:val="0"/>
                <w:sz w:val="24"/>
                <w:vertAlign w:val="superscript"/>
              </w:rPr>
              <w:t>2</w:t>
            </w:r>
            <w:r>
              <w:rPr>
                <w:rFonts w:hint="eastAsia" w:hAnsi="宋体"/>
                <w:color w:val="auto"/>
                <w:kern w:val="0"/>
                <w:sz w:val="24"/>
              </w:rPr>
              <w:t>铝合金门窗加工生产项目环境影响报告表》及要求我局审批的《报告</w:t>
            </w:r>
            <w:r>
              <w:rPr>
                <w:rFonts w:hint="eastAsia" w:hAnsi="宋体"/>
                <w:color w:val="auto"/>
                <w:kern w:val="0"/>
                <w:sz w:val="24"/>
                <w:lang w:eastAsia="zh-CN"/>
              </w:rPr>
              <w:t>》</w:t>
            </w:r>
            <w:r>
              <w:rPr>
                <w:rFonts w:hint="eastAsia" w:hAnsi="宋体"/>
                <w:color w:val="auto"/>
                <w:kern w:val="0"/>
                <w:sz w:val="24"/>
              </w:rPr>
              <w:t>悉。经现场勘验、审核，审批意见如下</w:t>
            </w:r>
            <w:r>
              <w:rPr>
                <w:rFonts w:hint="eastAsia" w:hAnsi="宋体"/>
                <w:color w:val="auto"/>
                <w:kern w:val="0"/>
                <w:sz w:val="24"/>
                <w:lang w:eastAsia="zh-CN"/>
              </w:rPr>
              <w:t>：</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拟建项</w:t>
            </w:r>
            <w:r>
              <w:rPr>
                <w:rFonts w:hint="eastAsia" w:hAnsi="宋体"/>
                <w:color w:val="auto"/>
                <w:kern w:val="0"/>
                <w:sz w:val="24"/>
                <w:lang w:val="en-US" w:eastAsia="zh-CN"/>
              </w:rPr>
              <w:t>目</w:t>
            </w:r>
            <w:r>
              <w:rPr>
                <w:rFonts w:hint="eastAsia" w:hAnsi="宋体"/>
                <w:color w:val="auto"/>
                <w:kern w:val="0"/>
                <w:sz w:val="24"/>
              </w:rPr>
              <w:t>位于肥西县桃花工业园繁华大道与方兴大道交口东南侧，系租赁合肥海事达机械部件有限责任公司现有厂房建设本项目。项目总建筑面积600平方米，总投资为5</w:t>
            </w:r>
            <w:r>
              <w:rPr>
                <w:rFonts w:hint="eastAsia" w:hAnsi="宋体"/>
                <w:color w:val="auto"/>
                <w:kern w:val="0"/>
                <w:sz w:val="24"/>
                <w:lang w:val="en-US" w:eastAsia="zh-CN"/>
              </w:rPr>
              <w:t>00</w:t>
            </w:r>
            <w:r>
              <w:rPr>
                <w:rFonts w:hint="eastAsia" w:hAnsi="宋体"/>
                <w:color w:val="auto"/>
                <w:kern w:val="0"/>
                <w:sz w:val="24"/>
              </w:rPr>
              <w:t>万元，环保投资为7万元。本项目主要建设内容为：在生产车间设置生产设备及配套的辅助工程和公用工程。项</w:t>
            </w:r>
            <w:r>
              <w:rPr>
                <w:rFonts w:hint="eastAsia" w:hAnsi="宋体"/>
                <w:color w:val="auto"/>
                <w:kern w:val="0"/>
                <w:sz w:val="24"/>
                <w:lang w:val="en-US" w:eastAsia="zh-CN"/>
              </w:rPr>
              <w:t>目</w:t>
            </w:r>
            <w:r>
              <w:rPr>
                <w:rFonts w:hint="eastAsia" w:hAnsi="宋体"/>
                <w:color w:val="auto"/>
                <w:kern w:val="0"/>
                <w:sz w:val="24"/>
              </w:rPr>
              <w:t>建成投产后，可形成年产铝合金门窗7.5万m</w:t>
            </w:r>
            <w:r>
              <w:rPr>
                <w:rFonts w:hint="eastAsia" w:hAnsi="宋体"/>
                <w:color w:val="auto"/>
                <w:kern w:val="0"/>
                <w:sz w:val="24"/>
                <w:vertAlign w:val="superscript"/>
                <w:lang w:val="en-US" w:eastAsia="zh-CN"/>
              </w:rPr>
              <w:t>2</w:t>
            </w:r>
            <w:r>
              <w:rPr>
                <w:rFonts w:hint="eastAsia" w:hAnsi="宋体"/>
                <w:color w:val="auto"/>
                <w:kern w:val="0"/>
                <w:sz w:val="24"/>
              </w:rPr>
              <w:t>的生产规模。</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原则同意江苏苏辰勘探设计研究院有限公司编制的《年产7.5万m</w:t>
            </w:r>
            <w:r>
              <w:rPr>
                <w:rFonts w:hint="eastAsia" w:hAnsi="宋体"/>
                <w:color w:val="auto"/>
                <w:kern w:val="0"/>
                <w:sz w:val="24"/>
                <w:vertAlign w:val="superscript"/>
                <w:lang w:val="en-US" w:eastAsia="zh-CN"/>
              </w:rPr>
              <w:t>2</w:t>
            </w:r>
            <w:r>
              <w:rPr>
                <w:rFonts w:hint="eastAsia" w:hAnsi="宋体"/>
                <w:color w:val="auto"/>
                <w:kern w:val="0"/>
                <w:sz w:val="24"/>
              </w:rPr>
              <w:t>铝合金门窗加工生产项目环境影响报告表》主要内容及</w:t>
            </w:r>
            <w:r>
              <w:rPr>
                <w:rFonts w:hint="eastAsia" w:hAnsi="宋体"/>
                <w:color w:val="auto"/>
                <w:kern w:val="0"/>
                <w:sz w:val="24"/>
                <w:lang w:val="en-US" w:eastAsia="zh-CN"/>
              </w:rPr>
              <w:t>评价</w:t>
            </w:r>
            <w:r>
              <w:rPr>
                <w:rFonts w:hint="eastAsia" w:hAnsi="宋体"/>
                <w:color w:val="auto"/>
                <w:kern w:val="0"/>
                <w:sz w:val="24"/>
              </w:rPr>
              <w:t>结论。在符合肥西县桃花工业园总体规划，认真落实环评文件提出的各项污染防治措施、污染物均可达标排放的前提下，同意按照环评文件所列地点、规模、性质及污染防治措施建设。</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未经批准，不得擅自扩大生产规模、改变生产工艺和环境保护对策措施。若工程建设存在重大变更，必须严格依照《环境影响评价法》第二十四条的有关规定办理相关手续。</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二、为保护区域环境质量不因本项目建设而降低，要求项目在建设过程中必须做到</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1、项目区域采取"雨污分流"排水体系。生活废水、保洁废水经化粪池预处理后，由规范化排污口达标排入市政污水管网。</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2、本项目生产过程中打胶和晾干工序产生的有机废气经集气</w:t>
            </w:r>
            <w:r>
              <w:rPr>
                <w:rFonts w:hint="eastAsia" w:hAnsi="宋体"/>
                <w:color w:val="auto"/>
                <w:kern w:val="0"/>
                <w:sz w:val="24"/>
                <w:lang w:val="en-US" w:eastAsia="zh-CN"/>
              </w:rPr>
              <w:t>罩</w:t>
            </w:r>
            <w:r>
              <w:rPr>
                <w:rFonts w:hint="eastAsia" w:hAnsi="宋体"/>
                <w:color w:val="auto"/>
                <w:kern w:val="0"/>
                <w:sz w:val="24"/>
              </w:rPr>
              <w:t>收集后由活性炭+UV光解装置进行处理，处理后的废气通过1根15米高的排气筒达标外排。</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本项目环评设置的环境防护距离50米范围内，建设单位应告知并建议当地政府或主管部门，在此范围内不再规划建设学校、住宅、医院等对大气环境要求较高的环境敏感项目。</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3、合理项目区布局。逸用低噪声设备，同时对主要产噪生产设备采取隔声、减振等措施，确保噪声达标排放，避免噪声扰民。</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4、固</w:t>
            </w:r>
            <w:r>
              <w:rPr>
                <w:rFonts w:hint="eastAsia" w:hAnsi="宋体"/>
                <w:color w:val="auto"/>
                <w:kern w:val="0"/>
                <w:sz w:val="24"/>
                <w:lang w:val="en-US" w:eastAsia="zh-CN"/>
              </w:rPr>
              <w:t>体</w:t>
            </w:r>
            <w:r>
              <w:rPr>
                <w:rFonts w:hint="eastAsia" w:hAnsi="宋体"/>
                <w:color w:val="auto"/>
                <w:kern w:val="0"/>
                <w:sz w:val="24"/>
              </w:rPr>
              <w:t>物应分类收集。生产过程中产生废边角料集中收集后</w:t>
            </w:r>
            <w:r>
              <w:rPr>
                <w:rFonts w:hint="eastAsia" w:hAnsi="宋体"/>
                <w:color w:val="auto"/>
                <w:kern w:val="0"/>
                <w:sz w:val="24"/>
                <w:lang w:val="en-US" w:eastAsia="zh-CN"/>
              </w:rPr>
              <w:t>由专业</w:t>
            </w:r>
            <w:r>
              <w:rPr>
                <w:rFonts w:hint="eastAsia" w:hAnsi="宋体"/>
                <w:color w:val="auto"/>
                <w:kern w:val="0"/>
                <w:sz w:val="24"/>
              </w:rPr>
              <w:t>回收公司回收利用；废活性炭、废</w:t>
            </w:r>
            <w:r>
              <w:rPr>
                <w:rFonts w:hint="eastAsia" w:hAnsi="宋体"/>
                <w:color w:val="auto"/>
                <w:kern w:val="0"/>
                <w:sz w:val="24"/>
                <w:lang w:val="en-US" w:eastAsia="zh-CN"/>
              </w:rPr>
              <w:t>UV</w:t>
            </w:r>
            <w:r>
              <w:rPr>
                <w:rFonts w:hint="eastAsia" w:hAnsi="宋体"/>
                <w:color w:val="auto"/>
                <w:kern w:val="0"/>
                <w:sz w:val="24"/>
              </w:rPr>
              <w:t>灯管、废胶桶等属危险固废，应按环评要求设定专门存储场所或贮存物妥善收集存放，及时转送有资质处置</w:t>
            </w:r>
            <w:r>
              <w:rPr>
                <w:rFonts w:hint="eastAsia" w:hAnsi="宋体"/>
                <w:color w:val="auto"/>
                <w:kern w:val="0"/>
                <w:sz w:val="24"/>
                <w:lang w:val="en-US" w:eastAsia="zh-CN"/>
              </w:rPr>
              <w:t>单</w:t>
            </w:r>
            <w:r>
              <w:rPr>
                <w:rFonts w:hint="eastAsia" w:hAnsi="宋体"/>
                <w:color w:val="auto"/>
                <w:kern w:val="0"/>
                <w:sz w:val="24"/>
              </w:rPr>
              <w:t>位处置生活垃圾袋装化处理后由环卫部</w:t>
            </w:r>
            <w:r>
              <w:rPr>
                <w:rFonts w:hint="eastAsia" w:hAnsi="宋体"/>
                <w:color w:val="auto"/>
                <w:kern w:val="0"/>
                <w:sz w:val="24"/>
                <w:lang w:val="en-US" w:eastAsia="zh-CN"/>
              </w:rPr>
              <w:t>门</w:t>
            </w:r>
            <w:r>
              <w:rPr>
                <w:rFonts w:hint="eastAsia" w:hAnsi="宋体"/>
                <w:color w:val="auto"/>
                <w:kern w:val="0"/>
                <w:sz w:val="24"/>
              </w:rPr>
              <w:t>及时清运处置。</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三、项目建设单位在项目实施过程中要严格执行国家环保</w:t>
            </w:r>
            <w:r>
              <w:rPr>
                <w:rFonts w:hint="eastAsia" w:hAnsi="宋体"/>
                <w:color w:val="auto"/>
                <w:kern w:val="0"/>
                <w:sz w:val="24"/>
                <w:lang w:eastAsia="zh-CN"/>
              </w:rPr>
              <w:t>“</w:t>
            </w:r>
            <w:r>
              <w:rPr>
                <w:rFonts w:hint="eastAsia" w:hAnsi="宋体"/>
                <w:color w:val="auto"/>
                <w:kern w:val="0"/>
                <w:sz w:val="24"/>
                <w:lang w:val="en-US" w:eastAsia="zh-CN"/>
              </w:rPr>
              <w:t>三</w:t>
            </w:r>
            <w:r>
              <w:rPr>
                <w:rFonts w:hint="eastAsia" w:hAnsi="宋体"/>
                <w:color w:val="auto"/>
                <w:kern w:val="0"/>
                <w:sz w:val="24"/>
              </w:rPr>
              <w:t>同时</w:t>
            </w:r>
            <w:r>
              <w:rPr>
                <w:rFonts w:hint="eastAsia" w:hAnsi="宋体"/>
                <w:color w:val="auto"/>
                <w:kern w:val="0"/>
                <w:sz w:val="24"/>
                <w:lang w:eastAsia="zh-CN"/>
              </w:rPr>
              <w:t>”</w:t>
            </w:r>
            <w:r>
              <w:rPr>
                <w:rFonts w:hint="eastAsia" w:hAnsi="宋体"/>
                <w:color w:val="auto"/>
                <w:kern w:val="0"/>
                <w:sz w:val="24"/>
              </w:rPr>
              <w:t>制度</w:t>
            </w:r>
            <w:r>
              <w:rPr>
                <w:rFonts w:hint="eastAsia" w:hAnsi="宋体"/>
                <w:color w:val="auto"/>
                <w:kern w:val="0"/>
                <w:sz w:val="24"/>
                <w:lang w:eastAsia="zh-CN"/>
              </w:rPr>
              <w:t>。</w:t>
            </w:r>
            <w:r>
              <w:rPr>
                <w:rFonts w:hint="eastAsia" w:hAnsi="宋体"/>
                <w:color w:val="auto"/>
                <w:kern w:val="0"/>
                <w:sz w:val="24"/>
              </w:rPr>
              <w:t>项目竣工后在规定时间内组织验收，合格后方可生产。</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四、环境质量标准和污染物排放执行标准。</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1、环境质量标准</w:t>
            </w:r>
          </w:p>
          <w:p>
            <w:pPr>
              <w:adjustRightInd w:val="0"/>
              <w:snapToGrid w:val="0"/>
              <w:spacing w:line="360" w:lineRule="auto"/>
              <w:ind w:firstLine="480" w:firstLineChars="200"/>
              <w:jc w:val="left"/>
              <w:rPr>
                <w:rFonts w:hint="eastAsia" w:hAnsi="宋体" w:eastAsia="宋体"/>
                <w:color w:val="auto"/>
                <w:kern w:val="0"/>
                <w:sz w:val="24"/>
                <w:lang w:eastAsia="zh-CN"/>
              </w:rPr>
            </w:pPr>
            <w:r>
              <w:rPr>
                <w:rFonts w:hint="eastAsia" w:hAnsi="宋体"/>
                <w:color w:val="auto"/>
                <w:kern w:val="0"/>
                <w:sz w:val="24"/>
              </w:rPr>
              <w:t>地表水派河执行《地表水环境质量标准》(GB3838-2002)中IV类标准</w:t>
            </w:r>
            <w:r>
              <w:rPr>
                <w:rFonts w:hint="eastAsia" w:hAnsi="宋体"/>
                <w:color w:val="auto"/>
                <w:kern w:val="0"/>
                <w:sz w:val="24"/>
                <w:lang w:eastAsia="zh-CN"/>
              </w:rPr>
              <w:t>；</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空气环境执行《环境空气质量标准》(GB3095-2012)二级标准；</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区域声环境执行《声环境质量标准》(GB3096-2008)3类区标准。</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2、污染物排放标准</w:t>
            </w:r>
          </w:p>
          <w:p>
            <w:pPr>
              <w:adjustRightInd w:val="0"/>
              <w:snapToGrid w:val="0"/>
              <w:spacing w:line="360" w:lineRule="auto"/>
              <w:ind w:firstLine="480" w:firstLineChars="200"/>
              <w:jc w:val="left"/>
              <w:rPr>
                <w:rFonts w:hint="eastAsia" w:hAnsi="宋体" w:eastAsia="宋体"/>
                <w:color w:val="auto"/>
                <w:kern w:val="0"/>
                <w:sz w:val="24"/>
                <w:lang w:eastAsia="zh-CN"/>
              </w:rPr>
            </w:pPr>
            <w:r>
              <w:rPr>
                <w:rFonts w:hint="eastAsia" w:hAnsi="宋体"/>
                <w:color w:val="auto"/>
                <w:kern w:val="0"/>
                <w:sz w:val="24"/>
              </w:rPr>
              <w:t>废水排放执行拟接入污水处理厂接管要求</w:t>
            </w:r>
            <w:r>
              <w:rPr>
                <w:rFonts w:hint="eastAsia" w:hAnsi="宋体"/>
                <w:color w:val="auto"/>
                <w:kern w:val="0"/>
                <w:sz w:val="24"/>
                <w:lang w:eastAsia="zh-CN"/>
              </w:rPr>
              <w:t>；</w:t>
            </w:r>
          </w:p>
          <w:p>
            <w:pPr>
              <w:adjustRightInd w:val="0"/>
              <w:snapToGrid w:val="0"/>
              <w:spacing w:line="360" w:lineRule="auto"/>
              <w:ind w:firstLine="480" w:firstLineChars="200"/>
              <w:jc w:val="left"/>
              <w:rPr>
                <w:rFonts w:hint="eastAsia" w:hAnsi="宋体" w:eastAsia="宋体"/>
                <w:color w:val="auto"/>
                <w:kern w:val="0"/>
                <w:sz w:val="24"/>
                <w:lang w:eastAsia="zh-CN"/>
              </w:rPr>
            </w:pPr>
            <w:r>
              <w:rPr>
                <w:rFonts w:hint="eastAsia" w:hAnsi="宋体"/>
                <w:color w:val="auto"/>
                <w:kern w:val="0"/>
                <w:sz w:val="24"/>
              </w:rPr>
              <w:t>大气污染物非甲烷总烃排放执行《大气染物综合排放标准》(GB16297-1996)表2中二级标准</w:t>
            </w:r>
            <w:r>
              <w:rPr>
                <w:rFonts w:hint="eastAsia" w:hAnsi="宋体"/>
                <w:color w:val="auto"/>
                <w:kern w:val="0"/>
                <w:sz w:val="24"/>
                <w:lang w:eastAsia="zh-CN"/>
              </w:rPr>
              <w:t>；</w:t>
            </w:r>
          </w:p>
          <w:p>
            <w:pPr>
              <w:adjustRightInd w:val="0"/>
              <w:snapToGrid w:val="0"/>
              <w:spacing w:line="360" w:lineRule="auto"/>
              <w:ind w:firstLine="480" w:firstLineChars="200"/>
              <w:jc w:val="left"/>
              <w:rPr>
                <w:rFonts w:hint="eastAsia" w:hAnsi="宋体" w:eastAsia="宋体"/>
                <w:color w:val="auto"/>
                <w:kern w:val="0"/>
                <w:sz w:val="24"/>
                <w:lang w:eastAsia="zh-CN"/>
              </w:rPr>
            </w:pPr>
            <w:r>
              <w:rPr>
                <w:rFonts w:hint="eastAsia" w:hAnsi="宋体"/>
                <w:color w:val="auto"/>
                <w:kern w:val="0"/>
                <w:sz w:val="24"/>
              </w:rPr>
              <w:t>营运期厂界噪声排放执行《工业企业厂界环境噪声排放标准》(GB12348-2008)中的2类区标准</w:t>
            </w:r>
            <w:r>
              <w:rPr>
                <w:rFonts w:hint="eastAsia" w:hAnsi="宋体"/>
                <w:color w:val="auto"/>
                <w:kern w:val="0"/>
                <w:sz w:val="24"/>
                <w:lang w:eastAsia="zh-CN"/>
              </w:rPr>
              <w:t>；</w:t>
            </w:r>
          </w:p>
          <w:p>
            <w:pPr>
              <w:adjustRightInd w:val="0"/>
              <w:snapToGrid w:val="0"/>
              <w:spacing w:line="360" w:lineRule="auto"/>
              <w:ind w:firstLine="480" w:firstLineChars="200"/>
              <w:jc w:val="left"/>
              <w:rPr>
                <w:rFonts w:hint="eastAsia" w:hAnsi="宋体"/>
                <w:color w:val="auto"/>
                <w:kern w:val="0"/>
                <w:sz w:val="24"/>
              </w:rPr>
            </w:pPr>
            <w:r>
              <w:rPr>
                <w:rFonts w:hint="eastAsia" w:hAnsi="宋体"/>
                <w:color w:val="auto"/>
                <w:kern w:val="0"/>
                <w:sz w:val="24"/>
              </w:rPr>
              <w:t>一般固废执行《一般工业固体废物贮存、处置场污染物控制标准》(GB18599-2001)，危险废物临时贮存执行《危险废物贮存污染控制标准》(GB18597-2001)，以及环保部公告2013年第36号规定的修群单中</w:t>
            </w:r>
            <w:r>
              <w:rPr>
                <w:rFonts w:hint="eastAsia" w:hAnsi="宋体"/>
                <w:color w:val="auto"/>
                <w:kern w:val="0"/>
                <w:sz w:val="24"/>
                <w:lang w:val="en-US" w:eastAsia="zh-CN"/>
              </w:rPr>
              <w:t>相关</w:t>
            </w:r>
            <w:r>
              <w:rPr>
                <w:rFonts w:hint="eastAsia" w:hAnsi="宋体"/>
                <w:color w:val="auto"/>
                <w:kern w:val="0"/>
                <w:sz w:val="24"/>
              </w:rPr>
              <w:t>要求。</w:t>
            </w:r>
          </w:p>
          <w:p>
            <w:pPr>
              <w:adjustRightInd w:val="0"/>
              <w:snapToGrid w:val="0"/>
              <w:spacing w:line="360" w:lineRule="auto"/>
              <w:ind w:firstLine="6720" w:firstLineChars="2800"/>
              <w:jc w:val="left"/>
              <w:rPr>
                <w:rFonts w:hint="eastAsia" w:eastAsia="宋体"/>
                <w:color w:val="FF0000"/>
                <w:sz w:val="24"/>
                <w:lang w:eastAsia="zh-CN"/>
              </w:rPr>
            </w:pPr>
            <w:r>
              <w:rPr>
                <w:rFonts w:hint="eastAsia" w:hAnsi="宋体"/>
                <w:color w:val="auto"/>
                <w:kern w:val="0"/>
                <w:sz w:val="24"/>
              </w:rPr>
              <w:t>二O一九年八月二十日</w:t>
            </w:r>
          </w:p>
        </w:tc>
      </w:tr>
    </w:tbl>
    <w:p>
      <w:pPr>
        <w:rPr>
          <w:b/>
          <w:sz w:val="28"/>
          <w:szCs w:val="28"/>
        </w:rPr>
      </w:pPr>
      <w:r>
        <w:rPr>
          <w:rFonts w:hint="eastAsia"/>
          <w:b/>
          <w:sz w:val="28"/>
          <w:szCs w:val="28"/>
        </w:rPr>
        <w:t>表五、验收监测分析方法、质量保证及质量控制</w:t>
      </w:r>
    </w:p>
    <w:tbl>
      <w:tblPr>
        <w:tblStyle w:val="15"/>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7" w:hRule="atLeast"/>
          <w:jc w:val="center"/>
        </w:trPr>
        <w:tc>
          <w:tcPr>
            <w:tcW w:w="9220"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b/>
                <w:bCs/>
                <w:sz w:val="28"/>
                <w:szCs w:val="28"/>
              </w:rPr>
            </w:pPr>
            <w:r>
              <w:rPr>
                <w:rFonts w:hint="eastAsia"/>
                <w:b/>
                <w:bCs/>
                <w:sz w:val="28"/>
                <w:szCs w:val="28"/>
              </w:rPr>
              <w:t>5</w:t>
            </w:r>
            <w:r>
              <w:rPr>
                <w:b/>
                <w:bCs/>
                <w:sz w:val="28"/>
                <w:szCs w:val="28"/>
              </w:rPr>
              <w:t>.1、监测分析方法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b/>
                <w:bCs/>
                <w:sz w:val="28"/>
                <w:szCs w:val="28"/>
              </w:rPr>
            </w:pPr>
            <w:r>
              <w:rPr>
                <w:sz w:val="24"/>
              </w:rPr>
              <w:t>本次验收监测中，样品采集及分析均采用国标（或推荐）方法。所使用的仪器全部经过计量检定合格并在有效期内。监测分析方法详见表</w:t>
            </w:r>
            <w:r>
              <w:rPr>
                <w:rFonts w:hint="eastAsia"/>
                <w:sz w:val="24"/>
              </w:rPr>
              <w:t>5</w:t>
            </w:r>
            <w:r>
              <w:rPr>
                <w:sz w:val="24"/>
              </w:rPr>
              <w:t>-1。</w:t>
            </w: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outlineLvl w:val="9"/>
              <w:rPr>
                <w:b/>
                <w:bCs w:val="0"/>
                <w:szCs w:val="21"/>
              </w:rPr>
            </w:pPr>
            <w:r>
              <w:rPr>
                <w:b/>
                <w:bCs w:val="0"/>
                <w:szCs w:val="21"/>
              </w:rPr>
              <w:t>表</w:t>
            </w:r>
            <w:r>
              <w:rPr>
                <w:rFonts w:hint="eastAsia"/>
                <w:b/>
                <w:bCs w:val="0"/>
                <w:szCs w:val="21"/>
              </w:rPr>
              <w:t>5</w:t>
            </w:r>
            <w:r>
              <w:rPr>
                <w:b/>
                <w:bCs w:val="0"/>
                <w:szCs w:val="21"/>
              </w:rPr>
              <w:t>-1</w:t>
            </w:r>
            <w:r>
              <w:rPr>
                <w:rFonts w:hint="eastAsia"/>
                <w:b/>
                <w:bCs w:val="0"/>
                <w:szCs w:val="21"/>
                <w:lang w:val="en-US" w:eastAsia="zh-CN"/>
              </w:rPr>
              <w:t xml:space="preserve">  </w:t>
            </w:r>
            <w:r>
              <w:rPr>
                <w:b/>
                <w:bCs w:val="0"/>
                <w:szCs w:val="21"/>
              </w:rPr>
              <w:t>监测分析方法</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1558"/>
              <w:gridCol w:w="451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样品类别</w:t>
                  </w:r>
                </w:p>
              </w:tc>
              <w:tc>
                <w:tcPr>
                  <w:tcW w:w="866"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检测项目</w:t>
                  </w:r>
                </w:p>
              </w:tc>
              <w:tc>
                <w:tcPr>
                  <w:tcW w:w="2509"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检测标准（方法）名称及编号</w:t>
                  </w:r>
                </w:p>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（含年号）</w:t>
                  </w:r>
                </w:p>
              </w:tc>
              <w:tc>
                <w:tcPr>
                  <w:tcW w:w="725"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噪声</w:t>
                  </w:r>
                </w:p>
              </w:tc>
              <w:tc>
                <w:tcPr>
                  <w:tcW w:w="866" w:type="pct"/>
                  <w:noWrap w:val="0"/>
                  <w:vAlign w:val="center"/>
                </w:tcPr>
                <w:p>
                  <w:pPr>
                    <w:widowControl/>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b w:val="0"/>
                      <w:bCs w:val="0"/>
                      <w:sz w:val="21"/>
                      <w:szCs w:val="21"/>
                    </w:rPr>
                    <w:t>厂界噪声</w:t>
                  </w:r>
                </w:p>
              </w:tc>
              <w:tc>
                <w:tcPr>
                  <w:tcW w:w="250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eastAsia="宋体" w:cs="Times New Roman"/>
                      <w:b w:val="0"/>
                      <w:bCs w:val="0"/>
                      <w:i w:val="0"/>
                      <w:color w:val="000000"/>
                      <w:kern w:val="0"/>
                      <w:sz w:val="21"/>
                      <w:szCs w:val="21"/>
                      <w:u w:val="none"/>
                      <w:lang w:val="en-US" w:eastAsia="zh-CN" w:bidi="ar"/>
                    </w:rPr>
                    <w:t xml:space="preserve">《工业企业厂界环境噪声排放标准》  </w:t>
                  </w:r>
                  <w:r>
                    <w:rPr>
                      <w:rFonts w:hint="default" w:ascii="Times New Roman" w:hAnsi="Times New Roman" w:eastAsia="宋体" w:cs="Times New Roman"/>
                      <w:b w:val="0"/>
                      <w:bCs w:val="0"/>
                      <w:i w:val="0"/>
                      <w:color w:val="000000"/>
                      <w:kern w:val="0"/>
                      <w:sz w:val="21"/>
                      <w:szCs w:val="21"/>
                      <w:u w:val="none"/>
                      <w:lang w:val="en-US" w:eastAsia="zh-CN" w:bidi="ar"/>
                    </w:rPr>
                    <w:br w:type="textWrapping"/>
                  </w:r>
                  <w:r>
                    <w:rPr>
                      <w:rFonts w:hint="default" w:ascii="Times New Roman" w:hAnsi="Times New Roman" w:eastAsia="宋体" w:cs="Times New Roman"/>
                      <w:b w:val="0"/>
                      <w:bCs w:val="0"/>
                      <w:i w:val="0"/>
                      <w:color w:val="000000"/>
                      <w:kern w:val="0"/>
                      <w:sz w:val="21"/>
                      <w:szCs w:val="21"/>
                      <w:u w:val="none"/>
                      <w:lang w:val="en-US" w:eastAsia="zh-CN" w:bidi="ar"/>
                    </w:rPr>
                    <w:t xml:space="preserve"> GB 12348-2008</w:t>
                  </w:r>
                </w:p>
              </w:tc>
              <w:tc>
                <w:tcPr>
                  <w:tcW w:w="725" w:type="pct"/>
                  <w:noWrap w:val="0"/>
                  <w:vAlign w:val="center"/>
                </w:tcPr>
                <w:p>
                  <w:pPr>
                    <w:widowControl/>
                    <w:jc w:val="center"/>
                    <w:textAlignment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b w:val="0"/>
                      <w:bCs w:val="0"/>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vMerge w:val="restart"/>
                  <w:noWrap w:val="0"/>
                  <w:vAlign w:val="center"/>
                </w:tcPr>
                <w:p>
                  <w:pPr>
                    <w:jc w:val="center"/>
                    <w:rPr>
                      <w:rFonts w:hint="eastAsia"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废水</w:t>
                  </w:r>
                </w:p>
              </w:tc>
              <w:tc>
                <w:tcPr>
                  <w:tcW w:w="866" w:type="pct"/>
                  <w:noWrap w:val="0"/>
                  <w:vAlign w:val="center"/>
                </w:tcPr>
                <w:p>
                  <w:pPr>
                    <w:jc w:val="center"/>
                    <w:rPr>
                      <w:rFonts w:hint="default" w:ascii="Times New Roman" w:hAnsi="Times New Roman" w:cs="Times New Roman"/>
                      <w:b w:val="0"/>
                      <w:bCs w:val="0"/>
                      <w:sz w:val="21"/>
                      <w:szCs w:val="21"/>
                    </w:rPr>
                  </w:pPr>
                  <w:r>
                    <w:rPr>
                      <w:rFonts w:hint="default" w:ascii="Times New Roman" w:hAnsi="Times New Roman" w:cs="Times New Roman"/>
                      <w:color w:val="auto"/>
                      <w:sz w:val="21"/>
                      <w:szCs w:val="21"/>
                    </w:rPr>
                    <w:t>pH</w:t>
                  </w:r>
                </w:p>
              </w:tc>
              <w:tc>
                <w:tcPr>
                  <w:tcW w:w="2509" w:type="pct"/>
                  <w:noWrap w:val="0"/>
                  <w:vAlign w:val="center"/>
                </w:tcPr>
                <w:p>
                  <w:pPr>
                    <w:widowControl/>
                    <w:jc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color w:val="auto"/>
                      <w:sz w:val="21"/>
                      <w:szCs w:val="21"/>
                    </w:rPr>
                    <w:t>GB/T6920-1986</w:t>
                  </w:r>
                  <w:r>
                    <w:rPr>
                      <w:rFonts w:hint="default" w:ascii="Times New Roman" w:hAnsi="Times New Roman" w:cs="Times New Roman"/>
                      <w:color w:val="auto"/>
                      <w:szCs w:val="21"/>
                    </w:rPr>
                    <w:t xml:space="preserve">水质 PH值的测定 </w:t>
                  </w:r>
                  <w:r>
                    <w:rPr>
                      <w:rFonts w:hint="default" w:ascii="Times New Roman" w:hAnsi="Times New Roman" w:cs="Times New Roman"/>
                      <w:color w:val="auto"/>
                      <w:sz w:val="21"/>
                      <w:szCs w:val="21"/>
                      <w:shd w:val="clear" w:color="auto" w:fill="auto"/>
                    </w:rPr>
                    <w:t>玻璃电极法</w:t>
                  </w:r>
                </w:p>
              </w:tc>
              <w:tc>
                <w:tcPr>
                  <w:tcW w:w="725" w:type="pct"/>
                  <w:noWrap w:val="0"/>
                  <w:vAlign w:val="center"/>
                </w:tcPr>
                <w:p>
                  <w:pPr>
                    <w:widowControl/>
                    <w:jc w:val="center"/>
                    <w:rPr>
                      <w:rFonts w:hint="default" w:ascii="Times New Roman" w:hAnsi="Times New Roman" w:cs="Times New Roman"/>
                      <w:b w:val="0"/>
                      <w:bCs w:val="0"/>
                      <w:color w:val="000000"/>
                      <w:kern w:val="0"/>
                      <w:sz w:val="21"/>
                      <w:szCs w:val="21"/>
                      <w:lang w:bidi="ar"/>
                    </w:rPr>
                  </w:pPr>
                  <w:r>
                    <w:rPr>
                      <w:rFonts w:hint="default" w:ascii="Times New Roman" w:hAnsi="Times New Roman" w:cs="Times New Roman"/>
                      <w:color w:val="auto"/>
                      <w:sz w:val="21"/>
                      <w:szCs w:val="21"/>
                    </w:rPr>
                    <w:t>pH</w:t>
                  </w:r>
                  <w:r>
                    <w:rPr>
                      <w:rFonts w:hint="default" w:ascii="Times New Roman" w:hAnsi="Times New Roman" w:cs="Times New Roman"/>
                      <w:color w:val="auto"/>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vMerge w:val="continue"/>
                  <w:noWrap w:val="0"/>
                  <w:vAlign w:val="center"/>
                </w:tcPr>
                <w:p>
                  <w:pPr>
                    <w:jc w:val="center"/>
                    <w:rPr>
                      <w:rFonts w:hint="default" w:ascii="Times New Roman" w:hAnsi="Times New Roman" w:cs="Times New Roman"/>
                      <w:b w:val="0"/>
                      <w:bCs w:val="0"/>
                      <w:sz w:val="21"/>
                      <w:szCs w:val="21"/>
                    </w:rPr>
                  </w:pPr>
                </w:p>
              </w:tc>
              <w:tc>
                <w:tcPr>
                  <w:tcW w:w="866" w:type="pct"/>
                  <w:noWrap w:val="0"/>
                  <w:vAlign w:val="center"/>
                </w:tcPr>
                <w:p>
                  <w:pPr>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color w:val="auto"/>
                      <w:szCs w:val="21"/>
                    </w:rPr>
                    <w:t>SS</w:t>
                  </w:r>
                </w:p>
              </w:tc>
              <w:tc>
                <w:tcPr>
                  <w:tcW w:w="2509" w:type="pct"/>
                  <w:noWrap w:val="0"/>
                  <w:vAlign w:val="center"/>
                </w:tcPr>
                <w:p>
                  <w:pPr>
                    <w:spacing w:line="240" w:lineRule="auto"/>
                    <w:jc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color w:val="auto"/>
                      <w:szCs w:val="21"/>
                    </w:rPr>
                    <w:t>GB 11901-89水质  悬浮物的测定  重量法</w:t>
                  </w:r>
                </w:p>
              </w:tc>
              <w:tc>
                <w:tcPr>
                  <w:tcW w:w="725" w:type="pct"/>
                  <w:noWrap w:val="0"/>
                  <w:vAlign w:val="center"/>
                </w:tcPr>
                <w:p>
                  <w:pPr>
                    <w:spacing w:line="240" w:lineRule="auto"/>
                    <w:jc w:val="center"/>
                    <w:rPr>
                      <w:rFonts w:hint="default" w:ascii="Times New Roman" w:hAnsi="Times New Roman" w:cs="Times New Roman"/>
                      <w:b w:val="0"/>
                      <w:bCs w:val="0"/>
                      <w:color w:val="000000"/>
                      <w:kern w:val="0"/>
                      <w:sz w:val="21"/>
                      <w:szCs w:val="21"/>
                      <w:lang w:bidi="ar"/>
                    </w:rPr>
                  </w:pPr>
                  <w:r>
                    <w:rPr>
                      <w:rFonts w:hint="default" w:ascii="Times New Roman" w:hAnsi="Times New Roman" w:cs="Times New Roman"/>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vMerge w:val="continue"/>
                  <w:noWrap w:val="0"/>
                  <w:vAlign w:val="center"/>
                </w:tcPr>
                <w:p>
                  <w:pPr>
                    <w:jc w:val="center"/>
                    <w:rPr>
                      <w:rFonts w:hint="default" w:ascii="Times New Roman" w:hAnsi="Times New Roman" w:cs="Times New Roman"/>
                      <w:b w:val="0"/>
                      <w:bCs w:val="0"/>
                      <w:sz w:val="21"/>
                      <w:szCs w:val="21"/>
                    </w:rPr>
                  </w:pPr>
                </w:p>
              </w:tc>
              <w:tc>
                <w:tcPr>
                  <w:tcW w:w="866" w:type="pct"/>
                  <w:noWrap w:val="0"/>
                  <w:vAlign w:val="center"/>
                </w:tcPr>
                <w:p>
                  <w:pPr>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color w:val="auto"/>
                      <w:szCs w:val="21"/>
                    </w:rPr>
                    <w:t>COD</w:t>
                  </w:r>
                </w:p>
              </w:tc>
              <w:tc>
                <w:tcPr>
                  <w:tcW w:w="2509" w:type="pct"/>
                  <w:noWrap w:val="0"/>
                  <w:vAlign w:val="center"/>
                </w:tcPr>
                <w:p>
                  <w:pPr>
                    <w:spacing w:line="240" w:lineRule="auto"/>
                    <w:jc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color w:val="auto"/>
                      <w:szCs w:val="21"/>
                    </w:rPr>
                    <w:t>HJ 828-2017水质 化学需氧量的测定重铬酸钾法</w:t>
                  </w:r>
                </w:p>
              </w:tc>
              <w:tc>
                <w:tcPr>
                  <w:tcW w:w="725" w:type="pct"/>
                  <w:noWrap w:val="0"/>
                  <w:vAlign w:val="center"/>
                </w:tcPr>
                <w:p>
                  <w:pPr>
                    <w:spacing w:line="240" w:lineRule="auto"/>
                    <w:jc w:val="center"/>
                    <w:rPr>
                      <w:rFonts w:hint="default" w:ascii="Times New Roman" w:hAnsi="Times New Roman" w:cs="Times New Roman"/>
                      <w:b w:val="0"/>
                      <w:bCs w:val="0"/>
                      <w:color w:val="000000"/>
                      <w:kern w:val="0"/>
                      <w:sz w:val="21"/>
                      <w:szCs w:val="21"/>
                      <w:lang w:bidi="ar"/>
                    </w:rPr>
                  </w:pPr>
                  <w:r>
                    <w:rPr>
                      <w:rFonts w:hint="default"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vMerge w:val="continue"/>
                  <w:noWrap w:val="0"/>
                  <w:vAlign w:val="center"/>
                </w:tcPr>
                <w:p>
                  <w:pPr>
                    <w:jc w:val="center"/>
                    <w:rPr>
                      <w:rFonts w:hint="default" w:ascii="Times New Roman" w:hAnsi="Times New Roman" w:cs="Times New Roman"/>
                      <w:b w:val="0"/>
                      <w:bCs w:val="0"/>
                      <w:sz w:val="21"/>
                      <w:szCs w:val="21"/>
                    </w:rPr>
                  </w:pPr>
                </w:p>
              </w:tc>
              <w:tc>
                <w:tcPr>
                  <w:tcW w:w="866" w:type="pct"/>
                  <w:noWrap w:val="0"/>
                  <w:vAlign w:val="center"/>
                </w:tcPr>
                <w:p>
                  <w:pPr>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2509" w:type="pct"/>
                  <w:noWrap w:val="0"/>
                  <w:vAlign w:val="center"/>
                </w:tcPr>
                <w:p>
                  <w:pPr>
                    <w:spacing w:line="240" w:lineRule="auto"/>
                    <w:jc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color w:val="auto"/>
                      <w:szCs w:val="21"/>
                    </w:rPr>
                    <w:t>HJ505-2009水质 五日生化需氧量（BOD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)的测定 稀释与接种法</w:t>
                  </w:r>
                </w:p>
              </w:tc>
              <w:tc>
                <w:tcPr>
                  <w:tcW w:w="725" w:type="pct"/>
                  <w:noWrap w:val="0"/>
                  <w:vAlign w:val="center"/>
                </w:tcPr>
                <w:p>
                  <w:pPr>
                    <w:spacing w:line="240" w:lineRule="auto"/>
                    <w:jc w:val="center"/>
                    <w:rPr>
                      <w:rFonts w:hint="default" w:ascii="Times New Roman" w:hAnsi="Times New Roman" w:cs="Times New Roman"/>
                      <w:b w:val="0"/>
                      <w:bCs w:val="0"/>
                      <w:color w:val="000000"/>
                      <w:kern w:val="0"/>
                      <w:sz w:val="21"/>
                      <w:szCs w:val="21"/>
                      <w:lang w:bidi="ar"/>
                    </w:rPr>
                  </w:pPr>
                  <w:r>
                    <w:rPr>
                      <w:rFonts w:hint="default" w:ascii="Times New Roman" w:hAnsi="Times New Roman" w:cs="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98" w:type="pct"/>
                  <w:vMerge w:val="continue"/>
                  <w:noWrap w:val="0"/>
                  <w:vAlign w:val="center"/>
                </w:tcPr>
                <w:p>
                  <w:pPr>
                    <w:jc w:val="center"/>
                    <w:rPr>
                      <w:rFonts w:hint="default" w:ascii="Times New Roman" w:hAnsi="Times New Roman" w:cs="Times New Roman"/>
                      <w:b w:val="0"/>
                      <w:bCs w:val="0"/>
                      <w:sz w:val="21"/>
                      <w:szCs w:val="21"/>
                    </w:rPr>
                  </w:pPr>
                </w:p>
              </w:tc>
              <w:tc>
                <w:tcPr>
                  <w:tcW w:w="866" w:type="pct"/>
                  <w:noWrap w:val="0"/>
                  <w:vAlign w:val="center"/>
                </w:tcPr>
                <w:p>
                  <w:pPr>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color w:val="000000"/>
                      <w:szCs w:val="21"/>
                    </w:rPr>
                    <w:t>氨氮</w:t>
                  </w:r>
                </w:p>
              </w:tc>
              <w:tc>
                <w:tcPr>
                  <w:tcW w:w="2509" w:type="pct"/>
                  <w:noWrap w:val="0"/>
                  <w:vAlign w:val="center"/>
                </w:tcPr>
                <w:p>
                  <w:pPr>
                    <w:spacing w:line="240" w:lineRule="auto"/>
                    <w:jc w:val="center"/>
                    <w:rPr>
                      <w:rFonts w:hint="default" w:ascii="Times New Roman" w:hAnsi="Times New Roman" w:eastAsia="宋体" w:cs="Times New Roman"/>
                      <w:b w:val="0"/>
                      <w:bCs w:val="0"/>
                      <w:i w:val="0"/>
                      <w:color w:val="000000"/>
                      <w:kern w:val="0"/>
                      <w:sz w:val="21"/>
                      <w:szCs w:val="21"/>
                      <w:u w:val="none"/>
                      <w:lang w:val="en-US" w:eastAsia="zh-CN" w:bidi="ar"/>
                    </w:rPr>
                  </w:pPr>
                  <w:r>
                    <w:rPr>
                      <w:rFonts w:hint="default" w:ascii="Times New Roman" w:hAnsi="Times New Roman" w:cs="Times New Roman"/>
                      <w:color w:val="000000"/>
                      <w:szCs w:val="21"/>
                    </w:rPr>
                    <w:t>HJ535-2009</w:t>
                  </w:r>
                  <w:r>
                    <w:rPr>
                      <w:rFonts w:hint="default" w:ascii="Times New Roman" w:hAnsi="Times New Roman" w:cs="Times New Roman"/>
                      <w:color w:val="auto"/>
                      <w:szCs w:val="21"/>
                    </w:rPr>
                    <w:t>水质 氨氮的测定 纳氏试剂分光光度法</w:t>
                  </w:r>
                </w:p>
              </w:tc>
              <w:tc>
                <w:tcPr>
                  <w:tcW w:w="725" w:type="pct"/>
                  <w:noWrap w:val="0"/>
                  <w:vAlign w:val="center"/>
                </w:tcPr>
                <w:p>
                  <w:pPr>
                    <w:widowControl/>
                    <w:spacing w:line="240" w:lineRule="auto"/>
                    <w:jc w:val="center"/>
                    <w:rPr>
                      <w:rFonts w:hint="default" w:ascii="Times New Roman" w:hAnsi="Times New Roman" w:cs="Times New Roman"/>
                      <w:b w:val="0"/>
                      <w:bCs w:val="0"/>
                      <w:color w:val="000000"/>
                      <w:kern w:val="0"/>
                      <w:sz w:val="21"/>
                      <w:szCs w:val="21"/>
                      <w:lang w:bidi="ar"/>
                    </w:rPr>
                  </w:pPr>
                  <w:r>
                    <w:rPr>
                      <w:rFonts w:hint="default" w:ascii="Times New Roman" w:hAnsi="Times New Roman" w:cs="Times New Roman"/>
                      <w:color w:val="000000"/>
                      <w:szCs w:val="21"/>
                    </w:rPr>
                    <w:t>0.025</w:t>
                  </w:r>
                </w:p>
              </w:tc>
            </w:tr>
          </w:tbl>
          <w:p>
            <w:pPr>
              <w:spacing w:line="36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表5-2  监测仪器名称、型号及编号一览表</w:t>
            </w:r>
          </w:p>
          <w:tbl>
            <w:tblPr>
              <w:tblStyle w:val="15"/>
              <w:tblpPr w:leftFromText="180" w:rightFromText="180" w:vertAnchor="text" w:horzAnchor="page" w:tblpXSpec="center" w:tblpY="292"/>
              <w:tblOverlap w:val="neve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7"/>
              <w:gridCol w:w="2422"/>
              <w:gridCol w:w="1753"/>
              <w:gridCol w:w="1956"/>
              <w:gridCol w:w="2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65" w:type="pct"/>
                  <w:noWrap w:val="0"/>
                  <w:vAlign w:val="center"/>
                </w:tcPr>
                <w:p>
                  <w:pPr>
                    <w:pStyle w:val="31"/>
                    <w:keepNext w:val="0"/>
                    <w:keepLines w:val="0"/>
                    <w:pageBreakBefore w:val="0"/>
                    <w:widowControl w:val="0"/>
                    <w:kinsoku/>
                    <w:wordWrap/>
                    <w:overflowPunct/>
                    <w:topLinePunct w:val="0"/>
                    <w:autoSpaceDE/>
                    <w:autoSpaceDN/>
                    <w:bidi w:val="0"/>
                    <w:adjustRightInd/>
                    <w:snapToGrid/>
                    <w:ind w:left="137" w:right="125"/>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序号</w:t>
                  </w:r>
                </w:p>
              </w:tc>
              <w:tc>
                <w:tcPr>
                  <w:tcW w:w="1346" w:type="pct"/>
                  <w:noWrap w:val="0"/>
                  <w:vAlign w:val="center"/>
                </w:tcPr>
                <w:p>
                  <w:pPr>
                    <w:pStyle w:val="31"/>
                    <w:keepNext w:val="0"/>
                    <w:keepLines w:val="0"/>
                    <w:pageBreakBefore w:val="0"/>
                    <w:widowControl w:val="0"/>
                    <w:kinsoku/>
                    <w:wordWrap/>
                    <w:overflowPunct/>
                    <w:topLinePunct w:val="0"/>
                    <w:autoSpaceDE/>
                    <w:autoSpaceDN/>
                    <w:bidi w:val="0"/>
                    <w:adjustRightInd/>
                    <w:snapToGrid/>
                    <w:ind w:left="372" w:right="364"/>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监测仪器名称</w:t>
                  </w:r>
                </w:p>
              </w:tc>
              <w:tc>
                <w:tcPr>
                  <w:tcW w:w="974" w:type="pct"/>
                  <w:noWrap w:val="0"/>
                  <w:vAlign w:val="center"/>
                </w:tcPr>
                <w:p>
                  <w:pPr>
                    <w:pStyle w:val="31"/>
                    <w:keepNext w:val="0"/>
                    <w:keepLines w:val="0"/>
                    <w:pageBreakBefore w:val="0"/>
                    <w:widowControl w:val="0"/>
                    <w:kinsoku/>
                    <w:wordWrap/>
                    <w:overflowPunct/>
                    <w:topLinePunct w:val="0"/>
                    <w:autoSpaceDE/>
                    <w:autoSpaceDN/>
                    <w:bidi w:val="0"/>
                    <w:adjustRightInd/>
                    <w:snapToGrid/>
                    <w:ind w:left="429" w:right="419"/>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出厂编号</w:t>
                  </w:r>
                </w:p>
              </w:tc>
              <w:tc>
                <w:tcPr>
                  <w:tcW w:w="1087" w:type="pct"/>
                  <w:noWrap w:val="0"/>
                  <w:vAlign w:val="center"/>
                </w:tcPr>
                <w:p>
                  <w:pPr>
                    <w:pStyle w:val="31"/>
                    <w:keepNext w:val="0"/>
                    <w:keepLines w:val="0"/>
                    <w:pageBreakBefore w:val="0"/>
                    <w:widowControl w:val="0"/>
                    <w:kinsoku/>
                    <w:wordWrap/>
                    <w:overflowPunct/>
                    <w:topLinePunct w:val="0"/>
                    <w:autoSpaceDE/>
                    <w:autoSpaceDN/>
                    <w:bidi w:val="0"/>
                    <w:adjustRightInd/>
                    <w:snapToGrid/>
                    <w:ind w:left="429" w:right="419"/>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规格型号</w:t>
                  </w:r>
                </w:p>
              </w:tc>
              <w:tc>
                <w:tcPr>
                  <w:tcW w:w="1126" w:type="pct"/>
                  <w:noWrap w:val="0"/>
                  <w:vAlign w:val="center"/>
                </w:tcPr>
                <w:p>
                  <w:pPr>
                    <w:pStyle w:val="31"/>
                    <w:keepNext w:val="0"/>
                    <w:keepLines w:val="0"/>
                    <w:pageBreakBefore w:val="0"/>
                    <w:widowControl w:val="0"/>
                    <w:kinsoku/>
                    <w:wordWrap/>
                    <w:overflowPunct/>
                    <w:topLinePunct w:val="0"/>
                    <w:autoSpaceDE/>
                    <w:autoSpaceDN/>
                    <w:bidi w:val="0"/>
                    <w:adjustRightInd/>
                    <w:snapToGrid/>
                    <w:ind w:left="69" w:right="63"/>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仪器编号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65" w:type="pct"/>
                  <w:noWrap w:val="0"/>
                  <w:vAlign w:val="center"/>
                </w:tcPr>
                <w:p>
                  <w:pPr>
                    <w:pStyle w:val="31"/>
                    <w:spacing w:before="43"/>
                    <w:ind w:left="7"/>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1346" w:type="pct"/>
                  <w:noWrap w:val="0"/>
                  <w:vAlign w:val="center"/>
                </w:tcPr>
                <w:p>
                  <w:pPr>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eastAsia="zh-CN"/>
                    </w:rPr>
                    <w:t>便携式</w:t>
                  </w:r>
                  <w:r>
                    <w:rPr>
                      <w:rFonts w:hint="default" w:ascii="Times New Roman" w:hAnsi="Times New Roman" w:eastAsia="宋体" w:cs="Times New Roman"/>
                      <w:b w:val="0"/>
                      <w:bCs w:val="0"/>
                      <w:sz w:val="21"/>
                      <w:szCs w:val="21"/>
                      <w:lang w:val="en-US" w:eastAsia="zh-CN"/>
                    </w:rPr>
                    <w:t>pH计</w:t>
                  </w:r>
                </w:p>
              </w:tc>
              <w:tc>
                <w:tcPr>
                  <w:tcW w:w="974"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B752199320</w:t>
                  </w:r>
                </w:p>
              </w:tc>
              <w:tc>
                <w:tcPr>
                  <w:tcW w:w="1087" w:type="pct"/>
                  <w:noWrap w:val="0"/>
                  <w:vAlign w:val="center"/>
                </w:tcPr>
                <w:p>
                  <w:pPr>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ST300</w:t>
                  </w:r>
                </w:p>
              </w:tc>
              <w:tc>
                <w:tcPr>
                  <w:tcW w:w="1126" w:type="pct"/>
                  <w:noWrap w:val="0"/>
                  <w:vAlign w:val="center"/>
                </w:tcPr>
                <w:p>
                  <w:pPr>
                    <w:tabs>
                      <w:tab w:val="center" w:pos="4153"/>
                      <w:tab w:val="right" w:pos="8306"/>
                    </w:tabs>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AHSDP-YQ-52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65" w:type="pct"/>
                  <w:noWrap w:val="0"/>
                  <w:vAlign w:val="center"/>
                </w:tcPr>
                <w:p>
                  <w:pPr>
                    <w:pStyle w:val="31"/>
                    <w:spacing w:before="43"/>
                    <w:ind w:left="7"/>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346"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标准COD消解器</w:t>
                  </w:r>
                </w:p>
              </w:tc>
              <w:tc>
                <w:tcPr>
                  <w:tcW w:w="974"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KX2018073003</w:t>
                  </w:r>
                </w:p>
              </w:tc>
              <w:tc>
                <w:tcPr>
                  <w:tcW w:w="1087"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HCA-101</w:t>
                  </w:r>
                </w:p>
              </w:tc>
              <w:tc>
                <w:tcPr>
                  <w:tcW w:w="1126" w:type="pct"/>
                  <w:noWrap w:val="0"/>
                  <w:vAlign w:val="center"/>
                </w:tcPr>
                <w:p>
                  <w:pPr>
                    <w:tabs>
                      <w:tab w:val="center" w:pos="4153"/>
                      <w:tab w:val="right" w:pos="8306"/>
                    </w:tabs>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AHSDP-YQ-16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65" w:type="pct"/>
                  <w:noWrap w:val="0"/>
                  <w:vAlign w:val="center"/>
                </w:tcPr>
                <w:p>
                  <w:pPr>
                    <w:pStyle w:val="31"/>
                    <w:spacing w:before="43"/>
                    <w:ind w:left="7"/>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c>
                <w:tcPr>
                  <w:tcW w:w="1346"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微生物膜法BOD快速测定仪</w:t>
                  </w:r>
                </w:p>
              </w:tc>
              <w:tc>
                <w:tcPr>
                  <w:tcW w:w="974"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1202011030006</w:t>
                  </w:r>
                </w:p>
              </w:tc>
              <w:tc>
                <w:tcPr>
                  <w:tcW w:w="1087"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B-</w:t>
                  </w:r>
                  <w:r>
                    <w:rPr>
                      <w:rFonts w:hint="default" w:ascii="Times New Roman" w:hAnsi="Times New Roman" w:eastAsia="宋体" w:cs="Times New Roman"/>
                      <w:b w:val="0"/>
                      <w:bCs w:val="0"/>
                      <w:sz w:val="21"/>
                      <w:szCs w:val="21"/>
                      <w:lang w:val="en-US" w:eastAsia="zh-CN"/>
                    </w:rPr>
                    <w:t>1</w:t>
                  </w:r>
                </w:p>
              </w:tc>
              <w:tc>
                <w:tcPr>
                  <w:tcW w:w="1126" w:type="pct"/>
                  <w:noWrap w:val="0"/>
                  <w:vAlign w:val="center"/>
                </w:tcPr>
                <w:p>
                  <w:pPr>
                    <w:tabs>
                      <w:tab w:val="center" w:pos="4153"/>
                      <w:tab w:val="right" w:pos="8306"/>
                    </w:tabs>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AHSDP-YQ-10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65" w:type="pct"/>
                  <w:noWrap w:val="0"/>
                  <w:vAlign w:val="center"/>
                </w:tcPr>
                <w:p>
                  <w:pPr>
                    <w:pStyle w:val="31"/>
                    <w:spacing w:before="43"/>
                    <w:ind w:left="7"/>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4</w:t>
                  </w:r>
                </w:p>
              </w:tc>
              <w:tc>
                <w:tcPr>
                  <w:tcW w:w="1346"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rPr>
                    <w:t>紫外分光光度计</w:t>
                  </w:r>
                </w:p>
              </w:tc>
              <w:tc>
                <w:tcPr>
                  <w:tcW w:w="974"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LEF-1805026</w:t>
                  </w:r>
                </w:p>
              </w:tc>
              <w:tc>
                <w:tcPr>
                  <w:tcW w:w="1087"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uv-1800</w:t>
                  </w:r>
                </w:p>
              </w:tc>
              <w:tc>
                <w:tcPr>
                  <w:tcW w:w="1126" w:type="pct"/>
                  <w:noWrap w:val="0"/>
                  <w:vAlign w:val="center"/>
                </w:tcPr>
                <w:p>
                  <w:pPr>
                    <w:tabs>
                      <w:tab w:val="center" w:pos="4153"/>
                      <w:tab w:val="right" w:pos="8306"/>
                    </w:tabs>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AHSDP-YQ-08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65" w:type="pct"/>
                  <w:noWrap w:val="0"/>
                  <w:vAlign w:val="center"/>
                </w:tcPr>
                <w:p>
                  <w:pPr>
                    <w:pStyle w:val="31"/>
                    <w:spacing w:before="43"/>
                    <w:ind w:left="7"/>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w:t>
                  </w:r>
                </w:p>
              </w:tc>
              <w:tc>
                <w:tcPr>
                  <w:tcW w:w="1346"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万</w:t>
                  </w:r>
                  <w:r>
                    <w:rPr>
                      <w:rFonts w:hint="default" w:ascii="Times New Roman" w:hAnsi="Times New Roman" w:eastAsia="宋体" w:cs="Times New Roman"/>
                      <w:b w:val="0"/>
                      <w:bCs w:val="0"/>
                      <w:color w:val="000000"/>
                      <w:sz w:val="21"/>
                      <w:szCs w:val="21"/>
                    </w:rPr>
                    <w:t>分之一天平</w:t>
                  </w:r>
                </w:p>
              </w:tc>
              <w:tc>
                <w:tcPr>
                  <w:tcW w:w="974"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162418060176</w:t>
                  </w:r>
                </w:p>
              </w:tc>
              <w:tc>
                <w:tcPr>
                  <w:tcW w:w="1087"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JJ224BF</w:t>
                  </w:r>
                </w:p>
              </w:tc>
              <w:tc>
                <w:tcPr>
                  <w:tcW w:w="1126" w:type="pct"/>
                  <w:noWrap w:val="0"/>
                  <w:vAlign w:val="center"/>
                </w:tcPr>
                <w:p>
                  <w:pPr>
                    <w:tabs>
                      <w:tab w:val="center" w:pos="4153"/>
                      <w:tab w:val="right" w:pos="8306"/>
                    </w:tabs>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AHSDP-YQ-14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465" w:type="pct"/>
                  <w:noWrap w:val="0"/>
                  <w:vAlign w:val="center"/>
                </w:tcPr>
                <w:p>
                  <w:pPr>
                    <w:pStyle w:val="31"/>
                    <w:spacing w:before="43"/>
                    <w:ind w:left="7"/>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6</w:t>
                  </w:r>
                </w:p>
              </w:tc>
              <w:tc>
                <w:tcPr>
                  <w:tcW w:w="1346"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多功能声级计</w:t>
                  </w:r>
                </w:p>
              </w:tc>
              <w:tc>
                <w:tcPr>
                  <w:tcW w:w="974"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00314620</w:t>
                  </w:r>
                </w:p>
              </w:tc>
              <w:tc>
                <w:tcPr>
                  <w:tcW w:w="1087" w:type="pct"/>
                  <w:noWrap w:val="0"/>
                  <w:vAlign w:val="center"/>
                </w:tcPr>
                <w:p>
                  <w:pPr>
                    <w:tabs>
                      <w:tab w:val="center" w:pos="4153"/>
                      <w:tab w:val="right" w:pos="8306"/>
                    </w:tabs>
                    <w:snapToGrid w:val="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color w:val="000000"/>
                      <w:sz w:val="21"/>
                      <w:szCs w:val="21"/>
                    </w:rPr>
                    <w:t>AWA6228+</w:t>
                  </w:r>
                </w:p>
              </w:tc>
              <w:tc>
                <w:tcPr>
                  <w:tcW w:w="1126" w:type="pct"/>
                  <w:noWrap w:val="0"/>
                  <w:vAlign w:val="center"/>
                </w:tcPr>
                <w:p>
                  <w:pPr>
                    <w:tabs>
                      <w:tab w:val="center" w:pos="4153"/>
                      <w:tab w:val="right" w:pos="8306"/>
                    </w:tabs>
                    <w:snapToGrid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AHSDP-YQ-41</w:t>
                  </w:r>
                </w:p>
              </w:tc>
            </w:tr>
          </w:tbl>
          <w:p>
            <w:pPr>
              <w:spacing w:line="360" w:lineRule="auto"/>
              <w:jc w:val="left"/>
              <w:rPr>
                <w:b/>
                <w:bCs/>
                <w:sz w:val="28"/>
                <w:szCs w:val="28"/>
              </w:rPr>
            </w:pPr>
            <w:r>
              <w:rPr>
                <w:rFonts w:hint="eastAsia"/>
                <w:b/>
                <w:bCs/>
                <w:sz w:val="28"/>
                <w:szCs w:val="28"/>
              </w:rPr>
              <w:t>5</w:t>
            </w:r>
            <w:r>
              <w:rPr>
                <w:b/>
                <w:bCs/>
                <w:sz w:val="28"/>
                <w:szCs w:val="28"/>
              </w:rPr>
              <w:t>.2、质量保证与质量控制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sz w:val="24"/>
              </w:rPr>
            </w:pPr>
            <w:r>
              <w:rPr>
                <w:rFonts w:hint="eastAsia"/>
                <w:b/>
                <w:bCs/>
                <w:sz w:val="24"/>
              </w:rPr>
              <w:t>5</w:t>
            </w:r>
            <w:r>
              <w:rPr>
                <w:b/>
                <w:bCs/>
                <w:sz w:val="24"/>
              </w:rPr>
              <w:t>.2.1</w:t>
            </w:r>
            <w:r>
              <w:rPr>
                <w:rFonts w:hint="eastAsia"/>
                <w:b/>
                <w:bCs/>
                <w:sz w:val="24"/>
              </w:rPr>
              <w:t>、</w:t>
            </w:r>
            <w:r>
              <w:rPr>
                <w:b/>
                <w:bCs/>
                <w:sz w:val="24"/>
              </w:rPr>
              <w:t>监测分析质量控制和质量保证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sz w:val="24"/>
              </w:rPr>
            </w:pPr>
            <w:r>
              <w:rPr>
                <w:rFonts w:hint="eastAsia"/>
                <w:sz w:val="24"/>
              </w:rPr>
              <w:t>本次验收监测</w:t>
            </w:r>
            <w:r>
              <w:rPr>
                <w:sz w:val="24"/>
              </w:rPr>
              <w:t>按照管理手册要求以验收监测技术要求，在本次验收监测中</w:t>
            </w:r>
            <w:r>
              <w:rPr>
                <w:rFonts w:hint="eastAsia"/>
                <w:sz w:val="24"/>
              </w:rPr>
              <w:t>，安徽尚德谱检测技术有限责任公司</w:t>
            </w:r>
            <w:r>
              <w:rPr>
                <w:sz w:val="24"/>
              </w:rPr>
              <w:t>始终将质量保证工作贯穿于验收监测工作的全过程：包括全部监测人员持证上岗、监测分析方法的选定、监测仪器在使用的有效期限以内、监测数据、监测报告的三级审核制度的执行；采样时在验收监测的2日内始终有</w:t>
            </w:r>
            <w:r>
              <w:rPr>
                <w:rFonts w:hint="eastAsia"/>
                <w:sz w:val="24"/>
              </w:rPr>
              <w:t>监督</w:t>
            </w:r>
            <w:r>
              <w:rPr>
                <w:sz w:val="24"/>
              </w:rPr>
              <w:t>人员在监测现场。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b/>
                <w:bCs/>
                <w:sz w:val="24"/>
              </w:rPr>
            </w:pPr>
            <w:r>
              <w:rPr>
                <w:rFonts w:hint="eastAsia"/>
                <w:b/>
                <w:bCs/>
                <w:sz w:val="24"/>
              </w:rPr>
              <w:t>5</w:t>
            </w:r>
            <w:r>
              <w:rPr>
                <w:b/>
                <w:bCs/>
                <w:sz w:val="24"/>
              </w:rPr>
              <w:t>.2.</w:t>
            </w:r>
            <w:r>
              <w:rPr>
                <w:rFonts w:hint="eastAsia"/>
                <w:b/>
                <w:bCs/>
                <w:sz w:val="24"/>
              </w:rPr>
              <w:t>2</w:t>
            </w:r>
            <w:bookmarkStart w:id="42" w:name="_Toc16832"/>
            <w:r>
              <w:rPr>
                <w:rFonts w:hint="eastAsia"/>
                <w:b/>
                <w:bCs/>
                <w:sz w:val="24"/>
              </w:rPr>
              <w:t>、</w:t>
            </w:r>
            <w:r>
              <w:rPr>
                <w:b/>
                <w:bCs/>
                <w:sz w:val="24"/>
              </w:rPr>
              <w:t>噪声监测质量保证</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sz w:val="24"/>
              </w:rPr>
            </w:pPr>
            <w:r>
              <w:rPr>
                <w:sz w:val="24"/>
              </w:rPr>
              <w:t xml:space="preserve">按照《环境监测技术规范》（噪声部分）和《工业企业厂界环境噪声排放标准》  </w:t>
            </w:r>
            <w:r>
              <w:rPr>
                <w:sz w:val="24"/>
              </w:rPr>
              <w:br w:type="textWrapping"/>
            </w:r>
            <w:r>
              <w:rPr>
                <w:rFonts w:hint="eastAsia"/>
                <w:sz w:val="24"/>
              </w:rPr>
              <w:t>（</w:t>
            </w:r>
            <w:r>
              <w:rPr>
                <w:sz w:val="24"/>
              </w:rPr>
              <w:t>GB 12348-2008</w:t>
            </w:r>
            <w:r>
              <w:rPr>
                <w:rFonts w:hint="eastAsia"/>
                <w:sz w:val="24"/>
              </w:rPr>
              <w:t>）</w:t>
            </w:r>
            <w:r>
              <w:rPr>
                <w:sz w:val="24"/>
              </w:rPr>
              <w:t>的规定进行，</w:t>
            </w:r>
            <w:r>
              <w:rPr>
                <w:rFonts w:hint="eastAsia"/>
                <w:sz w:val="24"/>
              </w:rPr>
              <w:t>安徽尚德谱检测技术有限责任公司</w:t>
            </w:r>
            <w:r>
              <w:rPr>
                <w:sz w:val="24"/>
              </w:rPr>
              <w:t>使用仪器为经安徽省计量科学研究院检定合格并且在有效期以内的</w:t>
            </w:r>
            <w:r>
              <w:rPr>
                <w:rFonts w:hint="eastAsia"/>
                <w:sz w:val="24"/>
              </w:rPr>
              <w:t>AWA5688</w:t>
            </w:r>
            <w:r>
              <w:rPr>
                <w:sz w:val="24"/>
              </w:rPr>
              <w:t>型声级计型噪声分析仪，测量仪器使用前、后进行了校准以保证监测数据的有效性和可靠性。声级计校准统计见表</w:t>
            </w:r>
            <w:r>
              <w:rPr>
                <w:rFonts w:hint="eastAsia"/>
                <w:sz w:val="24"/>
              </w:rPr>
              <w:t>5</w:t>
            </w:r>
            <w:r>
              <w:rPr>
                <w:sz w:val="24"/>
              </w:rPr>
              <w:t>-</w:t>
            </w:r>
            <w:r>
              <w:rPr>
                <w:rFonts w:hint="eastAsia"/>
                <w:sz w:val="24"/>
                <w:lang w:val="en-US" w:eastAsia="zh-CN"/>
              </w:rPr>
              <w:t>5</w:t>
            </w:r>
            <w:r>
              <w:rPr>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sz w:val="21"/>
                <w:szCs w:val="21"/>
              </w:rPr>
            </w:pPr>
            <w:r>
              <w:rPr>
                <w:b/>
                <w:sz w:val="21"/>
                <w:szCs w:val="21"/>
              </w:rPr>
              <w:t>表</w:t>
            </w:r>
            <w:r>
              <w:rPr>
                <w:rFonts w:hint="eastAsia"/>
                <w:b/>
                <w:sz w:val="21"/>
                <w:szCs w:val="21"/>
              </w:rPr>
              <w:t>5</w:t>
            </w:r>
            <w:r>
              <w:rPr>
                <w:b/>
                <w:sz w:val="21"/>
                <w:szCs w:val="21"/>
              </w:rPr>
              <w:t>-</w:t>
            </w:r>
            <w:r>
              <w:rPr>
                <w:rFonts w:hint="eastAsia"/>
                <w:b/>
                <w:sz w:val="21"/>
                <w:szCs w:val="21"/>
                <w:lang w:val="en-US" w:eastAsia="zh-CN"/>
              </w:rPr>
              <w:t>5</w:t>
            </w:r>
            <w:r>
              <w:rPr>
                <w:b/>
                <w:sz w:val="21"/>
                <w:szCs w:val="21"/>
              </w:rPr>
              <w:t xml:space="preserve"> </w:t>
            </w:r>
            <w:r>
              <w:rPr>
                <w:rFonts w:hint="eastAsia"/>
                <w:b/>
                <w:sz w:val="21"/>
                <w:szCs w:val="21"/>
                <w:lang w:val="en-US" w:eastAsia="zh-CN"/>
              </w:rPr>
              <w:t xml:space="preserve"> </w:t>
            </w:r>
            <w:r>
              <w:rPr>
                <w:rFonts w:hint="default" w:ascii="Times New Roman" w:hAnsi="Times New Roman" w:cs="Times New Roman"/>
                <w:b/>
                <w:bCs/>
                <w:sz w:val="21"/>
                <w:szCs w:val="21"/>
              </w:rPr>
              <w:t>声级计校核表</w:t>
            </w:r>
          </w:p>
          <w:tbl>
            <w:tblPr>
              <w:tblStyle w:val="15"/>
              <w:tblW w:w="88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75"/>
              <w:gridCol w:w="775"/>
              <w:gridCol w:w="825"/>
              <w:gridCol w:w="1248"/>
              <w:gridCol w:w="1639"/>
              <w:gridCol w:w="850"/>
              <w:gridCol w:w="719"/>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仪器</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17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仪器型号</w:t>
                  </w:r>
                </w:p>
              </w:tc>
              <w:tc>
                <w:tcPr>
                  <w:tcW w:w="77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仪器编号</w:t>
                  </w:r>
                </w:p>
              </w:tc>
              <w:tc>
                <w:tcPr>
                  <w:tcW w:w="82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12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163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校准日期</w:t>
                  </w:r>
                </w:p>
              </w:tc>
              <w:tc>
                <w:tcPr>
                  <w:tcW w:w="8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仪器</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显示</w:t>
                  </w:r>
                </w:p>
              </w:tc>
              <w:tc>
                <w:tcPr>
                  <w:tcW w:w="71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示值</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误差</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是否</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46"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声级计</w:t>
                  </w:r>
                </w:p>
              </w:tc>
              <w:tc>
                <w:tcPr>
                  <w:tcW w:w="1175"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r>
                    <w:rPr>
                      <w:rFonts w:hint="default" w:ascii="Times New Roman" w:hAnsi="Times New Roman" w:cs="Times New Roman"/>
                      <w:sz w:val="21"/>
                      <w:szCs w:val="21"/>
                    </w:rPr>
                    <w:t>AWA5688</w:t>
                  </w:r>
                </w:p>
              </w:tc>
              <w:tc>
                <w:tcPr>
                  <w:tcW w:w="775"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A</w:t>
                  </w:r>
                  <w:r>
                    <w:rPr>
                      <w:rFonts w:hint="eastAsia" w:ascii="Times New Roman" w:hAnsi="Times New Roman" w:cs="Times New Roman"/>
                      <w:sz w:val="21"/>
                      <w:szCs w:val="21"/>
                      <w:lang w:val="en-US" w:eastAsia="zh-CN"/>
                    </w:rPr>
                    <w:t>151</w:t>
                  </w:r>
                </w:p>
              </w:tc>
              <w:tc>
                <w:tcPr>
                  <w:tcW w:w="825"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dB</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w:t>
                  </w:r>
                </w:p>
              </w:tc>
              <w:tc>
                <w:tcPr>
                  <w:tcW w:w="1248"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93.8</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标准声源</w:t>
                  </w:r>
                  <w:r>
                    <w:rPr>
                      <w:rFonts w:hint="default" w:ascii="Times New Roman" w:hAnsi="Times New Roman" w:cs="Times New Roman"/>
                      <w:sz w:val="21"/>
                      <w:szCs w:val="21"/>
                      <w:lang w:val="en-US" w:eastAsia="zh-CN"/>
                    </w:rPr>
                    <w:t>)</w:t>
                  </w:r>
                </w:p>
              </w:tc>
              <w:tc>
                <w:tcPr>
                  <w:tcW w:w="163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cs="Times New Roman"/>
                      <w:sz w:val="21"/>
                      <w:szCs w:val="21"/>
                      <w:lang w:val="en-US" w:eastAsia="zh-CN"/>
                    </w:rPr>
                    <w:t>20</w:t>
                  </w:r>
                  <w:r>
                    <w:rPr>
                      <w:rFonts w:hint="default" w:ascii="Times New Roman" w:hAnsi="Times New Roman" w:cs="Times New Roman"/>
                      <w:sz w:val="21"/>
                      <w:szCs w:val="21"/>
                    </w:rPr>
                    <w:t>年</w:t>
                  </w:r>
                  <w:r>
                    <w:rPr>
                      <w:rFonts w:hint="eastAsia" w:cs="Times New Roman"/>
                      <w:sz w:val="21"/>
                      <w:szCs w:val="21"/>
                      <w:lang w:val="en-US" w:eastAsia="zh-CN"/>
                    </w:rPr>
                    <w:t>8</w:t>
                  </w:r>
                  <w:r>
                    <w:rPr>
                      <w:rFonts w:hint="default" w:ascii="Times New Roman" w:hAnsi="Times New Roman" w:cs="Times New Roman"/>
                      <w:sz w:val="21"/>
                      <w:szCs w:val="21"/>
                    </w:rPr>
                    <w:t>月</w:t>
                  </w:r>
                  <w:r>
                    <w:rPr>
                      <w:rFonts w:hint="eastAsia" w:cs="Times New Roman"/>
                      <w:sz w:val="21"/>
                      <w:szCs w:val="21"/>
                      <w:lang w:val="en-US" w:eastAsia="zh-CN"/>
                    </w:rPr>
                    <w:t>10</w:t>
                  </w:r>
                  <w:r>
                    <w:rPr>
                      <w:rFonts w:hint="default" w:ascii="Times New Roman" w:hAnsi="Times New Roman" w:cs="Times New Roman"/>
                      <w:sz w:val="21"/>
                      <w:szCs w:val="21"/>
                    </w:rPr>
                    <w:t>日测量前</w:t>
                  </w:r>
                </w:p>
              </w:tc>
              <w:tc>
                <w:tcPr>
                  <w:tcW w:w="8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9</w:t>
                  </w:r>
                  <w:r>
                    <w:rPr>
                      <w:rFonts w:hint="eastAsia" w:cs="Times New Roman"/>
                      <w:sz w:val="21"/>
                      <w:szCs w:val="21"/>
                      <w:lang w:val="en-US" w:eastAsia="zh-CN"/>
                    </w:rPr>
                    <w:t>3.8</w:t>
                  </w:r>
                </w:p>
              </w:tc>
              <w:tc>
                <w:tcPr>
                  <w:tcW w:w="71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0</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46"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p>
              </w:tc>
              <w:tc>
                <w:tcPr>
                  <w:tcW w:w="117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77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82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163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cs="Times New Roman"/>
                      <w:sz w:val="21"/>
                      <w:szCs w:val="21"/>
                      <w:lang w:val="en-US" w:eastAsia="zh-CN"/>
                    </w:rPr>
                    <w:t>20</w:t>
                  </w:r>
                  <w:r>
                    <w:rPr>
                      <w:rFonts w:hint="default" w:ascii="Times New Roman" w:hAnsi="Times New Roman" w:cs="Times New Roman"/>
                      <w:sz w:val="21"/>
                      <w:szCs w:val="21"/>
                    </w:rPr>
                    <w:t>年</w:t>
                  </w:r>
                  <w:r>
                    <w:rPr>
                      <w:rFonts w:hint="eastAsia" w:cs="Times New Roman"/>
                      <w:sz w:val="21"/>
                      <w:szCs w:val="21"/>
                      <w:lang w:val="en-US" w:eastAsia="zh-CN"/>
                    </w:rPr>
                    <w:t>8</w:t>
                  </w:r>
                  <w:r>
                    <w:rPr>
                      <w:rFonts w:hint="default" w:ascii="Times New Roman" w:hAnsi="Times New Roman" w:cs="Times New Roman"/>
                      <w:sz w:val="21"/>
                      <w:szCs w:val="21"/>
                    </w:rPr>
                    <w:t>月</w:t>
                  </w:r>
                  <w:r>
                    <w:rPr>
                      <w:rFonts w:hint="eastAsia" w:cs="Times New Roman"/>
                      <w:sz w:val="21"/>
                      <w:szCs w:val="21"/>
                      <w:lang w:val="en-US" w:eastAsia="zh-CN"/>
                    </w:rPr>
                    <w:t>11</w:t>
                  </w:r>
                  <w:r>
                    <w:rPr>
                      <w:rFonts w:hint="default" w:ascii="Times New Roman" w:hAnsi="Times New Roman" w:cs="Times New Roman"/>
                      <w:sz w:val="21"/>
                      <w:szCs w:val="21"/>
                    </w:rPr>
                    <w:t>日测量后</w:t>
                  </w:r>
                </w:p>
              </w:tc>
              <w:tc>
                <w:tcPr>
                  <w:tcW w:w="8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r>
                    <w:rPr>
                      <w:rFonts w:hint="eastAsia" w:cs="Times New Roman"/>
                      <w:sz w:val="21"/>
                      <w:szCs w:val="21"/>
                      <w:lang w:val="en-US" w:eastAsia="zh-CN"/>
                    </w:rPr>
                    <w:t>3.8</w:t>
                  </w:r>
                </w:p>
              </w:tc>
              <w:tc>
                <w:tcPr>
                  <w:tcW w:w="71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0</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6"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p>
              </w:tc>
              <w:tc>
                <w:tcPr>
                  <w:tcW w:w="117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77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82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163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cs="Times New Roman"/>
                      <w:sz w:val="21"/>
                      <w:szCs w:val="21"/>
                      <w:lang w:val="en-US" w:eastAsia="zh-CN"/>
                    </w:rPr>
                    <w:t>20</w:t>
                  </w:r>
                  <w:r>
                    <w:rPr>
                      <w:rFonts w:hint="default" w:ascii="Times New Roman" w:hAnsi="Times New Roman" w:cs="Times New Roman"/>
                      <w:sz w:val="21"/>
                      <w:szCs w:val="21"/>
                    </w:rPr>
                    <w:t>年</w:t>
                  </w:r>
                  <w:r>
                    <w:rPr>
                      <w:rFonts w:hint="eastAsia" w:cs="Times New Roman"/>
                      <w:sz w:val="21"/>
                      <w:szCs w:val="21"/>
                      <w:lang w:val="en-US" w:eastAsia="zh-CN"/>
                    </w:rPr>
                    <w:t>8</w:t>
                  </w:r>
                  <w:r>
                    <w:rPr>
                      <w:rFonts w:hint="default" w:ascii="Times New Roman" w:hAnsi="Times New Roman" w:cs="Times New Roman"/>
                      <w:sz w:val="21"/>
                      <w:szCs w:val="21"/>
                    </w:rPr>
                    <w:t>月</w:t>
                  </w:r>
                  <w:r>
                    <w:rPr>
                      <w:rFonts w:hint="eastAsia" w:cs="Times New Roman"/>
                      <w:sz w:val="21"/>
                      <w:szCs w:val="21"/>
                      <w:lang w:val="en-US" w:eastAsia="zh-CN"/>
                    </w:rPr>
                    <w:t>10</w:t>
                  </w:r>
                  <w:r>
                    <w:rPr>
                      <w:rFonts w:hint="default" w:ascii="Times New Roman" w:hAnsi="Times New Roman" w:cs="Times New Roman"/>
                      <w:sz w:val="21"/>
                      <w:szCs w:val="21"/>
                    </w:rPr>
                    <w:t>日测量前</w:t>
                  </w:r>
                </w:p>
              </w:tc>
              <w:tc>
                <w:tcPr>
                  <w:tcW w:w="8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r>
                    <w:rPr>
                      <w:rFonts w:hint="eastAsia" w:cs="Times New Roman"/>
                      <w:sz w:val="21"/>
                      <w:szCs w:val="21"/>
                      <w:lang w:val="en-US" w:eastAsia="zh-CN"/>
                    </w:rPr>
                    <w:t>3.8</w:t>
                  </w:r>
                </w:p>
              </w:tc>
              <w:tc>
                <w:tcPr>
                  <w:tcW w:w="71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0</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46"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p>
              </w:tc>
              <w:tc>
                <w:tcPr>
                  <w:tcW w:w="117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77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82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1248"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green"/>
                    </w:rPr>
                  </w:pPr>
                </w:p>
              </w:tc>
              <w:tc>
                <w:tcPr>
                  <w:tcW w:w="163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cs="Times New Roman"/>
                      <w:sz w:val="21"/>
                      <w:szCs w:val="21"/>
                      <w:lang w:val="en-US" w:eastAsia="zh-CN"/>
                    </w:rPr>
                    <w:t>20</w:t>
                  </w:r>
                  <w:r>
                    <w:rPr>
                      <w:rFonts w:hint="default" w:ascii="Times New Roman" w:hAnsi="Times New Roman" w:cs="Times New Roman"/>
                      <w:sz w:val="21"/>
                      <w:szCs w:val="21"/>
                    </w:rPr>
                    <w:t>年</w:t>
                  </w:r>
                  <w:r>
                    <w:rPr>
                      <w:rFonts w:hint="eastAsia" w:cs="Times New Roman"/>
                      <w:sz w:val="21"/>
                      <w:szCs w:val="21"/>
                      <w:lang w:val="en-US" w:eastAsia="zh-CN"/>
                    </w:rPr>
                    <w:t>8</w:t>
                  </w:r>
                  <w:r>
                    <w:rPr>
                      <w:rFonts w:hint="default" w:ascii="Times New Roman" w:hAnsi="Times New Roman" w:cs="Times New Roman"/>
                      <w:sz w:val="21"/>
                      <w:szCs w:val="21"/>
                    </w:rPr>
                    <w:t>月</w:t>
                  </w:r>
                  <w:r>
                    <w:rPr>
                      <w:rFonts w:hint="eastAsia" w:cs="Times New Roman"/>
                      <w:sz w:val="21"/>
                      <w:szCs w:val="21"/>
                      <w:lang w:val="en-US" w:eastAsia="zh-CN"/>
                    </w:rPr>
                    <w:t>11</w:t>
                  </w:r>
                  <w:r>
                    <w:rPr>
                      <w:rFonts w:hint="default" w:ascii="Times New Roman" w:hAnsi="Times New Roman" w:cs="Times New Roman"/>
                      <w:sz w:val="21"/>
                      <w:szCs w:val="21"/>
                    </w:rPr>
                    <w:t>日测量后</w:t>
                  </w:r>
                </w:p>
              </w:tc>
              <w:tc>
                <w:tcPr>
                  <w:tcW w:w="8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r>
                    <w:rPr>
                      <w:rFonts w:hint="eastAsia" w:cs="Times New Roman"/>
                      <w:sz w:val="21"/>
                      <w:szCs w:val="21"/>
                      <w:lang w:val="en-US" w:eastAsia="zh-CN"/>
                    </w:rPr>
                    <w:t>3.8</w:t>
                  </w:r>
                </w:p>
              </w:tc>
              <w:tc>
                <w:tcPr>
                  <w:tcW w:w="71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eastAsia" w:cs="Times New Roman"/>
                      <w:sz w:val="21"/>
                      <w:szCs w:val="21"/>
                      <w:lang w:val="en-US" w:eastAsia="zh-CN"/>
                    </w:rPr>
                    <w:t>0</w:t>
                  </w:r>
                </w:p>
              </w:tc>
              <w:tc>
                <w:tcPr>
                  <w:tcW w:w="75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合格</w:t>
                  </w:r>
                </w:p>
              </w:tc>
            </w:tr>
          </w:tbl>
          <w:p>
            <w:pPr>
              <w:spacing w:line="360" w:lineRule="auto"/>
              <w:rPr>
                <w:sz w:val="24"/>
              </w:rPr>
            </w:pPr>
          </w:p>
        </w:tc>
      </w:tr>
    </w:tbl>
    <w:p>
      <w:pPr>
        <w:rPr>
          <w:b/>
          <w:sz w:val="28"/>
          <w:szCs w:val="28"/>
        </w:rPr>
      </w:pPr>
    </w:p>
    <w:p>
      <w:pPr>
        <w:rPr>
          <w:b/>
          <w:sz w:val="28"/>
          <w:szCs w:val="28"/>
        </w:rPr>
      </w:pPr>
    </w:p>
    <w:p>
      <w:pPr>
        <w:rPr>
          <w:b/>
          <w:sz w:val="28"/>
          <w:szCs w:val="28"/>
        </w:rPr>
      </w:pPr>
      <w:r>
        <w:rPr>
          <w:rFonts w:hint="eastAsia"/>
          <w:b/>
          <w:sz w:val="28"/>
          <w:szCs w:val="28"/>
        </w:rPr>
        <w:t>表六、验收监测内容</w:t>
      </w:r>
    </w:p>
    <w:tbl>
      <w:tblPr>
        <w:tblStyle w:val="15"/>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49" w:hRule="atLeast"/>
          <w:jc w:val="center"/>
        </w:trPr>
        <w:tc>
          <w:tcPr>
            <w:tcW w:w="9135" w:type="dxa"/>
            <w:vAlign w:val="center"/>
          </w:tcPr>
          <w:p>
            <w:pPr>
              <w:spacing w:line="360" w:lineRule="auto"/>
              <w:ind w:firstLine="480"/>
              <w:rPr>
                <w:sz w:val="24"/>
                <w:szCs w:val="24"/>
              </w:rPr>
            </w:pPr>
            <w:r>
              <w:rPr>
                <w:sz w:val="24"/>
              </w:rPr>
              <w:t>根据《中华人民共和国环境保护法》（修订）（主席令第9号）、《关于修改&lt;建设项目环境保护管理条例&gt;的决定》（国务院令第682号）、</w:t>
            </w:r>
            <w:r>
              <w:rPr>
                <w:rStyle w:val="18"/>
                <w:b w:val="0"/>
                <w:bCs w:val="0"/>
                <w:color w:val="000000"/>
                <w:sz w:val="24"/>
                <w:shd w:val="clear" w:color="auto" w:fill="FFFFFF"/>
              </w:rPr>
              <w:t>《建设项目竣工环境保护验收技术指南 污染影响类 》（</w:t>
            </w:r>
            <w:r>
              <w:rPr>
                <w:color w:val="000000"/>
                <w:sz w:val="24"/>
              </w:rPr>
              <w:t>生态环境部2018年第9号公告</w:t>
            </w:r>
            <w:r>
              <w:rPr>
                <w:rStyle w:val="18"/>
                <w:b w:val="0"/>
                <w:bCs w:val="0"/>
                <w:color w:val="000000"/>
                <w:sz w:val="24"/>
                <w:shd w:val="clear" w:color="auto" w:fill="FFFFFF"/>
              </w:rPr>
              <w:t>）</w:t>
            </w:r>
            <w:r>
              <w:rPr>
                <w:rFonts w:hint="eastAsia"/>
                <w:sz w:val="24"/>
              </w:rPr>
              <w:t>、</w:t>
            </w:r>
            <w:r>
              <w:rPr>
                <w:sz w:val="24"/>
                <w:szCs w:val="24"/>
              </w:rPr>
              <w:t>《关于发布＜建设项目竣工环境保护验收暂行办法＞的公告》（国环规环评</w:t>
            </w:r>
            <w:r>
              <w:rPr>
                <w:kern w:val="0"/>
                <w:sz w:val="24"/>
                <w:szCs w:val="24"/>
              </w:rPr>
              <w:t>[2017]4号</w:t>
            </w:r>
            <w:r>
              <w:rPr>
                <w:sz w:val="24"/>
                <w:szCs w:val="24"/>
              </w:rPr>
              <w:t>），并结合</w:t>
            </w: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sz w:val="24"/>
                <w:szCs w:val="24"/>
              </w:rPr>
              <w:t>特点，确定</w:t>
            </w:r>
            <w:r>
              <w:rPr>
                <w:rFonts w:hint="eastAsia"/>
                <w:sz w:val="24"/>
                <w:szCs w:val="24"/>
              </w:rPr>
              <w:t>本</w:t>
            </w:r>
            <w:r>
              <w:rPr>
                <w:sz w:val="24"/>
                <w:szCs w:val="24"/>
              </w:rPr>
              <w:t>项目竣工环境保护验收监测内容。</w:t>
            </w:r>
            <w:bookmarkStart w:id="43" w:name="_Toc32033"/>
            <w:bookmarkStart w:id="44" w:name="_Toc438"/>
            <w:bookmarkStart w:id="45" w:name="_Toc15653"/>
            <w:bookmarkStart w:id="46" w:name="_Toc24770"/>
            <w:bookmarkStart w:id="47" w:name="_Toc16918"/>
            <w:bookmarkStart w:id="48" w:name="_Toc27294"/>
            <w:bookmarkStart w:id="49" w:name="_Toc10153"/>
            <w:bookmarkStart w:id="50" w:name="_Toc21206"/>
            <w:bookmarkStart w:id="51" w:name="_Toc9699"/>
            <w:bookmarkStart w:id="52" w:name="_Toc28965"/>
            <w:bookmarkStart w:id="53" w:name="_Toc23016"/>
            <w:bookmarkStart w:id="54" w:name="_Toc32583_WPSOffice_Level2"/>
            <w:bookmarkStart w:id="55" w:name="_Toc1415"/>
            <w:bookmarkStart w:id="56" w:name="_Toc21495"/>
            <w:bookmarkStart w:id="57" w:name="_Toc14845"/>
            <w:bookmarkStart w:id="58" w:name="_Toc25042"/>
            <w:bookmarkStart w:id="59" w:name="_Toc13504"/>
            <w:bookmarkStart w:id="60" w:name="_Toc29557"/>
            <w:bookmarkStart w:id="61" w:name="_Toc24882"/>
          </w:p>
          <w:p>
            <w:pPr>
              <w:spacing w:line="360" w:lineRule="auto"/>
              <w:rPr>
                <w:b/>
                <w:bCs/>
                <w:sz w:val="28"/>
                <w:szCs w:val="28"/>
              </w:rPr>
            </w:pPr>
            <w:r>
              <w:rPr>
                <w:rFonts w:hint="eastAsia"/>
                <w:b/>
                <w:bCs/>
                <w:sz w:val="28"/>
                <w:szCs w:val="28"/>
              </w:rPr>
              <w:t>6.1、废</w:t>
            </w:r>
            <w:r>
              <w:rPr>
                <w:rFonts w:hint="eastAsia"/>
                <w:b/>
                <w:bCs/>
                <w:sz w:val="28"/>
                <w:szCs w:val="28"/>
                <w:lang w:val="en-US" w:eastAsia="zh-CN"/>
              </w:rPr>
              <w:t>水</w:t>
            </w:r>
            <w:r>
              <w:rPr>
                <w:rFonts w:hint="eastAsia"/>
                <w:b/>
                <w:bCs/>
                <w:sz w:val="28"/>
                <w:szCs w:val="28"/>
              </w:rPr>
              <w:t>监测</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spacing w:line="360" w:lineRule="auto"/>
              <w:ind w:firstLine="480" w:firstLineChars="200"/>
              <w:rPr>
                <w:bCs/>
                <w:sz w:val="24"/>
              </w:rPr>
            </w:pPr>
            <w:r>
              <w:rPr>
                <w:bCs/>
                <w:sz w:val="24"/>
              </w:rPr>
              <w:t>本项目</w:t>
            </w:r>
            <w:r>
              <w:rPr>
                <w:rFonts w:hint="eastAsia"/>
                <w:bCs/>
                <w:sz w:val="24"/>
                <w:lang w:val="en-US" w:eastAsia="zh-CN"/>
              </w:rPr>
              <w:t>废水</w:t>
            </w:r>
            <w:r>
              <w:rPr>
                <w:bCs/>
                <w:sz w:val="24"/>
              </w:rPr>
              <w:t>主要为</w:t>
            </w:r>
            <w:r>
              <w:rPr>
                <w:rFonts w:hint="eastAsia"/>
                <w:color w:val="auto"/>
                <w:sz w:val="24"/>
                <w:szCs w:val="24"/>
                <w:lang w:val="en-US" w:eastAsia="zh-CN"/>
              </w:rPr>
              <w:t>生活废水和保洁废水</w:t>
            </w:r>
            <w:r>
              <w:rPr>
                <w:rFonts w:hint="eastAsia"/>
                <w:bCs/>
                <w:sz w:val="24"/>
              </w:rPr>
              <w:t>。</w:t>
            </w:r>
            <w:bookmarkStart w:id="62" w:name="_Toc23523"/>
            <w:bookmarkStart w:id="63" w:name="_Toc31567"/>
            <w:bookmarkStart w:id="64" w:name="_Toc17327"/>
            <w:bookmarkStart w:id="65" w:name="_Toc26960"/>
            <w:bookmarkStart w:id="66" w:name="_Toc10857"/>
            <w:bookmarkStart w:id="67" w:name="_Toc29701"/>
            <w:bookmarkStart w:id="68" w:name="_Toc21378"/>
            <w:bookmarkStart w:id="69" w:name="_Toc30989"/>
            <w:bookmarkStart w:id="70" w:name="_Toc21839"/>
            <w:bookmarkStart w:id="71" w:name="_Toc3932"/>
            <w:bookmarkStart w:id="72" w:name="_Toc20466"/>
            <w:bookmarkStart w:id="73" w:name="_Toc9061"/>
            <w:bookmarkStart w:id="74" w:name="_Toc18172"/>
            <w:bookmarkStart w:id="75" w:name="_Toc1352"/>
            <w:bookmarkStart w:id="76" w:name="_Toc5718"/>
            <w:bookmarkStart w:id="77" w:name="_Toc27311"/>
            <w:bookmarkStart w:id="78" w:name="_Toc18493"/>
            <w:bookmarkStart w:id="79" w:name="_Toc24057"/>
            <w:r>
              <w:rPr>
                <w:sz w:val="24"/>
              </w:rPr>
              <w:t>监测点位、监测因子及监测频次见表</w:t>
            </w:r>
            <w:r>
              <w:rPr>
                <w:rFonts w:hint="eastAsia"/>
                <w:sz w:val="24"/>
              </w:rPr>
              <w:t>6-1</w:t>
            </w:r>
            <w:r>
              <w:rPr>
                <w:sz w:val="24"/>
              </w:rPr>
              <w:t>。</w:t>
            </w:r>
          </w:p>
          <w:p>
            <w:pPr>
              <w:spacing w:line="360" w:lineRule="auto"/>
              <w:jc w:val="center"/>
              <w:rPr>
                <w:szCs w:val="21"/>
              </w:rPr>
            </w:pPr>
            <w:r>
              <w:rPr>
                <w:b/>
                <w:bCs/>
                <w:szCs w:val="21"/>
              </w:rPr>
              <w:t>表6-1  有组织废气监测内容一览表</w:t>
            </w:r>
          </w:p>
          <w:tbl>
            <w:tblPr>
              <w:tblStyle w:val="16"/>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4101"/>
              <w:gridCol w:w="198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50" w:type="dxa"/>
                  <w:vAlign w:val="center"/>
                </w:tcPr>
                <w:p>
                  <w:pPr>
                    <w:jc w:val="center"/>
                    <w:rPr>
                      <w:sz w:val="21"/>
                      <w:szCs w:val="21"/>
                    </w:rPr>
                  </w:pPr>
                  <w:r>
                    <w:rPr>
                      <w:sz w:val="21"/>
                      <w:szCs w:val="21"/>
                    </w:rPr>
                    <w:t>序号</w:t>
                  </w:r>
                </w:p>
              </w:tc>
              <w:tc>
                <w:tcPr>
                  <w:tcW w:w="4101" w:type="dxa"/>
                  <w:vAlign w:val="center"/>
                </w:tcPr>
                <w:p>
                  <w:pPr>
                    <w:jc w:val="center"/>
                    <w:rPr>
                      <w:sz w:val="21"/>
                      <w:szCs w:val="21"/>
                    </w:rPr>
                  </w:pPr>
                  <w:r>
                    <w:rPr>
                      <w:sz w:val="21"/>
                      <w:szCs w:val="21"/>
                    </w:rPr>
                    <w:t>监测点位</w:t>
                  </w:r>
                </w:p>
              </w:tc>
              <w:tc>
                <w:tcPr>
                  <w:tcW w:w="1985" w:type="dxa"/>
                  <w:vAlign w:val="center"/>
                </w:tcPr>
                <w:p>
                  <w:pPr>
                    <w:jc w:val="center"/>
                    <w:rPr>
                      <w:sz w:val="21"/>
                      <w:szCs w:val="21"/>
                    </w:rPr>
                  </w:pPr>
                  <w:r>
                    <w:rPr>
                      <w:sz w:val="21"/>
                      <w:szCs w:val="21"/>
                    </w:rPr>
                    <w:t>监测项目</w:t>
                  </w:r>
                </w:p>
              </w:tc>
              <w:tc>
                <w:tcPr>
                  <w:tcW w:w="1842" w:type="dxa"/>
                  <w:vAlign w:val="center"/>
                </w:tcPr>
                <w:p>
                  <w:pPr>
                    <w:jc w:val="center"/>
                    <w:rPr>
                      <w:sz w:val="21"/>
                      <w:szCs w:val="21"/>
                    </w:rPr>
                  </w:pPr>
                  <w:r>
                    <w:rPr>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50" w:type="dxa"/>
                  <w:vAlign w:val="center"/>
                </w:tcPr>
                <w:p>
                  <w:pPr>
                    <w:jc w:val="center"/>
                    <w:rPr>
                      <w:sz w:val="21"/>
                      <w:szCs w:val="21"/>
                    </w:rPr>
                  </w:pPr>
                  <w:r>
                    <w:rPr>
                      <w:rFonts w:hint="eastAsia"/>
                      <w:sz w:val="21"/>
                      <w:szCs w:val="21"/>
                    </w:rPr>
                    <w:t>1</w:t>
                  </w:r>
                </w:p>
              </w:tc>
              <w:tc>
                <w:tcPr>
                  <w:tcW w:w="4101" w:type="dxa"/>
                  <w:vAlign w:val="center"/>
                </w:tcPr>
                <w:p>
                  <w:pPr>
                    <w:jc w:val="center"/>
                    <w:rPr>
                      <w:rFonts w:hint="default" w:eastAsia="宋体"/>
                      <w:sz w:val="21"/>
                      <w:szCs w:val="21"/>
                      <w:lang w:val="en-US" w:eastAsia="zh-CN"/>
                    </w:rPr>
                  </w:pPr>
                  <w:r>
                    <w:rPr>
                      <w:rFonts w:hint="eastAsia"/>
                      <w:sz w:val="21"/>
                      <w:szCs w:val="21"/>
                      <w:lang w:val="en-US" w:eastAsia="zh-CN"/>
                    </w:rPr>
                    <w:t>厂区废水总排口</w:t>
                  </w:r>
                </w:p>
              </w:tc>
              <w:tc>
                <w:tcPr>
                  <w:tcW w:w="1985" w:type="dxa"/>
                  <w:vAlign w:val="center"/>
                </w:tcPr>
                <w:p>
                  <w:pPr>
                    <w:tabs>
                      <w:tab w:val="left" w:pos="1834"/>
                    </w:tabs>
                    <w:jc w:val="center"/>
                    <w:rPr>
                      <w:rFonts w:hint="eastAsia"/>
                      <w:color w:val="auto"/>
                      <w:sz w:val="21"/>
                      <w:szCs w:val="21"/>
                    </w:rPr>
                  </w:pPr>
                  <w:r>
                    <w:rPr>
                      <w:rFonts w:hint="eastAsia"/>
                      <w:color w:val="auto"/>
                      <w:sz w:val="21"/>
                      <w:szCs w:val="21"/>
                    </w:rPr>
                    <w:t>pH</w:t>
                  </w:r>
                  <w:r>
                    <w:rPr>
                      <w:rFonts w:hint="eastAsia"/>
                      <w:color w:val="auto"/>
                      <w:sz w:val="21"/>
                      <w:szCs w:val="21"/>
                      <w:lang w:eastAsia="zh-CN"/>
                    </w:rPr>
                    <w:t>、</w:t>
                  </w:r>
                  <w:r>
                    <w:rPr>
                      <w:rFonts w:hint="eastAsia"/>
                      <w:color w:val="auto"/>
                      <w:sz w:val="21"/>
                      <w:szCs w:val="21"/>
                    </w:rPr>
                    <w:t>化学需氧量</w:t>
                  </w:r>
                </w:p>
                <w:p>
                  <w:pPr>
                    <w:tabs>
                      <w:tab w:val="left" w:pos="1834"/>
                    </w:tabs>
                    <w:jc w:val="center"/>
                    <w:rPr>
                      <w:sz w:val="21"/>
                      <w:szCs w:val="21"/>
                    </w:rPr>
                  </w:pPr>
                  <w:r>
                    <w:rPr>
                      <w:rFonts w:hint="eastAsia"/>
                      <w:color w:val="auto"/>
                      <w:sz w:val="21"/>
                      <w:szCs w:val="21"/>
                    </w:rPr>
                    <w:t>五日生化需氧量</w:t>
                  </w:r>
                  <w:r>
                    <w:rPr>
                      <w:rFonts w:hint="eastAsia"/>
                      <w:color w:val="auto"/>
                      <w:sz w:val="21"/>
                      <w:szCs w:val="21"/>
                      <w:lang w:eastAsia="zh-CN"/>
                    </w:rPr>
                    <w:t>、</w:t>
                  </w:r>
                  <w:r>
                    <w:rPr>
                      <w:rFonts w:hint="eastAsia"/>
                      <w:color w:val="auto"/>
                      <w:sz w:val="21"/>
                      <w:szCs w:val="21"/>
                    </w:rPr>
                    <w:t>悬浮物</w:t>
                  </w:r>
                  <w:r>
                    <w:rPr>
                      <w:rFonts w:hint="eastAsia"/>
                      <w:color w:val="auto"/>
                      <w:sz w:val="21"/>
                      <w:szCs w:val="21"/>
                      <w:lang w:eastAsia="zh-CN"/>
                    </w:rPr>
                    <w:t>、</w:t>
                  </w:r>
                  <w:r>
                    <w:rPr>
                      <w:rFonts w:hint="eastAsia"/>
                      <w:color w:val="auto"/>
                      <w:sz w:val="21"/>
                      <w:szCs w:val="21"/>
                    </w:rPr>
                    <w:t>氨氮</w:t>
                  </w:r>
                </w:p>
              </w:tc>
              <w:tc>
                <w:tcPr>
                  <w:tcW w:w="1842" w:type="dxa"/>
                  <w:vAlign w:val="center"/>
                </w:tcPr>
                <w:p>
                  <w:pPr>
                    <w:jc w:val="center"/>
                    <w:rPr>
                      <w:sz w:val="21"/>
                      <w:szCs w:val="21"/>
                    </w:rPr>
                  </w:pPr>
                  <w:r>
                    <w:rPr>
                      <w:sz w:val="21"/>
                      <w:szCs w:val="21"/>
                    </w:rPr>
                    <w:t>一天</w:t>
                  </w:r>
                  <w:r>
                    <w:rPr>
                      <w:rFonts w:hint="eastAsia"/>
                      <w:sz w:val="21"/>
                      <w:szCs w:val="21"/>
                    </w:rPr>
                    <w:t>3</w:t>
                  </w:r>
                  <w:r>
                    <w:rPr>
                      <w:sz w:val="21"/>
                      <w:szCs w:val="21"/>
                    </w:rPr>
                    <w:t>次，连续2天</w:t>
                  </w:r>
                </w:p>
              </w:tc>
            </w:t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tbl>
          <w:p>
            <w:pPr>
              <w:spacing w:line="360" w:lineRule="auto"/>
              <w:rPr>
                <w:b/>
                <w:bCs/>
                <w:sz w:val="28"/>
                <w:szCs w:val="28"/>
              </w:rPr>
            </w:pPr>
            <w:bookmarkStart w:id="80" w:name="_Toc16815"/>
            <w:bookmarkStart w:id="81" w:name="_Toc28897"/>
            <w:bookmarkStart w:id="82" w:name="_Toc26010"/>
            <w:bookmarkStart w:id="83" w:name="_Toc22007"/>
            <w:bookmarkStart w:id="84" w:name="_Toc5691"/>
            <w:bookmarkStart w:id="85" w:name="_Toc23830"/>
            <w:bookmarkStart w:id="86" w:name="_Toc1797"/>
            <w:bookmarkStart w:id="87" w:name="_Toc14801_WPSOffice_Level2"/>
            <w:bookmarkStart w:id="88" w:name="_Toc401"/>
            <w:bookmarkStart w:id="89" w:name="_Toc23048"/>
            <w:bookmarkStart w:id="90" w:name="_Toc31967"/>
            <w:bookmarkStart w:id="91" w:name="_Toc18320"/>
            <w:bookmarkStart w:id="92" w:name="_Toc21404"/>
            <w:r>
              <w:rPr>
                <w:rFonts w:hint="eastAsia"/>
                <w:b/>
                <w:bCs/>
                <w:sz w:val="28"/>
                <w:szCs w:val="28"/>
              </w:rPr>
              <w:t>6.2、噪声监测</w:t>
            </w:r>
            <w:bookmarkEnd w:id="80"/>
            <w:bookmarkEnd w:id="81"/>
            <w:bookmarkEnd w:id="82"/>
            <w:bookmarkEnd w:id="83"/>
            <w:bookmarkEnd w:id="84"/>
            <w:bookmarkEnd w:id="85"/>
            <w:bookmarkEnd w:id="86"/>
            <w:bookmarkEnd w:id="87"/>
            <w:bookmarkEnd w:id="88"/>
            <w:bookmarkEnd w:id="89"/>
            <w:bookmarkEnd w:id="90"/>
            <w:bookmarkEnd w:id="91"/>
            <w:bookmarkEnd w:id="92"/>
          </w:p>
          <w:p>
            <w:pPr>
              <w:spacing w:line="360" w:lineRule="auto"/>
              <w:ind w:firstLine="480" w:firstLineChars="200"/>
              <w:jc w:val="left"/>
              <w:rPr>
                <w:sz w:val="24"/>
              </w:rPr>
            </w:pPr>
            <w:r>
              <w:rPr>
                <w:sz w:val="24"/>
              </w:rPr>
              <w:t>噪声监测根据工程地理位置情况及项目分布情况，</w:t>
            </w:r>
            <w:r>
              <w:rPr>
                <w:rFonts w:hint="eastAsia"/>
                <w:sz w:val="24"/>
              </w:rPr>
              <w:t>分别在</w:t>
            </w:r>
            <w:r>
              <w:rPr>
                <w:sz w:val="24"/>
              </w:rPr>
              <w:t>东、西、南、北厂界各设1个监测点</w:t>
            </w:r>
            <w:r>
              <w:rPr>
                <w:rFonts w:hint="eastAsia"/>
                <w:sz w:val="24"/>
              </w:rPr>
              <w:t>，</w:t>
            </w:r>
            <w:r>
              <w:rPr>
                <w:sz w:val="24"/>
              </w:rPr>
              <w:t>共设</w:t>
            </w:r>
            <w:r>
              <w:rPr>
                <w:rFonts w:hint="eastAsia"/>
                <w:sz w:val="24"/>
                <w:lang w:val="en-US" w:eastAsia="zh-CN"/>
              </w:rPr>
              <w:t>4</w:t>
            </w:r>
            <w:r>
              <w:rPr>
                <w:sz w:val="24"/>
              </w:rPr>
              <w:t>个监测点。本项目厂界噪声的监测点位、监测因子及监测频次见表6-3。</w:t>
            </w:r>
          </w:p>
          <w:p>
            <w:pPr>
              <w:spacing w:line="360" w:lineRule="auto"/>
              <w:jc w:val="center"/>
              <w:rPr>
                <w:szCs w:val="21"/>
              </w:rPr>
            </w:pPr>
            <w:r>
              <w:rPr>
                <w:b/>
                <w:bCs/>
                <w:szCs w:val="21"/>
              </w:rPr>
              <w:t>表6-3</w:t>
            </w:r>
            <w:r>
              <w:rPr>
                <w:rFonts w:hint="eastAsia"/>
                <w:b/>
                <w:bCs/>
                <w:szCs w:val="21"/>
              </w:rPr>
              <w:t xml:space="preserve"> </w:t>
            </w:r>
            <w:r>
              <w:rPr>
                <w:b/>
                <w:bCs/>
                <w:szCs w:val="21"/>
              </w:rPr>
              <w:t xml:space="preserve"> 噪声监测内容一览表</w:t>
            </w:r>
          </w:p>
          <w:tbl>
            <w:tblPr>
              <w:tblStyle w:val="16"/>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645"/>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05" w:type="dxa"/>
                  <w:vAlign w:val="center"/>
                </w:tcPr>
                <w:p>
                  <w:pPr>
                    <w:jc w:val="center"/>
                    <w:rPr>
                      <w:szCs w:val="21"/>
                    </w:rPr>
                  </w:pPr>
                  <w:r>
                    <w:rPr>
                      <w:szCs w:val="21"/>
                    </w:rPr>
                    <w:t>项目</w:t>
                  </w:r>
                </w:p>
              </w:tc>
              <w:tc>
                <w:tcPr>
                  <w:tcW w:w="4645" w:type="dxa"/>
                  <w:vAlign w:val="center"/>
                </w:tcPr>
                <w:p>
                  <w:pPr>
                    <w:jc w:val="center"/>
                    <w:rPr>
                      <w:szCs w:val="21"/>
                    </w:rPr>
                  </w:pPr>
                  <w:r>
                    <w:rPr>
                      <w:szCs w:val="21"/>
                    </w:rPr>
                    <w:t>监测点位</w:t>
                  </w:r>
                </w:p>
              </w:tc>
              <w:tc>
                <w:tcPr>
                  <w:tcW w:w="2970" w:type="dxa"/>
                  <w:vAlign w:val="center"/>
                </w:tcPr>
                <w:p>
                  <w:pPr>
                    <w:jc w:val="center"/>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105" w:type="dxa"/>
                  <w:vAlign w:val="center"/>
                </w:tcPr>
                <w:p>
                  <w:pPr>
                    <w:jc w:val="center"/>
                    <w:rPr>
                      <w:szCs w:val="21"/>
                    </w:rPr>
                  </w:pPr>
                  <w:r>
                    <w:rPr>
                      <w:rFonts w:hint="eastAsia"/>
                      <w:szCs w:val="21"/>
                    </w:rPr>
                    <w:t>厂界</w:t>
                  </w:r>
                  <w:r>
                    <w:rPr>
                      <w:szCs w:val="21"/>
                    </w:rPr>
                    <w:t>噪声</w:t>
                  </w:r>
                </w:p>
              </w:tc>
              <w:tc>
                <w:tcPr>
                  <w:tcW w:w="4645" w:type="dxa"/>
                  <w:vAlign w:val="center"/>
                </w:tcPr>
                <w:p>
                  <w:pPr>
                    <w:jc w:val="center"/>
                    <w:rPr>
                      <w:szCs w:val="21"/>
                    </w:rPr>
                  </w:pPr>
                  <w:r>
                    <w:rPr>
                      <w:szCs w:val="21"/>
                    </w:rPr>
                    <w:t>东、西、南、北厂界各设1个监测点，共设</w:t>
                  </w:r>
                  <w:r>
                    <w:rPr>
                      <w:rFonts w:hint="eastAsia"/>
                      <w:szCs w:val="21"/>
                      <w:lang w:val="en-US" w:eastAsia="zh-CN"/>
                    </w:rPr>
                    <w:t>4</w:t>
                  </w:r>
                  <w:r>
                    <w:rPr>
                      <w:szCs w:val="21"/>
                    </w:rPr>
                    <w:t>个监测点</w:t>
                  </w:r>
                </w:p>
              </w:tc>
              <w:tc>
                <w:tcPr>
                  <w:tcW w:w="2970" w:type="dxa"/>
                  <w:vAlign w:val="center"/>
                </w:tcPr>
                <w:p>
                  <w:pPr>
                    <w:jc w:val="center"/>
                    <w:rPr>
                      <w:szCs w:val="21"/>
                    </w:rPr>
                  </w:pPr>
                  <w:r>
                    <w:rPr>
                      <w:szCs w:val="21"/>
                    </w:rPr>
                    <w:t>昼</w:t>
                  </w:r>
                  <w:r>
                    <w:rPr>
                      <w:rFonts w:hint="eastAsia"/>
                      <w:szCs w:val="21"/>
                    </w:rPr>
                    <w:t>间</w:t>
                  </w:r>
                  <w:r>
                    <w:rPr>
                      <w:rFonts w:hint="eastAsia"/>
                      <w:szCs w:val="21"/>
                      <w:lang w:val="en-US" w:eastAsia="zh-CN"/>
                    </w:rPr>
                    <w:t>夜</w:t>
                  </w:r>
                  <w:r>
                    <w:rPr>
                      <w:szCs w:val="21"/>
                    </w:rPr>
                    <w:t>监测</w:t>
                  </w:r>
                  <w:r>
                    <w:rPr>
                      <w:rFonts w:hint="eastAsia"/>
                      <w:szCs w:val="21"/>
                      <w:lang w:val="en-US" w:eastAsia="zh-CN"/>
                    </w:rPr>
                    <w:t>1</w:t>
                  </w:r>
                  <w:r>
                    <w:rPr>
                      <w:szCs w:val="21"/>
                    </w:rPr>
                    <w:t>次，连续监测2天</w:t>
                  </w:r>
                </w:p>
              </w:tc>
            </w:tr>
          </w:tbl>
          <w:p>
            <w:pPr>
              <w:spacing w:line="360" w:lineRule="auto"/>
              <w:rPr>
                <w:rFonts w:hint="eastAsia" w:eastAsia="宋体"/>
                <w:sz w:val="24"/>
                <w:lang w:val="en-US" w:eastAsia="zh-CN"/>
              </w:rPr>
            </w:pPr>
            <w:bookmarkStart w:id="93" w:name="_Toc8377"/>
            <w:r>
              <w:rPr>
                <w:rFonts w:hint="eastAsia"/>
                <w:b/>
                <w:bCs/>
                <w:sz w:val="28"/>
                <w:szCs w:val="28"/>
              </w:rPr>
              <w:t>6.</w:t>
            </w:r>
            <w:r>
              <w:rPr>
                <w:rFonts w:hint="eastAsia"/>
                <w:b/>
                <w:bCs/>
                <w:sz w:val="28"/>
                <w:szCs w:val="28"/>
                <w:lang w:val="en-US" w:eastAsia="zh-CN"/>
              </w:rPr>
              <w:t>3</w:t>
            </w:r>
            <w:r>
              <w:rPr>
                <w:rFonts w:hint="eastAsia"/>
                <w:b/>
                <w:bCs/>
                <w:sz w:val="28"/>
                <w:szCs w:val="28"/>
              </w:rPr>
              <w:t>、监测点位示</w:t>
            </w:r>
            <w:bookmarkEnd w:id="93"/>
            <w:r>
              <w:rPr>
                <w:rFonts w:hint="eastAsia"/>
                <w:b/>
                <w:bCs/>
                <w:sz w:val="28"/>
                <w:szCs w:val="28"/>
                <w:lang w:val="en-US" w:eastAsia="zh-CN"/>
              </w:rPr>
              <w:t>图</w:t>
            </w:r>
          </w:p>
          <w:p/>
        </w:tc>
      </w:tr>
    </w:tbl>
    <w:p>
      <w:pPr>
        <w:rPr>
          <w:b/>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jc w:val="both"/>
        <w:rPr>
          <w:b/>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 w:linePitch="312" w:charSpace="0"/>
        </w:sectPr>
      </w:pPr>
      <w:r>
        <w:rPr>
          <w:sz w:val="21"/>
        </w:rPr>
        <mc:AlternateContent>
          <mc:Choice Requires="wps">
            <w:drawing>
              <wp:anchor distT="0" distB="0" distL="114300" distR="114300" simplePos="0" relativeHeight="384516096" behindDoc="0" locked="0" layoutInCell="1" allowOverlap="1">
                <wp:simplePos x="0" y="0"/>
                <wp:positionH relativeFrom="column">
                  <wp:posOffset>7198995</wp:posOffset>
                </wp:positionH>
                <wp:positionV relativeFrom="paragraph">
                  <wp:posOffset>4015105</wp:posOffset>
                </wp:positionV>
                <wp:extent cx="1868805" cy="878840"/>
                <wp:effectExtent l="4445" t="4445" r="6350" b="5715"/>
                <wp:wrapNone/>
                <wp:docPr id="111" name="文本框 111"/>
                <wp:cNvGraphicFramePr/>
                <a:graphic xmlns:a="http://schemas.openxmlformats.org/drawingml/2006/main">
                  <a:graphicData uri="http://schemas.microsoft.com/office/word/2010/wordprocessingShape">
                    <wps:wsp>
                      <wps:cNvSpPr txBox="1"/>
                      <wps:spPr>
                        <a:xfrm>
                          <a:off x="8027670" y="5765165"/>
                          <a:ext cx="1868805" cy="8788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Cs w:val="21"/>
                                <w:lang w:val="en-US" w:eastAsia="zh-CN"/>
                              </w:rPr>
                            </w:pPr>
                            <w:r>
                              <w:rPr>
                                <w:rFonts w:hint="eastAsia"/>
                                <w:szCs w:val="21"/>
                              </w:rPr>
                              <w:t>▲</w:t>
                            </w:r>
                            <w:r>
                              <w:rPr>
                                <w:rFonts w:hint="eastAsia"/>
                                <w:szCs w:val="21"/>
                                <w:lang w:eastAsia="zh-CN"/>
                              </w:rPr>
                              <w:t>：</w:t>
                            </w:r>
                            <w:r>
                              <w:rPr>
                                <w:rFonts w:hint="eastAsia"/>
                                <w:szCs w:val="21"/>
                                <w:lang w:val="en-US" w:eastAsia="zh-CN"/>
                              </w:rPr>
                              <w:t>厂界噪声监测点位</w:t>
                            </w:r>
                          </w:p>
                          <w:p>
                            <w:pPr>
                              <w:rPr>
                                <w:rFonts w:hint="eastAsia" w:ascii="宋体" w:hAnsi="宋体" w:cs="宋体"/>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6.85pt;margin-top:316.15pt;height:69.2pt;width:147.15pt;z-index:384516096;mso-width-relative:page;mso-height-relative:page;" fillcolor="#FFFFFF [3201]" filled="t" stroked="t" coordsize="21600,21600" o:gfxdata="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3mavdcAAAANAQAADwAAAAAA&#10;AAABACAAAAAiAAAAZHJzL2Rvd25yZXYueG1sUEsBAhQAFAAAAAgAh07iQDfFuy1NAgAAeQQAAA4A&#10;AAAAAAAAAQAgAAAAJgEAAGRycy9lMm9Eb2MueG1sUEsFBgAAAAAGAAYAWQEAAOUFAAAAAA==&#10;">
                <v:fill on="t" focussize="0,0"/>
                <v:stroke weight="0.5pt" color="#000000 [3204]" joinstyle="round"/>
                <v:imagedata o:title=""/>
                <o:lock v:ext="edit" aspectratio="f"/>
                <v:textbox>
                  <w:txbxContent>
                    <w:p>
                      <w:pPr>
                        <w:rPr>
                          <w:rFonts w:hint="eastAsia"/>
                          <w:szCs w:val="21"/>
                          <w:lang w:val="en-US" w:eastAsia="zh-CN"/>
                        </w:rPr>
                      </w:pPr>
                      <w:r>
                        <w:rPr>
                          <w:rFonts w:hint="eastAsia"/>
                          <w:szCs w:val="21"/>
                        </w:rPr>
                        <w:t>▲</w:t>
                      </w:r>
                      <w:r>
                        <w:rPr>
                          <w:rFonts w:hint="eastAsia"/>
                          <w:szCs w:val="21"/>
                          <w:lang w:eastAsia="zh-CN"/>
                        </w:rPr>
                        <w:t>：</w:t>
                      </w:r>
                      <w:r>
                        <w:rPr>
                          <w:rFonts w:hint="eastAsia"/>
                          <w:szCs w:val="21"/>
                          <w:lang w:val="en-US" w:eastAsia="zh-CN"/>
                        </w:rPr>
                        <w:t>厂界噪声监测点位</w:t>
                      </w:r>
                    </w:p>
                    <w:p>
                      <w:pPr>
                        <w:rPr>
                          <w:rFonts w:hint="eastAsia" w:ascii="宋体" w:hAnsi="宋体" w:cs="宋体"/>
                          <w:szCs w:val="21"/>
                          <w:lang w:val="en-US" w:eastAsia="zh-CN"/>
                        </w:rPr>
                      </w:pPr>
                    </w:p>
                  </w:txbxContent>
                </v:textbox>
              </v:shape>
            </w:pict>
          </mc:Fallback>
        </mc:AlternateContent>
      </w:r>
      <w:r>
        <w:rPr>
          <w:sz w:val="28"/>
        </w:rPr>
        <mc:AlternateContent>
          <mc:Choice Requires="wps">
            <w:drawing>
              <wp:anchor distT="0" distB="0" distL="114300" distR="114300" simplePos="0" relativeHeight="384555008" behindDoc="0" locked="0" layoutInCell="1" allowOverlap="1">
                <wp:simplePos x="0" y="0"/>
                <wp:positionH relativeFrom="column">
                  <wp:posOffset>2319020</wp:posOffset>
                </wp:positionH>
                <wp:positionV relativeFrom="paragraph">
                  <wp:posOffset>4484370</wp:posOffset>
                </wp:positionV>
                <wp:extent cx="2611120" cy="381000"/>
                <wp:effectExtent l="0" t="0" r="0" b="0"/>
                <wp:wrapNone/>
                <wp:docPr id="55" name="文本框 55"/>
                <wp:cNvGraphicFramePr/>
                <a:graphic xmlns:a="http://schemas.openxmlformats.org/drawingml/2006/main">
                  <a:graphicData uri="http://schemas.microsoft.com/office/word/2010/wordprocessingShape">
                    <wps:wsp>
                      <wps:cNvSpPr txBox="1"/>
                      <wps:spPr>
                        <a:xfrm>
                          <a:off x="4100195" y="6368415"/>
                          <a:ext cx="2611120" cy="3810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21"/>
                                <w:szCs w:val="21"/>
                                <w:lang w:val="en-US" w:eastAsia="zh-CN"/>
                              </w:rPr>
                            </w:pPr>
                            <w:r>
                              <w:rPr>
                                <w:rFonts w:hint="eastAsia"/>
                                <w:b/>
                                <w:bCs/>
                                <w:sz w:val="21"/>
                                <w:szCs w:val="21"/>
                                <w:lang w:val="en-US" w:eastAsia="zh-CN"/>
                              </w:rPr>
                              <w:t>图6-1  建设项目验收监测点位示意图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6pt;margin-top:353.1pt;height:30pt;width:205.6pt;z-index:384555008;mso-width-relative:page;mso-height-relative:page;" fillcolor="#FFFFFF [3212]" filled="t" stroked="f" coordsize="21600,21600" o:gfxdata="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Pe4g9YAAAALAQAADwAAAAAAAAABACAAAAAiAAAA&#10;ZHJzL2Rvd25yZXYueG1sUEsBAhQAFAAAAAgAh07iQKw+cl5CAgAATwQAAA4AAAAAAAAAAQAgAAAA&#10;JQEAAGRycy9lMm9Eb2MueG1sUEsFBgAAAAAGAAYAWQEAANkFAAAAAA==&#10;">
                <v:fill on="t" focussize="0,0"/>
                <v:stroke on="f" weight="0.5pt"/>
                <v:imagedata o:title=""/>
                <o:lock v:ext="edit" aspectratio="f"/>
                <v:textbox>
                  <w:txbxContent>
                    <w:p>
                      <w:pPr>
                        <w:rPr>
                          <w:rFonts w:hint="eastAsia" w:eastAsia="宋体"/>
                          <w:b/>
                          <w:bCs/>
                          <w:sz w:val="21"/>
                          <w:szCs w:val="21"/>
                          <w:lang w:val="en-US" w:eastAsia="zh-CN"/>
                        </w:rPr>
                      </w:pPr>
                      <w:r>
                        <w:rPr>
                          <w:rFonts w:hint="eastAsia"/>
                          <w:b/>
                          <w:bCs/>
                          <w:sz w:val="21"/>
                          <w:szCs w:val="21"/>
                          <w:lang w:val="en-US" w:eastAsia="zh-CN"/>
                        </w:rPr>
                        <w:t>图6-1  建设项目验收监测点位示意图</w:t>
                      </w:r>
                    </w:p>
                  </w:txbxContent>
                </v:textbox>
              </v:shape>
            </w:pict>
          </mc:Fallback>
        </mc:AlternateContent>
      </w:r>
      <w:r>
        <w:rPr>
          <w:sz w:val="21"/>
        </w:rPr>
        <mc:AlternateContent>
          <mc:Choice Requires="wps">
            <w:drawing>
              <wp:anchor distT="0" distB="0" distL="114300" distR="114300" simplePos="0" relativeHeight="2245148672" behindDoc="0" locked="0" layoutInCell="1" allowOverlap="1">
                <wp:simplePos x="0" y="0"/>
                <wp:positionH relativeFrom="column">
                  <wp:posOffset>7437120</wp:posOffset>
                </wp:positionH>
                <wp:positionV relativeFrom="paragraph">
                  <wp:posOffset>3124835</wp:posOffset>
                </wp:positionV>
                <wp:extent cx="828675" cy="933450"/>
                <wp:effectExtent l="0" t="0" r="9525" b="0"/>
                <wp:wrapNone/>
                <wp:docPr id="24" name="文本框 24"/>
                <wp:cNvGraphicFramePr/>
                <a:graphic xmlns:a="http://schemas.openxmlformats.org/drawingml/2006/main">
                  <a:graphicData uri="http://schemas.microsoft.com/office/word/2010/wordprocessingShape">
                    <wps:wsp>
                      <wps:cNvSpPr txBox="1"/>
                      <wps:spPr>
                        <a:xfrm>
                          <a:off x="8351520" y="4265930"/>
                          <a:ext cx="828675" cy="933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6pt;margin-top:246.05pt;height:73.5pt;width:65.25pt;z-index:-2049818624;mso-width-relative:page;mso-height-relative:page;" fillcolor="#FFFFFF [3201]" filled="t" stroked="f" coordsize="21600,21600" o:gfxdata="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&#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Z8aN1wAAAA0BAAAPAAAAAAAAAAEAIAAAACIAAABk&#10;cnMvZG93bnJldi54bWxQSwECFAAUAAAACACHTuJARcMIbkACAABOBAAADgAAAAAAAAABACAAAAAm&#10;AQAAZHJzL2Uyb0RvYy54bWxQSwUGAAAAAAYABgBZAQAA2AU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245147648" behindDoc="0" locked="0" layoutInCell="1" allowOverlap="1">
                <wp:simplePos x="0" y="0"/>
                <wp:positionH relativeFrom="column">
                  <wp:posOffset>7522845</wp:posOffset>
                </wp:positionH>
                <wp:positionV relativeFrom="paragraph">
                  <wp:posOffset>1334135</wp:posOffset>
                </wp:positionV>
                <wp:extent cx="1019175" cy="1152525"/>
                <wp:effectExtent l="4445" t="4445" r="5080" b="5080"/>
                <wp:wrapNone/>
                <wp:docPr id="23" name="文本框 23"/>
                <wp:cNvGraphicFramePr/>
                <a:graphic xmlns:a="http://schemas.openxmlformats.org/drawingml/2006/main">
                  <a:graphicData uri="http://schemas.microsoft.com/office/word/2010/wordprocessingShape">
                    <wps:wsp>
                      <wps:cNvSpPr txBox="1"/>
                      <wps:spPr>
                        <a:xfrm>
                          <a:off x="8437245" y="2475230"/>
                          <a:ext cx="1019175" cy="1152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p>
                          <w:p>
                            <w:pPr>
                              <w:jc w:val="center"/>
                              <w:rPr>
                                <w:rFonts w:hint="eastAsia"/>
                                <w:lang w:val="en-US" w:eastAsia="zh-CN"/>
                              </w:rPr>
                            </w:pPr>
                          </w:p>
                          <w:p>
                            <w:pPr>
                              <w:jc w:val="center"/>
                              <w:rPr>
                                <w:rFonts w:hint="eastAsia" w:eastAsia="宋体"/>
                                <w:lang w:val="en-US" w:eastAsia="zh-CN"/>
                              </w:rPr>
                            </w:pPr>
                            <w:r>
                              <w:rPr>
                                <w:rFonts w:hint="eastAsia"/>
                                <w:lang w:val="en-US"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35pt;margin-top:105.05pt;height:90.75pt;width:80.25pt;z-index:-2049819648;mso-width-relative:page;mso-height-relative:page;" fillcolor="#FFFFFF [3201]" filled="t" stroked="t" coordsize="21600,21600" o:gfxdata="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xMHLdgAAAANAQAADwAAAAAAAAAB&#10;ACAAAAAiAAAAZHJzL2Rvd25yZXYueG1sUEsBAhQAFAAAAAgAh07iQKxEtd9JAgAAeAQAAA4AAAAA&#10;AAAAAQAgAAAAJwEAAGRycy9lMm9Eb2MueG1sUEsFBgAAAAAGAAYAWQEAAOIFAAAAAA==&#10;">
                <v:fill on="t" focussize="0,0"/>
                <v:stroke weight="0.5pt" color="#000000 [3204]" joinstyle="round"/>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eastAsia" w:eastAsia="宋体"/>
                          <w:lang w:val="en-US" w:eastAsia="zh-CN"/>
                        </w:rPr>
                      </w:pPr>
                      <w:r>
                        <w:rPr>
                          <w:rFonts w:hint="eastAsia"/>
                          <w:lang w:val="en-US" w:eastAsia="zh-CN"/>
                        </w:rPr>
                        <w:t>办公室</w:t>
                      </w:r>
                    </w:p>
                  </w:txbxContent>
                </v:textbox>
              </v:shape>
            </w:pict>
          </mc:Fallback>
        </mc:AlternateContent>
      </w:r>
      <w:r>
        <w:rPr>
          <w:sz w:val="21"/>
        </w:rPr>
        <mc:AlternateContent>
          <mc:Choice Requires="wps">
            <w:drawing>
              <wp:anchor distT="0" distB="0" distL="114300" distR="114300" simplePos="0" relativeHeight="1272660992" behindDoc="0" locked="0" layoutInCell="1" allowOverlap="1">
                <wp:simplePos x="0" y="0"/>
                <wp:positionH relativeFrom="column">
                  <wp:posOffset>8578850</wp:posOffset>
                </wp:positionH>
                <wp:positionV relativeFrom="paragraph">
                  <wp:posOffset>2553335</wp:posOffset>
                </wp:positionV>
                <wp:extent cx="600075" cy="48577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6000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5pt;margin-top:201.05pt;height:38.25pt;width:47.25pt;z-index:1272660992;mso-width-relative:page;mso-height-relative:page;" filled="f" stroked="f" coordsize="21600,21600" o:gfxdata="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ZB&#10;69wAAAANAQAADwAAAAAAAAABACAAAAAiAAAAZHJzL2Rvd25yZXYueG1sUEsBAhQAFAAAAAgAh07i&#10;QCtj+/YeAgAAGQQAAA4AAAAAAAAAAQAgAAAAKwEAAGRycy9lMm9Eb2MueG1sUEsFBgAAAAAGAAYA&#10;WQEAALsFAAAAAA==&#10;">
                <v:fill on="f" focussize="0,0"/>
                <v:stroke on="f" weight="0.5pt"/>
                <v:imagedata o:title=""/>
                <o:lock v:ext="edit" aspectratio="f"/>
                <v:textbox>
                  <w:txbxContent>
                    <w:p>
                      <w:pPr>
                        <w:rPr>
                          <w:rFonts w:hint="default" w:eastAsia="宋体"/>
                          <w:lang w:val="en-US" w:eastAsia="zh-CN"/>
                        </w:rPr>
                      </w:pPr>
                      <w:r>
                        <w:rPr>
                          <w:rFonts w:hint="eastAsia"/>
                          <w:lang w:val="en-US" w:eastAsia="zh-CN"/>
                        </w:rPr>
                        <w:t>N1</w:t>
                      </w:r>
                    </w:p>
                  </w:txbxContent>
                </v:textbox>
              </v:shape>
            </w:pict>
          </mc:Fallback>
        </mc:AlternateContent>
      </w:r>
      <w:r>
        <w:rPr>
          <w:sz w:val="21"/>
        </w:rPr>
        <mc:AlternateContent>
          <mc:Choice Requires="wps">
            <w:drawing>
              <wp:anchor distT="0" distB="0" distL="114300" distR="114300" simplePos="0" relativeHeight="384556032" behindDoc="0" locked="0" layoutInCell="1" allowOverlap="1">
                <wp:simplePos x="0" y="0"/>
                <wp:positionH relativeFrom="column">
                  <wp:posOffset>8601710</wp:posOffset>
                </wp:positionH>
                <wp:positionV relativeFrom="paragraph">
                  <wp:posOffset>2228215</wp:posOffset>
                </wp:positionV>
                <wp:extent cx="176530" cy="182245"/>
                <wp:effectExtent l="10160" t="14605" r="22860" b="12700"/>
                <wp:wrapNone/>
                <wp:docPr id="26" name="等腰三角形 26"/>
                <wp:cNvGraphicFramePr/>
                <a:graphic xmlns:a="http://schemas.openxmlformats.org/drawingml/2006/main">
                  <a:graphicData uri="http://schemas.microsoft.com/office/word/2010/wordprocessingShape">
                    <wps:wsp>
                      <wps:cNvSpPr/>
                      <wps:spPr>
                        <a:xfrm>
                          <a:off x="8030845" y="2484755"/>
                          <a:ext cx="176530" cy="1822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77.3pt;margin-top:175.45pt;height:14.35pt;width:13.9pt;z-index:384556032;v-text-anchor:middle;mso-width-relative:page;mso-height-relative:page;" fillcolor="#000000 [3213]" filled="t" stroked="t" coordsize="21600,21600" o:gfxdata="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HPp7ncAAAADQEAAA8AAAAAAAAAAQAgAAAAIgAA&#10;AGRycy9kb3ducmV2LnhtbFBLAQIUABQAAAAIAIdO4kDUCVR/dgIAAMsEAAAOAAAAAAAAAAEAIAAA&#10;ACsBAABkcnMvZTJvRG9jLnhtbFBLBQYAAAAABgAGAFkBAAATBgAAAAA=&#10;" adj="10800">
                <v:fill on="t"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1272660992" behindDoc="0" locked="0" layoutInCell="1" allowOverlap="1">
                <wp:simplePos x="0" y="0"/>
                <wp:positionH relativeFrom="column">
                  <wp:posOffset>4549775</wp:posOffset>
                </wp:positionH>
                <wp:positionV relativeFrom="paragraph">
                  <wp:posOffset>76835</wp:posOffset>
                </wp:positionV>
                <wp:extent cx="600075" cy="48577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6000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25pt;margin-top:6.05pt;height:38.25pt;width:47.25pt;z-index:1272660992;mso-width-relative:page;mso-height-relative:page;" filled="f" stroked="f" coordsize="21600,21600" o:gfxdata="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CT/AtkA&#10;AAAJAQAADwAAAAAAAAABACAAAAAiAAAAZHJzL2Rvd25yZXYueG1sUEsBAhQAFAAAAAgAh07iQFTp&#10;QmgeAgAAGQQAAA4AAAAAAAAAAQAgAAAAKAEAAGRycy9lMm9Eb2MueG1sUEsFBgAAAAAGAAYAWQEA&#10;ALgFAAAAAA==&#10;">
                <v:fill on="f" focussize="0,0"/>
                <v:stroke on="f" weight="0.5pt"/>
                <v:imagedata o:title=""/>
                <o:lock v:ext="edit" aspectratio="f"/>
                <v:textbox>
                  <w:txbxContent>
                    <w:p>
                      <w:pPr>
                        <w:rPr>
                          <w:rFonts w:hint="default" w:eastAsia="宋体"/>
                          <w:lang w:val="en-US" w:eastAsia="zh-CN"/>
                        </w:rPr>
                      </w:pPr>
                      <w:r>
                        <w:rPr>
                          <w:rFonts w:hint="eastAsia"/>
                          <w:lang w:val="en-US" w:eastAsia="zh-CN"/>
                        </w:rPr>
                        <w:t>N4</w:t>
                      </w:r>
                    </w:p>
                  </w:txbxContent>
                </v:textbox>
              </v:shape>
            </w:pict>
          </mc:Fallback>
        </mc:AlternateContent>
      </w:r>
      <w:r>
        <w:rPr>
          <w:sz w:val="21"/>
        </w:rPr>
        <mc:AlternateContent>
          <mc:Choice Requires="wps">
            <w:drawing>
              <wp:anchor distT="0" distB="0" distL="114300" distR="114300" simplePos="0" relativeHeight="650353664" behindDoc="0" locked="0" layoutInCell="1" allowOverlap="1">
                <wp:simplePos x="0" y="0"/>
                <wp:positionH relativeFrom="column">
                  <wp:posOffset>3829685</wp:posOffset>
                </wp:positionH>
                <wp:positionV relativeFrom="paragraph">
                  <wp:posOffset>75565</wp:posOffset>
                </wp:positionV>
                <wp:extent cx="176530" cy="182245"/>
                <wp:effectExtent l="10160" t="14605" r="22860" b="12700"/>
                <wp:wrapNone/>
                <wp:docPr id="38" name="等腰三角形 38"/>
                <wp:cNvGraphicFramePr/>
                <a:graphic xmlns:a="http://schemas.openxmlformats.org/drawingml/2006/main">
                  <a:graphicData uri="http://schemas.microsoft.com/office/word/2010/wordprocessingShape">
                    <wps:wsp>
                      <wps:cNvSpPr/>
                      <wps:spPr>
                        <a:xfrm>
                          <a:off x="0" y="0"/>
                          <a:ext cx="176530" cy="1822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01.55pt;margin-top:5.95pt;height:14.35pt;width:13.9pt;z-index:650353664;v-text-anchor:middle;mso-width-relative:page;mso-height-relative:page;" fillcolor="#000000 [3213]" filled="t" stroked="t" coordsize="21600,21600" o:gfxdata="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MjQp2AAAAAkBAAAPAAAAAAAAAAEAIAAAACIAAABkcnMvZG93bnJldi54bWxQ&#10;SwECFAAUAAAACACHTuJApv5dZ2kCAAC/BAAADgAAAAAAAAABACAAAAAnAQAAZHJzL2Uyb0RvYy54&#10;bWxQSwUGAAAAAAYABgBZAQAAAgYAAAAA&#10;" adj="10800">
                <v:fill on="t" focussize="0,0"/>
                <v:stroke weight="1pt" color="#000000 [3213]"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1272660992" behindDoc="0" locked="0" layoutInCell="1" allowOverlap="1">
                <wp:simplePos x="0" y="0"/>
                <wp:positionH relativeFrom="column">
                  <wp:posOffset>3321050</wp:posOffset>
                </wp:positionH>
                <wp:positionV relativeFrom="paragraph">
                  <wp:posOffset>4267835</wp:posOffset>
                </wp:positionV>
                <wp:extent cx="600075" cy="48577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6000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336.05pt;height:38.25pt;width:47.25pt;z-index:1272660992;mso-width-relative:page;mso-height-relative:page;" filled="f" stroked="f" coordsize="21600,21600" o:gfxdata="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vg&#10;MQncAAAACwEAAA8AAAAAAAAAAQAgAAAAIgAAAGRycy9kb3ducmV2LnhtbFBLAQIUABQAAAAIAIdO&#10;4kAVccvIHwIAABkEAAAOAAAAAAAAAAEAIAAAACsBAABkcnMvZTJvRG9jLnhtbFBLBQYAAAAABgAG&#10;AFkBAAC8BQAAAAA=&#10;">
                <v:fill on="f" focussize="0,0"/>
                <v:stroke on="f" weight="0.5pt"/>
                <v:imagedata o:title=""/>
                <o:lock v:ext="edit" aspectratio="f"/>
                <v:textbox>
                  <w:txbxContent>
                    <w:p>
                      <w:pPr>
                        <w:rPr>
                          <w:rFonts w:hint="default" w:eastAsia="宋体"/>
                          <w:lang w:val="en-US" w:eastAsia="zh-CN"/>
                        </w:rPr>
                      </w:pPr>
                      <w:r>
                        <w:rPr>
                          <w:rFonts w:hint="eastAsia"/>
                          <w:lang w:val="en-US" w:eastAsia="zh-CN"/>
                        </w:rPr>
                        <w:t>N2</w:t>
                      </w:r>
                    </w:p>
                  </w:txbxContent>
                </v:textbox>
              </v:shape>
            </w:pict>
          </mc:Fallback>
        </mc:AlternateContent>
      </w:r>
      <w:r>
        <w:rPr>
          <w:sz w:val="21"/>
        </w:rPr>
        <mc:AlternateContent>
          <mc:Choice Requires="wps">
            <w:drawing>
              <wp:anchor distT="0" distB="0" distL="114300" distR="114300" simplePos="0" relativeHeight="916151296" behindDoc="0" locked="0" layoutInCell="1" allowOverlap="1">
                <wp:simplePos x="0" y="0"/>
                <wp:positionH relativeFrom="column">
                  <wp:posOffset>4058285</wp:posOffset>
                </wp:positionH>
                <wp:positionV relativeFrom="paragraph">
                  <wp:posOffset>4438015</wp:posOffset>
                </wp:positionV>
                <wp:extent cx="176530" cy="182245"/>
                <wp:effectExtent l="10160" t="14605" r="22860" b="12700"/>
                <wp:wrapNone/>
                <wp:docPr id="43" name="等腰三角形 43"/>
                <wp:cNvGraphicFramePr/>
                <a:graphic xmlns:a="http://schemas.openxmlformats.org/drawingml/2006/main">
                  <a:graphicData uri="http://schemas.microsoft.com/office/word/2010/wordprocessingShape">
                    <wps:wsp>
                      <wps:cNvSpPr/>
                      <wps:spPr>
                        <a:xfrm>
                          <a:off x="0" y="0"/>
                          <a:ext cx="176530" cy="1822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19.55pt;margin-top:349.45pt;height:14.35pt;width:13.9pt;z-index:916151296;v-text-anchor:middle;mso-width-relative:page;mso-height-relative:page;" fillcolor="#000000 [3213]" filled="t" stroked="t" coordsize="21600,21600" o:gfxdata="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3az2toAAAALAQAADwAAAAAAAAABACAAAAAiAAAAZHJzL2Rvd25yZXYueG1sUEsBAhQA&#10;FAAAAAgAh07iQJcpvjxiAgAAtAQAAA4AAAAAAAAAAQAgAAAAKQEAAGRycy9lMm9Eb2MueG1sUEsF&#10;BgAAAAAGAAYAWQEAAP0FA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909642752" behindDoc="0" locked="0" layoutInCell="1" allowOverlap="1">
                <wp:simplePos x="0" y="0"/>
                <wp:positionH relativeFrom="column">
                  <wp:posOffset>-317500</wp:posOffset>
                </wp:positionH>
                <wp:positionV relativeFrom="paragraph">
                  <wp:posOffset>1486535</wp:posOffset>
                </wp:positionV>
                <wp:extent cx="600075" cy="485775"/>
                <wp:effectExtent l="0" t="0" r="0" b="0"/>
                <wp:wrapNone/>
                <wp:docPr id="64" name="文本框 64"/>
                <wp:cNvGraphicFramePr/>
                <a:graphic xmlns:a="http://schemas.openxmlformats.org/drawingml/2006/main">
                  <a:graphicData uri="http://schemas.microsoft.com/office/word/2010/wordprocessingShape">
                    <wps:wsp>
                      <wps:cNvSpPr txBox="1"/>
                      <wps:spPr>
                        <a:xfrm>
                          <a:off x="7902575" y="4104005"/>
                          <a:ext cx="6000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117.05pt;height:38.25pt;width:47.25pt;z-index:-1385324544;mso-width-relative:page;mso-height-relative:page;" filled="f" stroked="f" coordsize="21600,21600" o:gfxdata="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gMXT3AAAAAoBAAAPAAAAAAAAAAEAIAAAACIAAABkcnMvZG93bnJldi54bWxQSwEC&#10;FAAUAAAACACHTuJAoDp+RSkCAAAlBAAADgAAAAAAAAABACAAAAArAQAAZHJzL2Uyb0RvYy54bWxQ&#10;SwUGAAAAAAYABgBZAQAAxgUAAAAA&#10;">
                <v:fill on="f" focussize="0,0"/>
                <v:stroke on="f" weight="0.5pt"/>
                <v:imagedata o:title=""/>
                <o:lock v:ext="edit" aspectratio="f"/>
                <v:textbox>
                  <w:txbxContent>
                    <w:p>
                      <w:pPr>
                        <w:rPr>
                          <w:rFonts w:hint="default" w:eastAsia="宋体"/>
                          <w:lang w:val="en-US" w:eastAsia="zh-CN"/>
                        </w:rPr>
                      </w:pPr>
                      <w:r>
                        <w:rPr>
                          <w:rFonts w:hint="eastAsia"/>
                          <w:lang w:val="en-US" w:eastAsia="zh-CN"/>
                        </w:rPr>
                        <w:t>N3</w:t>
                      </w:r>
                    </w:p>
                  </w:txbxContent>
                </v:textbox>
              </v:shape>
            </w:pict>
          </mc:Fallback>
        </mc:AlternateContent>
      </w:r>
      <w:r>
        <w:rPr>
          <w:sz w:val="21"/>
        </w:rPr>
        <mc:AlternateContent>
          <mc:Choice Requires="wps">
            <w:drawing>
              <wp:anchor distT="0" distB="0" distL="114300" distR="114300" simplePos="0" relativeHeight="783252480" behindDoc="0" locked="0" layoutInCell="1" allowOverlap="1">
                <wp:simplePos x="0" y="0"/>
                <wp:positionH relativeFrom="column">
                  <wp:posOffset>29210</wp:posOffset>
                </wp:positionH>
                <wp:positionV relativeFrom="paragraph">
                  <wp:posOffset>2142490</wp:posOffset>
                </wp:positionV>
                <wp:extent cx="176530" cy="182245"/>
                <wp:effectExtent l="10160" t="14605" r="22860" b="12700"/>
                <wp:wrapNone/>
                <wp:docPr id="41" name="等腰三角形 41"/>
                <wp:cNvGraphicFramePr/>
                <a:graphic xmlns:a="http://schemas.openxmlformats.org/drawingml/2006/main">
                  <a:graphicData uri="http://schemas.microsoft.com/office/word/2010/wordprocessingShape">
                    <wps:wsp>
                      <wps:cNvSpPr/>
                      <wps:spPr>
                        <a:xfrm>
                          <a:off x="0" y="0"/>
                          <a:ext cx="176530" cy="18224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pt;margin-top:168.7pt;height:14.35pt;width:13.9pt;z-index:783252480;v-text-anchor:middle;mso-width-relative:page;mso-height-relative:page;" fillcolor="#000000 [3213]" filled="t" stroked="t" coordsize="21600,21600" o:gfxdata="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f3kHo2AAAAAgBAAAPAAAAAAAAAAEAIAAAACIAAABkcnMvZG93bnJldi54bWxQ&#10;SwECFAAUAAAACACHTuJAFZkeWGkCAAC/BAAADgAAAAAAAAABACAAAAAnAQAAZHJzL2Uyb0RvYy54&#10;bWxQSwUGAAAAAAYABgBZAQAAAgYAAAAA&#10;" adj="10800">
                <v:fill on="t" focussize="0,0"/>
                <v:stroke weight="1pt" color="#000000 [3213]" miterlimit="8" joinstyle="miter"/>
                <v:imagedata o:title=""/>
                <o:lock v:ext="edit" aspectratio="f"/>
                <v:textbox>
                  <w:txbxContent>
                    <w:p>
                      <w:pPr>
                        <w:jc w:val="center"/>
                      </w:pPr>
                    </w:p>
                  </w:txbxContent>
                </v:textbox>
              </v:shape>
            </w:pict>
          </mc:Fallback>
        </mc:AlternateContent>
      </w:r>
      <w:r>
        <w:rPr>
          <w:sz w:val="21"/>
        </w:rPr>
        <w:drawing>
          <wp:inline distT="0" distB="0" distL="114300" distR="114300">
            <wp:extent cx="8858250" cy="4546600"/>
            <wp:effectExtent l="0" t="0" r="0" b="6350"/>
            <wp:docPr id="22" name="图片 22" descr="164aa64629e39a50126b5a6e3a9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aa64629e39a50126b5a6e3a93880"/>
                    <pic:cNvPicPr>
                      <a:picLocks noChangeAspect="1"/>
                    </pic:cNvPicPr>
                  </pic:nvPicPr>
                  <pic:blipFill>
                    <a:blip r:embed="rId14"/>
                    <a:stretch>
                      <a:fillRect/>
                    </a:stretch>
                  </pic:blipFill>
                  <pic:spPr>
                    <a:xfrm>
                      <a:off x="0" y="0"/>
                      <a:ext cx="8858250" cy="4546600"/>
                    </a:xfrm>
                    <a:prstGeom prst="rect">
                      <a:avLst/>
                    </a:prstGeom>
                  </pic:spPr>
                </pic:pic>
              </a:graphicData>
            </a:graphic>
          </wp:inline>
        </w:drawing>
      </w:r>
    </w:p>
    <w:p>
      <w:pPr>
        <w:rPr>
          <w:b/>
          <w:sz w:val="28"/>
          <w:szCs w:val="28"/>
        </w:rPr>
      </w:pPr>
      <w:r>
        <w:rPr>
          <w:b/>
          <w:sz w:val="28"/>
          <w:szCs w:val="28"/>
        </w:rPr>
        <w:t>表</w:t>
      </w:r>
      <w:r>
        <w:rPr>
          <w:rFonts w:hint="eastAsia"/>
          <w:b/>
          <w:sz w:val="28"/>
          <w:szCs w:val="28"/>
        </w:rPr>
        <w:t>七、验收监测期间生产工况和验收监测结果</w:t>
      </w:r>
    </w:p>
    <w:tbl>
      <w:tblPr>
        <w:tblStyle w:val="15"/>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198" w:type="dxa"/>
            <w:vAlign w:val="top"/>
          </w:tcPr>
          <w:p>
            <w:pPr>
              <w:wordWrap w:val="0"/>
              <w:spacing w:line="360" w:lineRule="auto"/>
              <w:rPr>
                <w:b/>
                <w:bCs/>
                <w:sz w:val="28"/>
                <w:szCs w:val="28"/>
              </w:rPr>
            </w:pPr>
            <w:r>
              <w:rPr>
                <w:b/>
                <w:bCs/>
                <w:sz w:val="28"/>
                <w:szCs w:val="28"/>
              </w:rPr>
              <w:t>7.1、验收监测工况</w:t>
            </w:r>
          </w:p>
          <w:p>
            <w:pPr>
              <w:spacing w:line="360" w:lineRule="auto"/>
              <w:ind w:firstLine="480" w:firstLineChars="200"/>
              <w:textAlignment w:val="baseline"/>
              <w:rPr>
                <w:color w:val="auto"/>
                <w:sz w:val="24"/>
              </w:rPr>
            </w:pP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color w:val="auto"/>
                <w:sz w:val="24"/>
              </w:rPr>
              <w:t>竣工环境保护验收监测工作于</w:t>
            </w:r>
            <w:r>
              <w:rPr>
                <w:rFonts w:hint="eastAsia"/>
                <w:color w:val="auto"/>
                <w:sz w:val="24"/>
              </w:rPr>
              <w:t>20</w:t>
            </w:r>
            <w:r>
              <w:rPr>
                <w:rFonts w:hint="eastAsia"/>
                <w:color w:val="auto"/>
                <w:sz w:val="24"/>
                <w:lang w:val="en-US" w:eastAsia="zh-CN"/>
              </w:rPr>
              <w:t>20</w:t>
            </w:r>
            <w:r>
              <w:rPr>
                <w:rFonts w:hint="eastAsia"/>
                <w:color w:val="auto"/>
                <w:sz w:val="24"/>
              </w:rPr>
              <w:t>.</w:t>
            </w:r>
            <w:r>
              <w:rPr>
                <w:rFonts w:hint="eastAsia"/>
                <w:color w:val="auto"/>
                <w:sz w:val="24"/>
                <w:lang w:val="en-US" w:eastAsia="zh-CN"/>
              </w:rPr>
              <w:t>8.10</w:t>
            </w:r>
            <w:r>
              <w:rPr>
                <w:rFonts w:hint="eastAsia"/>
                <w:color w:val="auto"/>
                <w:sz w:val="24"/>
              </w:rPr>
              <w:t>-</w:t>
            </w:r>
            <w:r>
              <w:rPr>
                <w:rFonts w:hint="eastAsia"/>
                <w:color w:val="auto"/>
                <w:sz w:val="24"/>
                <w:lang w:val="en-US" w:eastAsia="zh-CN"/>
              </w:rPr>
              <w:t>8.11</w:t>
            </w:r>
            <w:r>
              <w:rPr>
                <w:color w:val="auto"/>
                <w:sz w:val="24"/>
              </w:rPr>
              <w:t>进行。根据有关规定，为保证监测结果能正确反映企业正常生产时污染物实际排放状况，监测期间</w:t>
            </w:r>
            <w:r>
              <w:rPr>
                <w:rFonts w:hint="eastAsia"/>
                <w:color w:val="auto"/>
                <w:sz w:val="24"/>
              </w:rPr>
              <w:t>主体工程和环保设施正常运行，</w:t>
            </w:r>
            <w:r>
              <w:rPr>
                <w:color w:val="auto"/>
                <w:sz w:val="24"/>
              </w:rPr>
              <w:t>符合验收监测条件。</w:t>
            </w:r>
          </w:p>
          <w:p>
            <w:pPr>
              <w:spacing w:line="360" w:lineRule="auto"/>
              <w:ind w:firstLine="480" w:firstLineChars="200"/>
              <w:rPr>
                <w:rFonts w:hint="eastAsia" w:eastAsia="宋体"/>
                <w:sz w:val="24"/>
                <w:lang w:val="en-US" w:eastAsia="zh-CN"/>
              </w:rPr>
            </w:pPr>
            <w:r>
              <w:rPr>
                <w:sz w:val="24"/>
              </w:rPr>
              <w:t>验收监测期间，</w:t>
            </w:r>
            <w:r>
              <w:rPr>
                <w:rFonts w:hint="eastAsia"/>
                <w:sz w:val="24"/>
              </w:rPr>
              <w:t>本</w:t>
            </w:r>
            <w:r>
              <w:rPr>
                <w:sz w:val="24"/>
              </w:rPr>
              <w:t>项目运行工况，见表</w:t>
            </w:r>
            <w:r>
              <w:rPr>
                <w:rFonts w:hint="eastAsia"/>
                <w:sz w:val="24"/>
              </w:rPr>
              <w:t>7</w:t>
            </w:r>
            <w:r>
              <w:rPr>
                <w:sz w:val="24"/>
              </w:rPr>
              <w:t>-1。</w:t>
            </w:r>
            <w:r>
              <w:rPr>
                <w:rFonts w:hint="eastAsia"/>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szCs w:val="21"/>
              </w:rPr>
            </w:pPr>
            <w:r>
              <w:rPr>
                <w:b/>
                <w:bCs/>
                <w:szCs w:val="21"/>
              </w:rPr>
              <w:t>表</w:t>
            </w:r>
            <w:r>
              <w:rPr>
                <w:rFonts w:hint="eastAsia"/>
                <w:b/>
                <w:bCs/>
                <w:szCs w:val="21"/>
              </w:rPr>
              <w:t>7</w:t>
            </w:r>
            <w:r>
              <w:rPr>
                <w:b/>
                <w:bCs/>
                <w:szCs w:val="21"/>
              </w:rPr>
              <w:t>-1  监测期间生产工况</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803"/>
              <w:gridCol w:w="1393"/>
              <w:gridCol w:w="1464"/>
              <w:gridCol w:w="1161"/>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restart"/>
                  <w:noWrap w:val="0"/>
                  <w:vAlign w:val="center"/>
                </w:tcPr>
                <w:p>
                  <w:pPr>
                    <w:spacing w:line="240" w:lineRule="auto"/>
                    <w:jc w:val="center"/>
                    <w:rPr>
                      <w:rFonts w:hint="default"/>
                      <w:sz w:val="21"/>
                      <w:szCs w:val="21"/>
                    </w:rPr>
                  </w:pPr>
                  <w:r>
                    <w:rPr>
                      <w:rFonts w:hint="default"/>
                      <w:sz w:val="21"/>
                      <w:szCs w:val="21"/>
                    </w:rPr>
                    <w:t>产品</w:t>
                  </w:r>
                </w:p>
              </w:tc>
              <w:tc>
                <w:tcPr>
                  <w:tcW w:w="803" w:type="dxa"/>
                  <w:vMerge w:val="restart"/>
                  <w:noWrap w:val="0"/>
                  <w:vAlign w:val="center"/>
                </w:tcPr>
                <w:p>
                  <w:pPr>
                    <w:spacing w:line="240" w:lineRule="auto"/>
                    <w:jc w:val="center"/>
                    <w:rPr>
                      <w:rFonts w:hint="default"/>
                      <w:sz w:val="21"/>
                      <w:szCs w:val="21"/>
                    </w:rPr>
                  </w:pPr>
                  <w:r>
                    <w:rPr>
                      <w:rFonts w:hint="default"/>
                      <w:sz w:val="21"/>
                      <w:szCs w:val="21"/>
                    </w:rPr>
                    <w:t>单位</w:t>
                  </w:r>
                </w:p>
              </w:tc>
              <w:tc>
                <w:tcPr>
                  <w:tcW w:w="2857" w:type="dxa"/>
                  <w:gridSpan w:val="2"/>
                  <w:noWrap w:val="0"/>
                  <w:vAlign w:val="center"/>
                </w:tcPr>
                <w:p>
                  <w:pPr>
                    <w:jc w:val="center"/>
                    <w:rPr>
                      <w:rFonts w:hint="eastAsia"/>
                      <w:sz w:val="21"/>
                      <w:szCs w:val="21"/>
                      <w:lang w:eastAsia="zh-CN"/>
                    </w:rPr>
                  </w:pPr>
                  <w:r>
                    <w:rPr>
                      <w:rFonts w:hint="eastAsia"/>
                      <w:szCs w:val="21"/>
                      <w:lang w:val="en-US" w:eastAsia="zh-CN"/>
                    </w:rPr>
                    <w:t>8</w:t>
                  </w:r>
                  <w:r>
                    <w:rPr>
                      <w:szCs w:val="21"/>
                    </w:rPr>
                    <w:t>月</w:t>
                  </w:r>
                  <w:r>
                    <w:rPr>
                      <w:rFonts w:hint="eastAsia"/>
                      <w:szCs w:val="21"/>
                      <w:lang w:val="en-US" w:eastAsia="zh-CN"/>
                    </w:rPr>
                    <w:t>10</w:t>
                  </w:r>
                  <w:r>
                    <w:rPr>
                      <w:szCs w:val="21"/>
                    </w:rPr>
                    <w:t>日</w:t>
                  </w:r>
                </w:p>
              </w:tc>
              <w:tc>
                <w:tcPr>
                  <w:tcW w:w="2570" w:type="dxa"/>
                  <w:gridSpan w:val="2"/>
                  <w:noWrap w:val="0"/>
                  <w:vAlign w:val="center"/>
                </w:tcPr>
                <w:p>
                  <w:pPr>
                    <w:jc w:val="center"/>
                    <w:rPr>
                      <w:rFonts w:hint="eastAsia"/>
                      <w:sz w:val="21"/>
                      <w:szCs w:val="21"/>
                      <w:lang w:eastAsia="zh-CN"/>
                    </w:rPr>
                  </w:pPr>
                  <w:r>
                    <w:rPr>
                      <w:rFonts w:hint="eastAsia"/>
                      <w:szCs w:val="21"/>
                      <w:lang w:val="en-US" w:eastAsia="zh-CN"/>
                    </w:rPr>
                    <w:t>8月11日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noWrap w:val="0"/>
                  <w:vAlign w:val="center"/>
                </w:tcPr>
                <w:p>
                  <w:pPr>
                    <w:spacing w:line="240" w:lineRule="auto"/>
                    <w:jc w:val="center"/>
                    <w:rPr>
                      <w:rFonts w:hint="default"/>
                      <w:sz w:val="21"/>
                      <w:szCs w:val="21"/>
                    </w:rPr>
                  </w:pPr>
                </w:p>
              </w:tc>
              <w:tc>
                <w:tcPr>
                  <w:tcW w:w="803" w:type="dxa"/>
                  <w:vMerge w:val="continue"/>
                  <w:noWrap w:val="0"/>
                  <w:vAlign w:val="center"/>
                </w:tcPr>
                <w:p>
                  <w:pPr>
                    <w:spacing w:line="240" w:lineRule="auto"/>
                    <w:jc w:val="center"/>
                    <w:rPr>
                      <w:rFonts w:hint="default"/>
                      <w:sz w:val="21"/>
                      <w:szCs w:val="21"/>
                    </w:rPr>
                  </w:pPr>
                </w:p>
              </w:tc>
              <w:tc>
                <w:tcPr>
                  <w:tcW w:w="1393" w:type="dxa"/>
                  <w:noWrap w:val="0"/>
                  <w:vAlign w:val="center"/>
                </w:tcPr>
                <w:p>
                  <w:pPr>
                    <w:spacing w:line="240" w:lineRule="auto"/>
                    <w:jc w:val="center"/>
                    <w:rPr>
                      <w:sz w:val="21"/>
                      <w:szCs w:val="21"/>
                    </w:rPr>
                  </w:pPr>
                  <w:r>
                    <w:rPr>
                      <w:sz w:val="21"/>
                      <w:szCs w:val="21"/>
                    </w:rPr>
                    <w:t>产量</w:t>
                  </w:r>
                </w:p>
              </w:tc>
              <w:tc>
                <w:tcPr>
                  <w:tcW w:w="1464" w:type="dxa"/>
                  <w:noWrap w:val="0"/>
                  <w:vAlign w:val="center"/>
                </w:tcPr>
                <w:p>
                  <w:pPr>
                    <w:spacing w:line="240" w:lineRule="auto"/>
                    <w:jc w:val="center"/>
                    <w:rPr>
                      <w:sz w:val="21"/>
                      <w:szCs w:val="21"/>
                    </w:rPr>
                  </w:pPr>
                  <w:r>
                    <w:rPr>
                      <w:sz w:val="21"/>
                      <w:szCs w:val="21"/>
                    </w:rPr>
                    <w:t>负荷（%）</w:t>
                  </w:r>
                </w:p>
              </w:tc>
              <w:tc>
                <w:tcPr>
                  <w:tcW w:w="1161" w:type="dxa"/>
                  <w:noWrap w:val="0"/>
                  <w:vAlign w:val="center"/>
                </w:tcPr>
                <w:p>
                  <w:pPr>
                    <w:spacing w:line="240" w:lineRule="auto"/>
                    <w:jc w:val="center"/>
                    <w:rPr>
                      <w:sz w:val="21"/>
                      <w:szCs w:val="21"/>
                    </w:rPr>
                  </w:pPr>
                  <w:r>
                    <w:rPr>
                      <w:sz w:val="21"/>
                      <w:szCs w:val="21"/>
                    </w:rPr>
                    <w:t>产量</w:t>
                  </w:r>
                </w:p>
              </w:tc>
              <w:tc>
                <w:tcPr>
                  <w:tcW w:w="1409" w:type="dxa"/>
                  <w:noWrap w:val="0"/>
                  <w:vAlign w:val="center"/>
                </w:tcPr>
                <w:p>
                  <w:pPr>
                    <w:spacing w:line="240" w:lineRule="auto"/>
                    <w:jc w:val="center"/>
                    <w:rPr>
                      <w:sz w:val="21"/>
                      <w:szCs w:val="21"/>
                    </w:rPr>
                  </w:pPr>
                  <w:r>
                    <w:rPr>
                      <w:sz w:val="21"/>
                      <w:szCs w:val="21"/>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noWrap w:val="0"/>
                  <w:vAlign w:val="center"/>
                </w:tcPr>
                <w:p>
                  <w:pPr>
                    <w:spacing w:line="240" w:lineRule="auto"/>
                    <w:jc w:val="center"/>
                    <w:rPr>
                      <w:rFonts w:hint="default" w:eastAsia="宋体"/>
                      <w:sz w:val="21"/>
                      <w:szCs w:val="21"/>
                      <w:lang w:val="en-US" w:eastAsia="zh-CN"/>
                    </w:rPr>
                  </w:pPr>
                  <w:r>
                    <w:rPr>
                      <w:rFonts w:hint="eastAsia"/>
                      <w:sz w:val="21"/>
                      <w:szCs w:val="21"/>
                      <w:lang w:val="en-US" w:eastAsia="zh-CN"/>
                    </w:rPr>
                    <w:t>铝合金门窗</w:t>
                  </w:r>
                </w:p>
              </w:tc>
              <w:tc>
                <w:tcPr>
                  <w:tcW w:w="803" w:type="dxa"/>
                  <w:noWrap w:val="0"/>
                  <w:vAlign w:val="center"/>
                </w:tcPr>
                <w:p>
                  <w:pPr>
                    <w:spacing w:line="240" w:lineRule="auto"/>
                    <w:jc w:val="center"/>
                    <w:rPr>
                      <w:rFonts w:hint="default"/>
                      <w:sz w:val="21"/>
                      <w:szCs w:val="21"/>
                    </w:rPr>
                  </w:pPr>
                  <w:r>
                    <w:rPr>
                      <w:rFonts w:hint="eastAsia"/>
                      <w:sz w:val="21"/>
                      <w:szCs w:val="21"/>
                      <w:lang w:val="en-US" w:eastAsia="zh-CN"/>
                    </w:rPr>
                    <w:t>m</w:t>
                  </w:r>
                  <w:r>
                    <w:rPr>
                      <w:rFonts w:hint="eastAsia"/>
                      <w:sz w:val="21"/>
                      <w:szCs w:val="21"/>
                      <w:vertAlign w:val="superscript"/>
                      <w:lang w:val="en-US" w:eastAsia="zh-CN"/>
                    </w:rPr>
                    <w:t>2</w:t>
                  </w:r>
                  <w:r>
                    <w:rPr>
                      <w:rFonts w:hint="eastAsia"/>
                      <w:sz w:val="21"/>
                      <w:szCs w:val="21"/>
                    </w:rPr>
                    <w:t>/年</w:t>
                  </w:r>
                </w:p>
              </w:tc>
              <w:tc>
                <w:tcPr>
                  <w:tcW w:w="1393" w:type="dxa"/>
                  <w:noWrap w:val="0"/>
                  <w:vAlign w:val="center"/>
                </w:tcPr>
                <w:p>
                  <w:pPr>
                    <w:spacing w:line="240" w:lineRule="auto"/>
                    <w:jc w:val="center"/>
                    <w:rPr>
                      <w:rFonts w:hint="default"/>
                      <w:sz w:val="21"/>
                      <w:szCs w:val="21"/>
                      <w:lang w:val="en-US" w:eastAsia="zh-CN"/>
                    </w:rPr>
                  </w:pPr>
                  <w:r>
                    <w:rPr>
                      <w:rFonts w:hint="eastAsia"/>
                      <w:sz w:val="21"/>
                      <w:szCs w:val="21"/>
                      <w:lang w:val="en-US" w:eastAsia="zh-CN"/>
                    </w:rPr>
                    <w:t>25</w:t>
                  </w:r>
                </w:p>
              </w:tc>
              <w:tc>
                <w:tcPr>
                  <w:tcW w:w="1464" w:type="dxa"/>
                  <w:noWrap w:val="0"/>
                  <w:vAlign w:val="center"/>
                </w:tcPr>
                <w:p>
                  <w:pPr>
                    <w:spacing w:line="240" w:lineRule="auto"/>
                    <w:jc w:val="center"/>
                    <w:rPr>
                      <w:rFonts w:hint="default"/>
                      <w:sz w:val="21"/>
                      <w:szCs w:val="21"/>
                      <w:lang w:val="en-US" w:eastAsia="zh-CN"/>
                    </w:rPr>
                  </w:pPr>
                  <w:r>
                    <w:rPr>
                      <w:rFonts w:hint="eastAsia"/>
                      <w:sz w:val="21"/>
                      <w:szCs w:val="21"/>
                      <w:lang w:val="en-US" w:eastAsia="zh-CN"/>
                    </w:rPr>
                    <w:t>80</w:t>
                  </w:r>
                </w:p>
              </w:tc>
              <w:tc>
                <w:tcPr>
                  <w:tcW w:w="1161" w:type="dxa"/>
                  <w:noWrap w:val="0"/>
                  <w:vAlign w:val="center"/>
                </w:tcPr>
                <w:p>
                  <w:pPr>
                    <w:spacing w:line="240" w:lineRule="auto"/>
                    <w:jc w:val="center"/>
                    <w:rPr>
                      <w:rFonts w:hint="default"/>
                      <w:sz w:val="21"/>
                      <w:szCs w:val="21"/>
                      <w:lang w:val="en-US" w:eastAsia="zh-CN"/>
                    </w:rPr>
                  </w:pPr>
                  <w:r>
                    <w:rPr>
                      <w:rFonts w:hint="eastAsia"/>
                      <w:sz w:val="21"/>
                      <w:szCs w:val="21"/>
                      <w:lang w:val="en-US" w:eastAsia="zh-CN"/>
                    </w:rPr>
                    <w:t>26</w:t>
                  </w:r>
                </w:p>
              </w:tc>
              <w:tc>
                <w:tcPr>
                  <w:tcW w:w="1409" w:type="dxa"/>
                  <w:noWrap w:val="0"/>
                  <w:vAlign w:val="center"/>
                </w:tcPr>
                <w:p>
                  <w:pPr>
                    <w:spacing w:line="240" w:lineRule="auto"/>
                    <w:jc w:val="center"/>
                    <w:rPr>
                      <w:rFonts w:hint="default"/>
                      <w:sz w:val="21"/>
                      <w:szCs w:val="21"/>
                      <w:lang w:val="en-US"/>
                    </w:rPr>
                  </w:pPr>
                  <w:r>
                    <w:rPr>
                      <w:rFonts w:hint="eastAsia"/>
                      <w:sz w:val="21"/>
                      <w:szCs w:val="21"/>
                      <w:lang w:val="en-US" w:eastAsia="zh-CN"/>
                    </w:rPr>
                    <w:t>83.2</w:t>
                  </w:r>
                </w:p>
              </w:tc>
            </w:tr>
          </w:tbl>
          <w:p/>
          <w:p>
            <w:pPr>
              <w:spacing w:line="360" w:lineRule="auto"/>
              <w:outlineLvl w:val="1"/>
            </w:pPr>
            <w:bookmarkStart w:id="94" w:name="_Toc30258"/>
            <w:bookmarkStart w:id="95" w:name="_Toc11208_WPSOffice_Level2"/>
            <w:bookmarkStart w:id="96" w:name="_Toc15238_WPSOffice_Level3"/>
            <w:bookmarkStart w:id="97" w:name="_Toc24401"/>
            <w:bookmarkStart w:id="98" w:name="_Toc13694_WPSOffice_Level2"/>
            <w:r>
              <w:rPr>
                <w:rFonts w:hint="eastAsia"/>
                <w:b/>
                <w:bCs/>
                <w:sz w:val="28"/>
                <w:szCs w:val="28"/>
              </w:rPr>
              <w:t>7</w:t>
            </w:r>
            <w:r>
              <w:rPr>
                <w:b/>
                <w:bCs/>
                <w:sz w:val="28"/>
                <w:szCs w:val="28"/>
              </w:rPr>
              <w:t>.2、环保设施调试运行效果</w:t>
            </w:r>
            <w:bookmarkEnd w:id="94"/>
            <w:bookmarkEnd w:id="95"/>
          </w:p>
          <w:bookmarkEnd w:id="96"/>
          <w:bookmarkEnd w:id="97"/>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eastAsia="宋体"/>
                <w:b/>
                <w:bCs/>
                <w:sz w:val="24"/>
                <w:lang w:val="en-US" w:eastAsia="zh-CN"/>
              </w:rPr>
            </w:pPr>
            <w:r>
              <w:rPr>
                <w:rFonts w:hint="eastAsia"/>
                <w:b/>
                <w:bCs/>
                <w:sz w:val="24"/>
              </w:rPr>
              <w:t>7.2.1、</w:t>
            </w:r>
            <w:bookmarkEnd w:id="98"/>
            <w:r>
              <w:rPr>
                <w:rFonts w:hint="eastAsia"/>
                <w:b/>
                <w:bCs/>
                <w:sz w:val="24"/>
                <w:lang w:val="en-US" w:eastAsia="zh-CN"/>
              </w:rPr>
              <w:t>噪声监测结果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val="0"/>
                <w:bCs w:val="0"/>
                <w:sz w:val="24"/>
              </w:rPr>
            </w:pPr>
            <w:r>
              <w:rPr>
                <w:b/>
                <w:bCs/>
                <w:sz w:val="21"/>
                <w:szCs w:val="21"/>
              </w:rPr>
              <w:t>表</w:t>
            </w:r>
            <w:r>
              <w:rPr>
                <w:rFonts w:hint="eastAsia"/>
                <w:b/>
                <w:bCs/>
                <w:sz w:val="21"/>
                <w:szCs w:val="21"/>
              </w:rPr>
              <w:t>7</w:t>
            </w:r>
            <w:r>
              <w:rPr>
                <w:b/>
                <w:bCs/>
                <w:sz w:val="21"/>
                <w:szCs w:val="21"/>
              </w:rPr>
              <w:t>-</w:t>
            </w:r>
            <w:r>
              <w:rPr>
                <w:rFonts w:hint="eastAsia"/>
                <w:b/>
                <w:bCs/>
                <w:sz w:val="21"/>
                <w:szCs w:val="21"/>
                <w:lang w:val="en-US" w:eastAsia="zh-CN"/>
              </w:rPr>
              <w:t>2</w:t>
            </w:r>
            <w:r>
              <w:rPr>
                <w:rFonts w:hint="eastAsia"/>
                <w:b/>
                <w:bCs/>
                <w:sz w:val="21"/>
                <w:szCs w:val="21"/>
              </w:rPr>
              <w:t xml:space="preserve"> </w:t>
            </w:r>
            <w:r>
              <w:rPr>
                <w:rFonts w:hint="eastAsia"/>
                <w:b/>
                <w:bCs/>
                <w:sz w:val="21"/>
                <w:szCs w:val="21"/>
                <w:lang w:val="en-US" w:eastAsia="zh-CN"/>
              </w:rPr>
              <w:t xml:space="preserve"> </w:t>
            </w:r>
            <w:r>
              <w:rPr>
                <w:b/>
                <w:bCs/>
                <w:sz w:val="21"/>
                <w:szCs w:val="21"/>
              </w:rPr>
              <w:t>噪声监测结果一览表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2072"/>
              <w:gridCol w:w="2329"/>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230" w:type="pct"/>
                  <w:vMerge w:val="restart"/>
                  <w:tcBorders>
                    <w:tl2br w:val="nil"/>
                    <w:tr2bl w:val="nil"/>
                  </w:tcBorders>
                  <w:vAlign w:val="center"/>
                </w:tcPr>
                <w:p>
                  <w:pPr>
                    <w:wordWrap w:val="0"/>
                    <w:jc w:val="center"/>
                    <w:rPr>
                      <w:szCs w:val="21"/>
                    </w:rPr>
                  </w:pPr>
                  <w:r>
                    <w:rPr>
                      <w:szCs w:val="21"/>
                    </w:rPr>
                    <w:t>检测点位</w:t>
                  </w:r>
                </w:p>
              </w:tc>
              <w:tc>
                <w:tcPr>
                  <w:tcW w:w="1154" w:type="pct"/>
                  <w:vMerge w:val="restart"/>
                  <w:tcBorders>
                    <w:tl2br w:val="nil"/>
                    <w:tr2bl w:val="nil"/>
                  </w:tcBorders>
                  <w:vAlign w:val="center"/>
                </w:tcPr>
                <w:p>
                  <w:pPr>
                    <w:wordWrap w:val="0"/>
                    <w:jc w:val="center"/>
                    <w:rPr>
                      <w:szCs w:val="21"/>
                    </w:rPr>
                  </w:pPr>
                  <w:r>
                    <w:rPr>
                      <w:szCs w:val="21"/>
                    </w:rPr>
                    <w:t>检测日期</w:t>
                  </w:r>
                </w:p>
              </w:tc>
              <w:tc>
                <w:tcPr>
                  <w:tcW w:w="2614" w:type="pct"/>
                  <w:gridSpan w:val="2"/>
                  <w:tcBorders>
                    <w:tl2br w:val="nil"/>
                    <w:tr2bl w:val="nil"/>
                  </w:tcBorders>
                  <w:vAlign w:val="center"/>
                </w:tcPr>
                <w:p>
                  <w:pPr>
                    <w:wordWrap w:val="0"/>
                    <w:jc w:val="center"/>
                    <w:rPr>
                      <w:szCs w:val="21"/>
                    </w:rPr>
                  </w:pPr>
                  <w:r>
                    <w:rPr>
                      <w:szCs w:val="21"/>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230" w:type="pct"/>
                  <w:vMerge w:val="continue"/>
                  <w:tcBorders>
                    <w:tl2br w:val="nil"/>
                    <w:tr2bl w:val="nil"/>
                  </w:tcBorders>
                  <w:vAlign w:val="center"/>
                </w:tcPr>
                <w:p>
                  <w:pPr>
                    <w:wordWrap w:val="0"/>
                    <w:jc w:val="center"/>
                    <w:rPr>
                      <w:szCs w:val="21"/>
                    </w:rPr>
                  </w:pPr>
                </w:p>
              </w:tc>
              <w:tc>
                <w:tcPr>
                  <w:tcW w:w="1154" w:type="pct"/>
                  <w:vMerge w:val="continue"/>
                  <w:tcBorders>
                    <w:tl2br w:val="nil"/>
                    <w:tr2bl w:val="nil"/>
                  </w:tcBorders>
                  <w:vAlign w:val="center"/>
                </w:tcPr>
                <w:p>
                  <w:pPr>
                    <w:wordWrap w:val="0"/>
                    <w:jc w:val="center"/>
                    <w:rPr>
                      <w:szCs w:val="21"/>
                    </w:rPr>
                  </w:pPr>
                </w:p>
              </w:tc>
              <w:tc>
                <w:tcPr>
                  <w:tcW w:w="1298" w:type="pct"/>
                  <w:tcBorders>
                    <w:tl2br w:val="nil"/>
                    <w:tr2bl w:val="nil"/>
                  </w:tcBorders>
                  <w:vAlign w:val="center"/>
                </w:tcPr>
                <w:p>
                  <w:pPr>
                    <w:wordWrap w:val="0"/>
                    <w:jc w:val="center"/>
                    <w:rPr>
                      <w:rFonts w:hint="default" w:eastAsia="宋体"/>
                      <w:szCs w:val="21"/>
                      <w:lang w:val="en-US" w:eastAsia="zh-CN"/>
                    </w:rPr>
                  </w:pPr>
                  <w:r>
                    <w:rPr>
                      <w:rFonts w:hint="eastAsia"/>
                      <w:szCs w:val="21"/>
                      <w:lang w:val="en-US" w:eastAsia="zh-CN"/>
                    </w:rPr>
                    <w:t>昼间</w:t>
                  </w:r>
                </w:p>
              </w:tc>
              <w:tc>
                <w:tcPr>
                  <w:tcW w:w="1316" w:type="pct"/>
                  <w:tcBorders>
                    <w:tl2br w:val="nil"/>
                    <w:tr2bl w:val="nil"/>
                  </w:tcBorders>
                  <w:vAlign w:val="center"/>
                </w:tcPr>
                <w:p>
                  <w:pPr>
                    <w:wordWrap w:val="0"/>
                    <w:jc w:val="center"/>
                    <w:rPr>
                      <w:szCs w:val="21"/>
                    </w:rPr>
                  </w:pPr>
                  <w:r>
                    <w:rPr>
                      <w:rFonts w:hint="eastAsia"/>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0" w:type="pct"/>
                  <w:vMerge w:val="restart"/>
                  <w:tcBorders>
                    <w:tl2br w:val="nil"/>
                    <w:tr2bl w:val="nil"/>
                  </w:tcBorders>
                  <w:vAlign w:val="center"/>
                </w:tcPr>
                <w:p>
                  <w:pPr>
                    <w:wordWrap w:val="0"/>
                    <w:jc w:val="center"/>
                    <w:rPr>
                      <w:szCs w:val="21"/>
                    </w:rPr>
                  </w:pPr>
                  <w:r>
                    <w:rPr>
                      <w:szCs w:val="21"/>
                    </w:rPr>
                    <w:t>▲</w:t>
                  </w:r>
                  <w:r>
                    <w:rPr>
                      <w:rFonts w:hint="eastAsia"/>
                      <w:szCs w:val="21"/>
                    </w:rPr>
                    <w:t xml:space="preserve">1 </w:t>
                  </w:r>
                  <w:r>
                    <w:rPr>
                      <w:szCs w:val="21"/>
                    </w:rPr>
                    <w:t>东厂界</w:t>
                  </w:r>
                </w:p>
              </w:tc>
              <w:tc>
                <w:tcPr>
                  <w:tcW w:w="1154" w:type="pct"/>
                  <w:tcBorders>
                    <w:tl2br w:val="nil"/>
                    <w:tr2bl w:val="nil"/>
                  </w:tcBorders>
                  <w:vAlign w:val="center"/>
                </w:tcPr>
                <w:p>
                  <w:pPr>
                    <w:spacing w:line="240" w:lineRule="auto"/>
                    <w:jc w:val="center"/>
                    <w:rPr>
                      <w:rFonts w:hint="default"/>
                      <w:szCs w:val="21"/>
                      <w:lang w:val="en-US"/>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8.10</w:t>
                  </w:r>
                </w:p>
              </w:tc>
              <w:tc>
                <w:tcPr>
                  <w:tcW w:w="1298" w:type="pct"/>
                  <w:tcBorders>
                    <w:tl2br w:val="nil"/>
                    <w:tr2bl w:val="nil"/>
                  </w:tcBorders>
                  <w:vAlign w:val="center"/>
                </w:tcPr>
                <w:p>
                  <w:pPr>
                    <w:jc w:val="center"/>
                    <w:rPr>
                      <w:color w:val="FF0000"/>
                      <w:szCs w:val="21"/>
                    </w:rPr>
                  </w:pPr>
                  <w:r>
                    <w:rPr>
                      <w:rFonts w:hint="eastAsia" w:ascii="Times New Roman" w:hAnsi="Times New Roman" w:eastAsia="宋体" w:cs="Times New Roman"/>
                      <w:szCs w:val="21"/>
                      <w:lang w:val="en-US" w:eastAsia="zh-CN"/>
                    </w:rPr>
                    <w:t>5</w:t>
                  </w:r>
                  <w:r>
                    <w:rPr>
                      <w:rFonts w:hint="eastAsia" w:cs="Times New Roman"/>
                      <w:szCs w:val="21"/>
                      <w:lang w:val="en-US" w:eastAsia="zh-CN"/>
                    </w:rPr>
                    <w:t>3</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30" w:type="pct"/>
                  <w:vMerge w:val="continue"/>
                  <w:tcBorders>
                    <w:tl2br w:val="nil"/>
                    <w:tr2bl w:val="nil"/>
                  </w:tcBorders>
                  <w:vAlign w:val="center"/>
                </w:tcPr>
                <w:p>
                  <w:pPr>
                    <w:wordWrap w:val="0"/>
                    <w:jc w:val="center"/>
                    <w:rPr>
                      <w:szCs w:val="21"/>
                    </w:rPr>
                  </w:pPr>
                </w:p>
              </w:tc>
              <w:tc>
                <w:tcPr>
                  <w:tcW w:w="1154" w:type="pct"/>
                  <w:tcBorders>
                    <w:tl2br w:val="nil"/>
                    <w:tr2bl w:val="nil"/>
                  </w:tcBorders>
                  <w:vAlign w:val="center"/>
                </w:tcPr>
                <w:p>
                  <w:pPr>
                    <w:spacing w:line="240" w:lineRule="auto"/>
                    <w:jc w:val="center"/>
                    <w:rPr>
                      <w:rFonts w:hint="default"/>
                      <w:szCs w:val="21"/>
                      <w:lang w:val="en-US"/>
                    </w:rPr>
                  </w:pPr>
                  <w:r>
                    <w:rPr>
                      <w:rFonts w:hint="default" w:ascii="Times New Roman" w:hAnsi="Times New Roman" w:eastAsia="宋体" w:cs="Times New Roman"/>
                      <w:sz w:val="21"/>
                      <w:szCs w:val="21"/>
                      <w:lang w:val="en-US" w:eastAsia="zh-CN"/>
                    </w:rPr>
                    <w:t>20</w:t>
                  </w:r>
                  <w:r>
                    <w:rPr>
                      <w:rFonts w:hint="default" w:ascii="Times New Roman" w:hAnsi="Times New Roman" w:cs="Times New Roman"/>
                      <w:sz w:val="21"/>
                      <w:szCs w:val="21"/>
                      <w:lang w:val="en-US" w:eastAsia="zh-CN"/>
                    </w:rPr>
                    <w:t>20</w:t>
                  </w:r>
                  <w:r>
                    <w:rPr>
                      <w:rFonts w:hint="eastAsia" w:ascii="Times New Roman" w:hAnsi="Times New Roman" w:cs="Times New Roman"/>
                      <w:sz w:val="21"/>
                      <w:szCs w:val="21"/>
                      <w:lang w:val="en-US" w:eastAsia="zh-CN"/>
                    </w:rPr>
                    <w:t>.8.11</w:t>
                  </w:r>
                </w:p>
              </w:tc>
              <w:tc>
                <w:tcPr>
                  <w:tcW w:w="1298" w:type="pct"/>
                  <w:tcBorders>
                    <w:tl2br w:val="nil"/>
                    <w:tr2bl w:val="nil"/>
                  </w:tcBorders>
                  <w:vAlign w:val="center"/>
                </w:tcPr>
                <w:p>
                  <w:pPr>
                    <w:jc w:val="center"/>
                    <w:rPr>
                      <w:rFonts w:hint="default"/>
                      <w:color w:val="FF0000"/>
                      <w:szCs w:val="21"/>
                      <w:lang w:val="en-US"/>
                    </w:rPr>
                  </w:pPr>
                  <w:r>
                    <w:rPr>
                      <w:rFonts w:hint="eastAsia" w:cs="Times New Roman"/>
                      <w:szCs w:val="21"/>
                      <w:lang w:val="en-US" w:eastAsia="zh-CN"/>
                    </w:rPr>
                    <w:t>53</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30" w:type="pct"/>
                  <w:vMerge w:val="restart"/>
                  <w:tcBorders>
                    <w:tl2br w:val="nil"/>
                    <w:tr2bl w:val="nil"/>
                  </w:tcBorders>
                  <w:vAlign w:val="center"/>
                </w:tcPr>
                <w:p>
                  <w:pPr>
                    <w:wordWrap w:val="0"/>
                    <w:jc w:val="center"/>
                    <w:rPr>
                      <w:szCs w:val="21"/>
                    </w:rPr>
                  </w:pPr>
                  <w:r>
                    <w:rPr>
                      <w:szCs w:val="21"/>
                    </w:rPr>
                    <w:t>▲2南厂界</w:t>
                  </w:r>
                </w:p>
              </w:tc>
              <w:tc>
                <w:tcPr>
                  <w:tcW w:w="1154" w:type="pct"/>
                  <w:tcBorders>
                    <w:tl2br w:val="nil"/>
                    <w:tr2bl w:val="nil"/>
                  </w:tcBorders>
                  <w:vAlign w:val="center"/>
                </w:tcPr>
                <w:p>
                  <w:pPr>
                    <w:spacing w:line="240" w:lineRule="auto"/>
                    <w:jc w:val="center"/>
                    <w:rPr>
                      <w:szCs w:val="21"/>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8.10</w:t>
                  </w:r>
                </w:p>
              </w:tc>
              <w:tc>
                <w:tcPr>
                  <w:tcW w:w="1298" w:type="pct"/>
                  <w:tcBorders>
                    <w:tl2br w:val="nil"/>
                    <w:tr2bl w:val="nil"/>
                  </w:tcBorders>
                  <w:vAlign w:val="center"/>
                </w:tcPr>
                <w:p>
                  <w:pPr>
                    <w:jc w:val="center"/>
                    <w:rPr>
                      <w:rFonts w:hint="default"/>
                      <w:color w:val="FF0000"/>
                      <w:szCs w:val="21"/>
                      <w:lang w:val="en-US"/>
                    </w:rPr>
                  </w:pPr>
                  <w:r>
                    <w:rPr>
                      <w:rFonts w:hint="eastAsia" w:cs="Times New Roman"/>
                      <w:szCs w:val="21"/>
                      <w:lang w:val="en-US" w:eastAsia="zh-CN"/>
                    </w:rPr>
                    <w:t>53</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0" w:type="pct"/>
                  <w:vMerge w:val="continue"/>
                  <w:tcBorders>
                    <w:tl2br w:val="nil"/>
                    <w:tr2bl w:val="nil"/>
                  </w:tcBorders>
                  <w:vAlign w:val="center"/>
                </w:tcPr>
                <w:p>
                  <w:pPr>
                    <w:wordWrap w:val="0"/>
                    <w:jc w:val="center"/>
                    <w:rPr>
                      <w:szCs w:val="21"/>
                    </w:rPr>
                  </w:pPr>
                </w:p>
              </w:tc>
              <w:tc>
                <w:tcPr>
                  <w:tcW w:w="1154" w:type="pct"/>
                  <w:tcBorders>
                    <w:tl2br w:val="nil"/>
                    <w:tr2bl w:val="nil"/>
                  </w:tcBorders>
                  <w:vAlign w:val="center"/>
                </w:tcPr>
                <w:p>
                  <w:pPr>
                    <w:spacing w:line="240" w:lineRule="auto"/>
                    <w:jc w:val="center"/>
                    <w:rPr>
                      <w:szCs w:val="21"/>
                    </w:rPr>
                  </w:pPr>
                  <w:r>
                    <w:rPr>
                      <w:rFonts w:hint="default" w:ascii="Times New Roman" w:hAnsi="Times New Roman" w:eastAsia="宋体" w:cs="Times New Roman"/>
                      <w:sz w:val="21"/>
                      <w:szCs w:val="21"/>
                      <w:lang w:val="en-US" w:eastAsia="zh-CN"/>
                    </w:rPr>
                    <w:t>20</w:t>
                  </w:r>
                  <w:r>
                    <w:rPr>
                      <w:rFonts w:hint="default" w:ascii="Times New Roman" w:hAnsi="Times New Roman" w:cs="Times New Roman"/>
                      <w:sz w:val="21"/>
                      <w:szCs w:val="21"/>
                      <w:lang w:val="en-US" w:eastAsia="zh-CN"/>
                    </w:rPr>
                    <w:t>20</w:t>
                  </w:r>
                  <w:r>
                    <w:rPr>
                      <w:rFonts w:hint="eastAsia" w:ascii="Times New Roman" w:hAnsi="Times New Roman" w:cs="Times New Roman"/>
                      <w:sz w:val="21"/>
                      <w:szCs w:val="21"/>
                      <w:lang w:val="en-US" w:eastAsia="zh-CN"/>
                    </w:rPr>
                    <w:t>.8.11</w:t>
                  </w:r>
                </w:p>
              </w:tc>
              <w:tc>
                <w:tcPr>
                  <w:tcW w:w="1298" w:type="pct"/>
                  <w:tcBorders>
                    <w:tl2br w:val="nil"/>
                    <w:tr2bl w:val="nil"/>
                  </w:tcBorders>
                  <w:vAlign w:val="center"/>
                </w:tcPr>
                <w:p>
                  <w:pPr>
                    <w:jc w:val="center"/>
                    <w:rPr>
                      <w:rFonts w:hint="default"/>
                      <w:color w:val="FF0000"/>
                      <w:szCs w:val="21"/>
                      <w:lang w:val="en-US"/>
                    </w:rPr>
                  </w:pPr>
                  <w:r>
                    <w:rPr>
                      <w:rFonts w:hint="eastAsia" w:cs="Times New Roman"/>
                      <w:szCs w:val="21"/>
                      <w:lang w:val="en-US" w:eastAsia="zh-CN"/>
                    </w:rPr>
                    <w:t>53</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30" w:type="pct"/>
                  <w:vMerge w:val="restart"/>
                  <w:tcBorders>
                    <w:tl2br w:val="nil"/>
                    <w:tr2bl w:val="nil"/>
                  </w:tcBorders>
                  <w:vAlign w:val="center"/>
                </w:tcPr>
                <w:p>
                  <w:pPr>
                    <w:wordWrap w:val="0"/>
                    <w:jc w:val="center"/>
                    <w:rPr>
                      <w:szCs w:val="21"/>
                    </w:rPr>
                  </w:pPr>
                  <w:r>
                    <w:rPr>
                      <w:szCs w:val="21"/>
                    </w:rPr>
                    <w:t>▲</w:t>
                  </w:r>
                  <w:r>
                    <w:rPr>
                      <w:rFonts w:hint="eastAsia"/>
                      <w:szCs w:val="21"/>
                      <w:lang w:val="en-US" w:eastAsia="zh-CN"/>
                    </w:rPr>
                    <w:t>3西</w:t>
                  </w:r>
                  <w:r>
                    <w:rPr>
                      <w:szCs w:val="21"/>
                    </w:rPr>
                    <w:t>厂界</w:t>
                  </w:r>
                </w:p>
              </w:tc>
              <w:tc>
                <w:tcPr>
                  <w:tcW w:w="1154" w:type="pct"/>
                  <w:tcBorders>
                    <w:tl2br w:val="nil"/>
                    <w:tr2bl w:val="nil"/>
                  </w:tcBorders>
                  <w:vAlign w:val="center"/>
                </w:tcPr>
                <w:p>
                  <w:pPr>
                    <w:spacing w:line="240" w:lineRule="auto"/>
                    <w:jc w:val="center"/>
                    <w:rPr>
                      <w:szCs w:val="21"/>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8.10</w:t>
                  </w:r>
                </w:p>
              </w:tc>
              <w:tc>
                <w:tcPr>
                  <w:tcW w:w="1298" w:type="pct"/>
                  <w:tcBorders>
                    <w:tl2br w:val="nil"/>
                    <w:tr2bl w:val="nil"/>
                  </w:tcBorders>
                  <w:vAlign w:val="center"/>
                </w:tcPr>
                <w:p>
                  <w:pPr>
                    <w:jc w:val="center"/>
                    <w:rPr>
                      <w:color w:val="FF0000"/>
                      <w:szCs w:val="21"/>
                    </w:rPr>
                  </w:pPr>
                  <w:r>
                    <w:rPr>
                      <w:rFonts w:hint="eastAsia" w:cs="Times New Roman"/>
                      <w:szCs w:val="21"/>
                      <w:lang w:val="en-US" w:eastAsia="zh-CN"/>
                    </w:rPr>
                    <w:t>53</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230" w:type="pct"/>
                  <w:vMerge w:val="continue"/>
                  <w:tcBorders>
                    <w:tl2br w:val="nil"/>
                    <w:tr2bl w:val="nil"/>
                  </w:tcBorders>
                  <w:vAlign w:val="center"/>
                </w:tcPr>
                <w:p>
                  <w:pPr>
                    <w:wordWrap w:val="0"/>
                    <w:jc w:val="left"/>
                    <w:rPr>
                      <w:szCs w:val="21"/>
                    </w:rPr>
                  </w:pPr>
                </w:p>
              </w:tc>
              <w:tc>
                <w:tcPr>
                  <w:tcW w:w="1154" w:type="pct"/>
                  <w:tcBorders>
                    <w:tl2br w:val="nil"/>
                    <w:tr2bl w:val="nil"/>
                  </w:tcBorders>
                  <w:vAlign w:val="center"/>
                </w:tcPr>
                <w:p>
                  <w:pPr>
                    <w:spacing w:line="240" w:lineRule="auto"/>
                    <w:jc w:val="center"/>
                    <w:rPr>
                      <w:szCs w:val="21"/>
                    </w:rPr>
                  </w:pPr>
                  <w:r>
                    <w:rPr>
                      <w:rFonts w:hint="default" w:ascii="Times New Roman" w:hAnsi="Times New Roman" w:eastAsia="宋体" w:cs="Times New Roman"/>
                      <w:sz w:val="21"/>
                      <w:szCs w:val="21"/>
                      <w:lang w:val="en-US" w:eastAsia="zh-CN"/>
                    </w:rPr>
                    <w:t>20</w:t>
                  </w:r>
                  <w:r>
                    <w:rPr>
                      <w:rFonts w:hint="default" w:ascii="Times New Roman" w:hAnsi="Times New Roman" w:cs="Times New Roman"/>
                      <w:sz w:val="21"/>
                      <w:szCs w:val="21"/>
                      <w:lang w:val="en-US" w:eastAsia="zh-CN"/>
                    </w:rPr>
                    <w:t>20</w:t>
                  </w:r>
                  <w:r>
                    <w:rPr>
                      <w:rFonts w:hint="eastAsia" w:ascii="Times New Roman" w:hAnsi="Times New Roman" w:cs="Times New Roman"/>
                      <w:sz w:val="21"/>
                      <w:szCs w:val="21"/>
                      <w:lang w:val="en-US" w:eastAsia="zh-CN"/>
                    </w:rPr>
                    <w:t>.8.11</w:t>
                  </w:r>
                </w:p>
              </w:tc>
              <w:tc>
                <w:tcPr>
                  <w:tcW w:w="1298" w:type="pct"/>
                  <w:tcBorders>
                    <w:tl2br w:val="nil"/>
                    <w:tr2bl w:val="nil"/>
                  </w:tcBorders>
                  <w:vAlign w:val="center"/>
                </w:tcPr>
                <w:p>
                  <w:pPr>
                    <w:widowControl/>
                    <w:jc w:val="center"/>
                    <w:rPr>
                      <w:rFonts w:hint="default"/>
                      <w:color w:val="FF0000"/>
                      <w:szCs w:val="21"/>
                      <w:lang w:val="en-US"/>
                    </w:rPr>
                  </w:pPr>
                  <w:r>
                    <w:rPr>
                      <w:rFonts w:hint="eastAsia" w:cs="Times New Roman"/>
                      <w:szCs w:val="21"/>
                      <w:lang w:val="en-US" w:eastAsia="zh-CN"/>
                    </w:rPr>
                    <w:t>52</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30" w:type="pct"/>
                  <w:vMerge w:val="restart"/>
                  <w:tcBorders>
                    <w:tl2br w:val="nil"/>
                    <w:tr2bl w:val="nil"/>
                  </w:tcBorders>
                  <w:vAlign w:val="center"/>
                </w:tcPr>
                <w:p>
                  <w:pPr>
                    <w:wordWrap w:val="0"/>
                    <w:jc w:val="center"/>
                    <w:rPr>
                      <w:szCs w:val="21"/>
                    </w:rPr>
                  </w:pPr>
                  <w:r>
                    <w:rPr>
                      <w:szCs w:val="21"/>
                    </w:rPr>
                    <w:t>▲</w:t>
                  </w:r>
                  <w:r>
                    <w:rPr>
                      <w:rFonts w:hint="eastAsia"/>
                      <w:szCs w:val="21"/>
                      <w:lang w:val="en-US" w:eastAsia="zh-CN"/>
                    </w:rPr>
                    <w:t>4北</w:t>
                  </w:r>
                  <w:r>
                    <w:rPr>
                      <w:szCs w:val="21"/>
                    </w:rPr>
                    <w:t>厂界</w:t>
                  </w:r>
                </w:p>
              </w:tc>
              <w:tc>
                <w:tcPr>
                  <w:tcW w:w="1154" w:type="pct"/>
                  <w:tcBorders>
                    <w:tl2br w:val="nil"/>
                    <w:tr2bl w:val="nil"/>
                  </w:tcBorders>
                  <w:vAlign w:val="center"/>
                </w:tcPr>
                <w:p>
                  <w:pPr>
                    <w:spacing w:line="240" w:lineRule="auto"/>
                    <w:jc w:val="center"/>
                    <w:rPr>
                      <w:szCs w:val="21"/>
                    </w:rPr>
                  </w:pPr>
                  <w:r>
                    <w:rPr>
                      <w:rFonts w:hint="default" w:ascii="Times New Roman" w:hAnsi="Times New Roman" w:cs="Times New Roman"/>
                      <w:sz w:val="21"/>
                      <w:szCs w:val="21"/>
                      <w:lang w:val="en-US" w:eastAsia="zh-CN"/>
                    </w:rPr>
                    <w:t>2020.</w:t>
                  </w:r>
                  <w:r>
                    <w:rPr>
                      <w:rFonts w:hint="eastAsia" w:ascii="Times New Roman" w:hAnsi="Times New Roman" w:cs="Times New Roman"/>
                      <w:sz w:val="21"/>
                      <w:szCs w:val="21"/>
                      <w:lang w:val="en-US" w:eastAsia="zh-CN"/>
                    </w:rPr>
                    <w:t>8.10</w:t>
                  </w:r>
                </w:p>
              </w:tc>
              <w:tc>
                <w:tcPr>
                  <w:tcW w:w="1298" w:type="pct"/>
                  <w:tcBorders>
                    <w:tl2br w:val="nil"/>
                    <w:tr2bl w:val="nil"/>
                  </w:tcBorders>
                  <w:vAlign w:val="center"/>
                </w:tcPr>
                <w:p>
                  <w:pPr>
                    <w:jc w:val="center"/>
                    <w:rPr>
                      <w:rFonts w:hint="default"/>
                      <w:color w:val="FF0000"/>
                      <w:szCs w:val="21"/>
                      <w:lang w:val="en-US"/>
                    </w:rPr>
                  </w:pPr>
                  <w:r>
                    <w:rPr>
                      <w:rFonts w:hint="eastAsia" w:cs="Times New Roman"/>
                      <w:szCs w:val="21"/>
                      <w:lang w:val="en-US" w:eastAsia="zh-CN"/>
                    </w:rPr>
                    <w:t>53</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30" w:type="pct"/>
                  <w:vMerge w:val="continue"/>
                  <w:tcBorders>
                    <w:tl2br w:val="nil"/>
                    <w:tr2bl w:val="nil"/>
                  </w:tcBorders>
                  <w:vAlign w:val="center"/>
                </w:tcPr>
                <w:p>
                  <w:pPr>
                    <w:wordWrap w:val="0"/>
                    <w:jc w:val="left"/>
                    <w:rPr>
                      <w:szCs w:val="21"/>
                    </w:rPr>
                  </w:pPr>
                </w:p>
              </w:tc>
              <w:tc>
                <w:tcPr>
                  <w:tcW w:w="1154" w:type="pct"/>
                  <w:tcBorders>
                    <w:tl2br w:val="nil"/>
                    <w:tr2bl w:val="nil"/>
                  </w:tcBorders>
                  <w:vAlign w:val="center"/>
                </w:tcPr>
                <w:p>
                  <w:pPr>
                    <w:spacing w:line="240" w:lineRule="auto"/>
                    <w:jc w:val="center"/>
                    <w:rPr>
                      <w:szCs w:val="21"/>
                    </w:rPr>
                  </w:pPr>
                  <w:r>
                    <w:rPr>
                      <w:rFonts w:hint="default" w:ascii="Times New Roman" w:hAnsi="Times New Roman" w:eastAsia="宋体" w:cs="Times New Roman"/>
                      <w:sz w:val="21"/>
                      <w:szCs w:val="21"/>
                      <w:lang w:val="en-US" w:eastAsia="zh-CN"/>
                    </w:rPr>
                    <w:t>20</w:t>
                  </w:r>
                  <w:r>
                    <w:rPr>
                      <w:rFonts w:hint="default" w:ascii="Times New Roman" w:hAnsi="Times New Roman" w:cs="Times New Roman"/>
                      <w:sz w:val="21"/>
                      <w:szCs w:val="21"/>
                      <w:lang w:val="en-US" w:eastAsia="zh-CN"/>
                    </w:rPr>
                    <w:t>20</w:t>
                  </w:r>
                  <w:r>
                    <w:rPr>
                      <w:rFonts w:hint="eastAsia" w:ascii="Times New Roman" w:hAnsi="Times New Roman" w:cs="Times New Roman"/>
                      <w:sz w:val="21"/>
                      <w:szCs w:val="21"/>
                      <w:lang w:val="en-US" w:eastAsia="zh-CN"/>
                    </w:rPr>
                    <w:t>.8.11</w:t>
                  </w:r>
                </w:p>
              </w:tc>
              <w:tc>
                <w:tcPr>
                  <w:tcW w:w="1298" w:type="pct"/>
                  <w:tcBorders>
                    <w:tl2br w:val="nil"/>
                    <w:tr2bl w:val="nil"/>
                  </w:tcBorders>
                  <w:vAlign w:val="center"/>
                </w:tcPr>
                <w:p>
                  <w:pPr>
                    <w:widowControl/>
                    <w:jc w:val="center"/>
                    <w:rPr>
                      <w:rFonts w:hint="default"/>
                      <w:color w:val="FF0000"/>
                      <w:szCs w:val="21"/>
                      <w:lang w:val="en-US"/>
                    </w:rPr>
                  </w:pPr>
                  <w:r>
                    <w:rPr>
                      <w:rFonts w:hint="eastAsia" w:cs="Times New Roman"/>
                      <w:szCs w:val="21"/>
                      <w:lang w:val="en-US" w:eastAsia="zh-CN"/>
                    </w:rPr>
                    <w:t>52</w:t>
                  </w:r>
                </w:p>
              </w:tc>
              <w:tc>
                <w:tcPr>
                  <w:tcW w:w="1316" w:type="pct"/>
                  <w:tcBorders>
                    <w:tl2br w:val="nil"/>
                    <w:tr2bl w:val="nil"/>
                  </w:tcBorders>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85" w:type="pct"/>
                  <w:gridSpan w:val="2"/>
                  <w:tcBorders>
                    <w:tl2br w:val="nil"/>
                    <w:tr2bl w:val="nil"/>
                  </w:tcBorders>
                  <w:vAlign w:val="center"/>
                </w:tcPr>
                <w:p>
                  <w:pPr>
                    <w:wordWrap w:val="0"/>
                    <w:jc w:val="center"/>
                    <w:rPr>
                      <w:szCs w:val="21"/>
                    </w:rPr>
                  </w:pPr>
                  <w:r>
                    <w:rPr>
                      <w:szCs w:val="21"/>
                    </w:rPr>
                    <w:t>《工业企业厂界环境噪声排放标准》（GB12348-2008）</w:t>
                  </w:r>
                  <w:r>
                    <w:rPr>
                      <w:bCs/>
                      <w:szCs w:val="21"/>
                    </w:rPr>
                    <w:t>中</w:t>
                  </w:r>
                  <w:r>
                    <w:rPr>
                      <w:rFonts w:hint="eastAsia"/>
                      <w:bCs/>
                      <w:szCs w:val="21"/>
                      <w:lang w:val="en-US" w:eastAsia="zh-CN"/>
                    </w:rPr>
                    <w:t>2</w:t>
                  </w:r>
                  <w:r>
                    <w:rPr>
                      <w:bCs/>
                      <w:szCs w:val="21"/>
                    </w:rPr>
                    <w:t>类功能区标准</w:t>
                  </w:r>
                </w:p>
              </w:tc>
              <w:tc>
                <w:tcPr>
                  <w:tcW w:w="1298" w:type="pct"/>
                  <w:tcBorders>
                    <w:tl2br w:val="nil"/>
                    <w:tr2bl w:val="nil"/>
                  </w:tcBorders>
                  <w:vAlign w:val="center"/>
                </w:tcPr>
                <w:p>
                  <w:pPr>
                    <w:wordWrap w:val="0"/>
                    <w:jc w:val="center"/>
                    <w:rPr>
                      <w:rFonts w:hint="default"/>
                      <w:szCs w:val="21"/>
                      <w:lang w:val="en-US"/>
                    </w:rPr>
                  </w:pPr>
                  <w:r>
                    <w:rPr>
                      <w:rFonts w:hint="eastAsia"/>
                      <w:szCs w:val="21"/>
                      <w:lang w:val="en-US" w:eastAsia="zh-CN"/>
                    </w:rPr>
                    <w:t>60</w:t>
                  </w:r>
                </w:p>
              </w:tc>
              <w:tc>
                <w:tcPr>
                  <w:tcW w:w="1316" w:type="pct"/>
                  <w:tcBorders>
                    <w:tl2br w:val="nil"/>
                    <w:tr2bl w:val="nil"/>
                  </w:tcBorders>
                  <w:vAlign w:val="center"/>
                </w:tcPr>
                <w:p>
                  <w:pPr>
                    <w:wordWrap w:val="0"/>
                    <w:jc w:val="center"/>
                    <w:rPr>
                      <w:rFonts w:hint="default"/>
                      <w:szCs w:val="21"/>
                      <w:lang w:val="en-US" w:eastAsia="zh-CN"/>
                    </w:rPr>
                  </w:pPr>
                  <w:r>
                    <w:rPr>
                      <w:rFonts w:hint="eastAsia"/>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85" w:type="pct"/>
                  <w:gridSpan w:val="2"/>
                  <w:tcBorders>
                    <w:tl2br w:val="nil"/>
                    <w:tr2bl w:val="nil"/>
                  </w:tcBorders>
                  <w:vAlign w:val="center"/>
                </w:tcPr>
                <w:p>
                  <w:pPr>
                    <w:wordWrap w:val="0"/>
                    <w:jc w:val="center"/>
                    <w:rPr>
                      <w:szCs w:val="21"/>
                    </w:rPr>
                  </w:pPr>
                  <w:r>
                    <w:rPr>
                      <w:szCs w:val="21"/>
                    </w:rPr>
                    <w:t>评价结果</w:t>
                  </w:r>
                </w:p>
              </w:tc>
              <w:tc>
                <w:tcPr>
                  <w:tcW w:w="1298" w:type="pct"/>
                  <w:tcBorders>
                    <w:tl2br w:val="nil"/>
                    <w:tr2bl w:val="nil"/>
                  </w:tcBorders>
                  <w:vAlign w:val="center"/>
                </w:tcPr>
                <w:p>
                  <w:pPr>
                    <w:wordWrap w:val="0"/>
                    <w:jc w:val="center"/>
                    <w:rPr>
                      <w:szCs w:val="21"/>
                    </w:rPr>
                  </w:pPr>
                  <w:r>
                    <w:rPr>
                      <w:szCs w:val="21"/>
                    </w:rPr>
                    <w:t>达标</w:t>
                  </w:r>
                </w:p>
              </w:tc>
              <w:tc>
                <w:tcPr>
                  <w:tcW w:w="1316" w:type="pct"/>
                  <w:tcBorders>
                    <w:tl2br w:val="nil"/>
                    <w:tr2bl w:val="nil"/>
                  </w:tcBorders>
                  <w:vAlign w:val="center"/>
                </w:tcPr>
                <w:p>
                  <w:pPr>
                    <w:wordWrap w:val="0"/>
                    <w:jc w:val="center"/>
                    <w:rPr>
                      <w:szCs w:val="21"/>
                    </w:rPr>
                  </w:pPr>
                  <w:r>
                    <w:rPr>
                      <w:szCs w:val="21"/>
                    </w:rPr>
                    <w:t>达标</w:t>
                  </w:r>
                </w:p>
              </w:tc>
            </w:tr>
          </w:tbl>
          <w:p>
            <w:pPr>
              <w:spacing w:line="360" w:lineRule="auto"/>
              <w:ind w:firstLine="482" w:firstLineChars="200"/>
              <w:rPr>
                <w:b/>
                <w:bCs/>
                <w:sz w:val="24"/>
              </w:rPr>
            </w:pPr>
            <w:bookmarkStart w:id="99" w:name="_Toc5509"/>
            <w:bookmarkStart w:id="100" w:name="_Toc14799"/>
            <w:bookmarkStart w:id="101" w:name="_Toc812"/>
            <w:bookmarkStart w:id="102" w:name="_Toc11669"/>
            <w:bookmarkStart w:id="103" w:name="_Toc8840"/>
            <w:bookmarkStart w:id="104" w:name="_Toc30636"/>
            <w:r>
              <w:rPr>
                <w:b/>
                <w:bCs/>
                <w:sz w:val="24"/>
              </w:rPr>
              <w:t>监测结果评价：</w:t>
            </w:r>
            <w:bookmarkEnd w:id="99"/>
            <w:bookmarkEnd w:id="100"/>
            <w:bookmarkEnd w:id="101"/>
            <w:bookmarkEnd w:id="102"/>
            <w:bookmarkEnd w:id="103"/>
            <w:bookmarkEnd w:id="104"/>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outlineLvl w:val="9"/>
              <w:rPr>
                <w:sz w:val="24"/>
              </w:rPr>
            </w:pPr>
            <w:r>
              <w:rPr>
                <w:sz w:val="24"/>
              </w:rPr>
              <w:t>噪声监测时间为20</w:t>
            </w:r>
            <w:r>
              <w:rPr>
                <w:rFonts w:hint="eastAsia"/>
                <w:sz w:val="24"/>
                <w:lang w:val="en-US" w:eastAsia="zh-CN"/>
              </w:rPr>
              <w:t>20</w:t>
            </w:r>
            <w:r>
              <w:rPr>
                <w:sz w:val="24"/>
              </w:rPr>
              <w:t>年</w:t>
            </w:r>
            <w:r>
              <w:rPr>
                <w:rFonts w:hint="eastAsia"/>
                <w:sz w:val="24"/>
                <w:lang w:val="en-US" w:eastAsia="zh-CN"/>
              </w:rPr>
              <w:t>8</w:t>
            </w:r>
            <w:r>
              <w:rPr>
                <w:sz w:val="24"/>
              </w:rPr>
              <w:t>月</w:t>
            </w:r>
            <w:r>
              <w:rPr>
                <w:rFonts w:hint="eastAsia"/>
                <w:sz w:val="24"/>
                <w:lang w:val="en-US" w:eastAsia="zh-CN"/>
              </w:rPr>
              <w:t>10</w:t>
            </w:r>
            <w:r>
              <w:rPr>
                <w:sz w:val="24"/>
              </w:rPr>
              <w:t>日~</w:t>
            </w:r>
            <w:r>
              <w:rPr>
                <w:rFonts w:hint="eastAsia"/>
                <w:sz w:val="24"/>
                <w:lang w:val="en-US" w:eastAsia="zh-CN"/>
              </w:rPr>
              <w:t>11</w:t>
            </w:r>
            <w:r>
              <w:rPr>
                <w:sz w:val="24"/>
              </w:rPr>
              <w:t>日，监测结果见表</w:t>
            </w:r>
            <w:r>
              <w:rPr>
                <w:rFonts w:hint="eastAsia"/>
                <w:sz w:val="24"/>
              </w:rPr>
              <w:t>7-</w:t>
            </w:r>
            <w:r>
              <w:rPr>
                <w:rFonts w:hint="eastAsia"/>
                <w:sz w:val="24"/>
                <w:lang w:val="en-US" w:eastAsia="zh-CN"/>
              </w:rPr>
              <w:t>2</w:t>
            </w:r>
            <w:r>
              <w:rPr>
                <w:sz w:val="24"/>
              </w:rPr>
              <w:t>，验收监测结果表明：验收监测期间，厂界</w:t>
            </w:r>
            <w:r>
              <w:rPr>
                <w:rFonts w:hint="eastAsia"/>
                <w:sz w:val="24"/>
              </w:rPr>
              <w:t>昼间</w:t>
            </w:r>
            <w:r>
              <w:rPr>
                <w:sz w:val="24"/>
              </w:rPr>
              <w:t>噪声</w:t>
            </w:r>
            <w:r>
              <w:rPr>
                <w:rFonts w:hint="eastAsia"/>
                <w:sz w:val="24"/>
              </w:rPr>
              <w:t>均</w:t>
            </w:r>
            <w:r>
              <w:rPr>
                <w:sz w:val="24"/>
              </w:rPr>
              <w:t>满足《工业企业厂界环境噪声排放标准》(GB12348-2008)中</w:t>
            </w:r>
            <w:r>
              <w:rPr>
                <w:rFonts w:hint="eastAsia"/>
                <w:sz w:val="24"/>
                <w:lang w:val="en-US" w:eastAsia="zh-CN"/>
              </w:rPr>
              <w:t>2</w:t>
            </w:r>
            <w:r>
              <w:rPr>
                <w:sz w:val="24"/>
              </w:rPr>
              <w:t>类功能区标准</w:t>
            </w:r>
            <w:r>
              <w:rPr>
                <w:rFonts w:hint="eastAsia"/>
                <w:sz w:val="24"/>
                <w:szCs w:val="24"/>
                <w:lang w:eastAsia="zh-CN"/>
              </w:rPr>
              <w:t>。</w:t>
            </w:r>
          </w:p>
        </w:tc>
      </w:tr>
    </w:tbl>
    <w:p>
      <w:pPr>
        <w:rPr>
          <w:b/>
          <w:sz w:val="24"/>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tbl>
      <w:tblPr>
        <w:tblStyle w:val="15"/>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7" w:hRule="atLeast"/>
          <w:jc w:val="center"/>
        </w:trPr>
        <w:tc>
          <w:tcPr>
            <w:tcW w:w="8808" w:type="dxa"/>
            <w:vAlign w:val="top"/>
          </w:tcPr>
          <w:p>
            <w:pPr>
              <w:spacing w:line="360" w:lineRule="auto"/>
              <w:ind w:firstLine="480" w:firstLineChars="200"/>
              <w:rPr>
                <w:rFonts w:hint="eastAsia"/>
                <w:sz w:val="24"/>
                <w:szCs w:val="24"/>
                <w:lang w:eastAsia="zh-CN"/>
              </w:rPr>
            </w:pPr>
          </w:p>
          <w:p>
            <w:pPr>
              <w:wordWrap w:val="0"/>
              <w:spacing w:line="360" w:lineRule="auto"/>
              <w:rPr>
                <w:b/>
                <w:bCs/>
                <w:sz w:val="24"/>
              </w:rPr>
            </w:pPr>
            <w:r>
              <w:rPr>
                <w:rFonts w:hint="eastAsia"/>
                <w:b/>
                <w:bCs/>
                <w:sz w:val="24"/>
              </w:rPr>
              <w:t>7.2.</w:t>
            </w:r>
            <w:r>
              <w:rPr>
                <w:rFonts w:hint="eastAsia"/>
                <w:b/>
                <w:bCs/>
                <w:sz w:val="24"/>
                <w:lang w:val="en-US" w:eastAsia="zh-CN"/>
              </w:rPr>
              <w:t>2</w:t>
            </w:r>
            <w:r>
              <w:rPr>
                <w:b/>
                <w:bCs/>
                <w:sz w:val="24"/>
              </w:rPr>
              <w:t>、</w:t>
            </w:r>
            <w:r>
              <w:rPr>
                <w:rFonts w:hint="eastAsia"/>
                <w:b/>
                <w:bCs/>
                <w:sz w:val="24"/>
                <w:lang w:val="en-US" w:eastAsia="zh-CN"/>
              </w:rPr>
              <w:t>废水</w:t>
            </w:r>
            <w:r>
              <w:rPr>
                <w:b/>
                <w:bCs/>
                <w:sz w:val="24"/>
              </w:rPr>
              <w:t>监测结果</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val="0"/>
                <w:bCs w:val="0"/>
                <w:sz w:val="24"/>
              </w:rPr>
            </w:pPr>
            <w:r>
              <w:rPr>
                <w:b/>
                <w:bCs/>
                <w:sz w:val="21"/>
                <w:szCs w:val="21"/>
              </w:rPr>
              <w:t>表</w:t>
            </w:r>
            <w:r>
              <w:rPr>
                <w:rFonts w:hint="eastAsia"/>
                <w:b/>
                <w:bCs/>
                <w:sz w:val="21"/>
                <w:szCs w:val="21"/>
              </w:rPr>
              <w:t>7</w:t>
            </w:r>
            <w:r>
              <w:rPr>
                <w:b/>
                <w:bCs/>
                <w:sz w:val="21"/>
                <w:szCs w:val="21"/>
              </w:rPr>
              <w:t>-</w:t>
            </w:r>
            <w:r>
              <w:rPr>
                <w:rFonts w:hint="eastAsia"/>
                <w:b/>
                <w:bCs/>
                <w:sz w:val="21"/>
                <w:szCs w:val="21"/>
                <w:lang w:val="en-US" w:eastAsia="zh-CN"/>
              </w:rPr>
              <w:t>3 废水</w:t>
            </w:r>
            <w:r>
              <w:rPr>
                <w:b/>
                <w:bCs/>
                <w:sz w:val="21"/>
                <w:szCs w:val="21"/>
              </w:rPr>
              <w:t>监测结果一览表</w:t>
            </w:r>
          </w:p>
          <w:p>
            <w:pPr>
              <w:jc w:val="right"/>
              <w:rPr>
                <w:rFonts w:hint="eastAsia"/>
                <w:b/>
                <w:bCs/>
                <w:lang w:eastAsia="zh-CN"/>
              </w:rPr>
            </w:pPr>
            <w:r>
              <w:rPr>
                <w:rFonts w:hint="eastAsia"/>
                <w:b/>
                <w:bCs/>
              </w:rPr>
              <w:t>单位：mg/L（pH无量纲）</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060"/>
              <w:gridCol w:w="615"/>
              <w:gridCol w:w="614"/>
              <w:gridCol w:w="615"/>
              <w:gridCol w:w="612"/>
              <w:gridCol w:w="612"/>
              <w:gridCol w:w="612"/>
              <w:gridCol w:w="148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Merge w:val="restart"/>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采样点位</w:t>
                  </w:r>
                </w:p>
              </w:tc>
              <w:tc>
                <w:tcPr>
                  <w:tcW w:w="0" w:type="auto"/>
                  <w:vMerge w:val="restart"/>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项目名称</w:t>
                  </w:r>
                </w:p>
              </w:tc>
              <w:tc>
                <w:tcPr>
                  <w:tcW w:w="0" w:type="auto"/>
                  <w:gridSpan w:val="6"/>
                  <w:noWrap w:val="0"/>
                  <w:vAlign w:val="center"/>
                </w:tcPr>
                <w:p>
                  <w:pPr>
                    <w:spacing w:line="240" w:lineRule="atLeas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采样日期</w:t>
                  </w:r>
                </w:p>
              </w:tc>
              <w:tc>
                <w:tcPr>
                  <w:tcW w:w="0" w:type="auto"/>
                  <w:vMerge w:val="restart"/>
                  <w:noWrap w:val="0"/>
                  <w:vAlign w:val="center"/>
                </w:tcPr>
                <w:p>
                  <w:pPr>
                    <w:spacing w:line="240" w:lineRule="atLeast"/>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废水执行标准</w:t>
                  </w:r>
                </w:p>
              </w:tc>
              <w:tc>
                <w:tcPr>
                  <w:tcW w:w="0" w:type="auto"/>
                  <w:vMerge w:val="restart"/>
                  <w:noWrap w:val="0"/>
                  <w:vAlign w:val="center"/>
                </w:tcPr>
                <w:p>
                  <w:pPr>
                    <w:spacing w:line="240" w:lineRule="atLeast"/>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vMerge w:val="continue"/>
                  <w:noWrap w:val="0"/>
                  <w:vAlign w:val="center"/>
                </w:tcPr>
                <w:p>
                  <w:pPr>
                    <w:spacing w:line="240" w:lineRule="atLeast"/>
                    <w:jc w:val="center"/>
                    <w:rPr>
                      <w:rFonts w:hint="default" w:ascii="Times New Roman" w:hAnsi="Times New Roman" w:cs="Times New Roman"/>
                      <w:b/>
                      <w:color w:val="auto"/>
                      <w:szCs w:val="21"/>
                    </w:rPr>
                  </w:pPr>
                </w:p>
              </w:tc>
              <w:tc>
                <w:tcPr>
                  <w:tcW w:w="0" w:type="auto"/>
                  <w:vMerge w:val="continue"/>
                  <w:noWrap w:val="0"/>
                  <w:vAlign w:val="center"/>
                </w:tcPr>
                <w:p>
                  <w:pPr>
                    <w:spacing w:line="240" w:lineRule="atLeast"/>
                    <w:jc w:val="center"/>
                    <w:rPr>
                      <w:rFonts w:hint="default" w:ascii="Times New Roman" w:hAnsi="Times New Roman" w:cs="Times New Roman"/>
                      <w:b/>
                      <w:color w:val="auto"/>
                      <w:szCs w:val="21"/>
                    </w:rPr>
                  </w:pPr>
                </w:p>
              </w:tc>
              <w:tc>
                <w:tcPr>
                  <w:tcW w:w="0" w:type="auto"/>
                  <w:gridSpan w:val="3"/>
                  <w:noWrap w:val="0"/>
                  <w:vAlign w:val="center"/>
                </w:tcPr>
                <w:p>
                  <w:pPr>
                    <w:spacing w:line="240" w:lineRule="atLeast"/>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2020年8</w:t>
                  </w:r>
                  <w:r>
                    <w:rPr>
                      <w:rFonts w:hint="default" w:ascii="Times New Roman" w:hAnsi="Times New Roman" w:cs="Times New Roman"/>
                      <w:bCs/>
                      <w:color w:val="auto"/>
                      <w:szCs w:val="21"/>
                    </w:rPr>
                    <w:t>月</w:t>
                  </w:r>
                  <w:r>
                    <w:rPr>
                      <w:rFonts w:hint="default" w:ascii="Times New Roman" w:hAnsi="Times New Roman" w:cs="Times New Roman"/>
                      <w:bCs/>
                      <w:color w:val="auto"/>
                      <w:szCs w:val="21"/>
                      <w:lang w:val="en-US" w:eastAsia="zh-CN"/>
                    </w:rPr>
                    <w:t>10</w:t>
                  </w:r>
                  <w:r>
                    <w:rPr>
                      <w:rFonts w:hint="default" w:ascii="Times New Roman" w:hAnsi="Times New Roman" w:cs="Times New Roman"/>
                      <w:bCs/>
                      <w:color w:val="auto"/>
                      <w:szCs w:val="21"/>
                    </w:rPr>
                    <w:t>日</w:t>
                  </w:r>
                </w:p>
              </w:tc>
              <w:tc>
                <w:tcPr>
                  <w:tcW w:w="0" w:type="auto"/>
                  <w:gridSpan w:val="3"/>
                  <w:noWrap w:val="0"/>
                  <w:vAlign w:val="center"/>
                </w:tcPr>
                <w:p>
                  <w:pPr>
                    <w:spacing w:line="240" w:lineRule="atLeast"/>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2020年8</w:t>
                  </w:r>
                  <w:r>
                    <w:rPr>
                      <w:rFonts w:hint="default" w:ascii="Times New Roman" w:hAnsi="Times New Roman" w:cs="Times New Roman"/>
                      <w:bCs/>
                      <w:color w:val="auto"/>
                      <w:szCs w:val="21"/>
                    </w:rPr>
                    <w:t>月</w:t>
                  </w:r>
                  <w:r>
                    <w:rPr>
                      <w:rFonts w:hint="default" w:ascii="Times New Roman" w:hAnsi="Times New Roman" w:cs="Times New Roman"/>
                      <w:bCs/>
                      <w:color w:val="auto"/>
                      <w:szCs w:val="21"/>
                      <w:lang w:val="en-US" w:eastAsia="zh-CN"/>
                    </w:rPr>
                    <w:t>11</w:t>
                  </w:r>
                  <w:r>
                    <w:rPr>
                      <w:rFonts w:hint="default" w:ascii="Times New Roman" w:hAnsi="Times New Roman" w:cs="Times New Roman"/>
                      <w:bCs/>
                      <w:color w:val="auto"/>
                      <w:szCs w:val="21"/>
                    </w:rPr>
                    <w:t>日</w:t>
                  </w:r>
                </w:p>
              </w:tc>
              <w:tc>
                <w:tcPr>
                  <w:tcW w:w="0" w:type="auto"/>
                  <w:vMerge w:val="continue"/>
                  <w:noWrap w:val="0"/>
                  <w:vAlign w:val="center"/>
                </w:tcPr>
                <w:p>
                  <w:pPr>
                    <w:spacing w:line="240" w:lineRule="atLeast"/>
                    <w:jc w:val="center"/>
                    <w:rPr>
                      <w:rFonts w:hint="default" w:ascii="Times New Roman" w:hAnsi="Times New Roman" w:cs="Times New Roman"/>
                      <w:bCs/>
                      <w:color w:val="auto"/>
                      <w:szCs w:val="21"/>
                      <w:lang w:val="en-US" w:eastAsia="zh-CN"/>
                    </w:rPr>
                  </w:pPr>
                </w:p>
              </w:tc>
              <w:tc>
                <w:tcPr>
                  <w:tcW w:w="0" w:type="auto"/>
                  <w:vMerge w:val="continue"/>
                  <w:noWrap w:val="0"/>
                  <w:vAlign w:val="center"/>
                </w:tcPr>
                <w:p>
                  <w:pPr>
                    <w:spacing w:line="240" w:lineRule="atLeast"/>
                    <w:jc w:val="center"/>
                    <w:rPr>
                      <w:rFonts w:hint="default" w:ascii="Times New Roman" w:hAnsi="Times New Roman" w:cs="Times New Roman"/>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0" w:type="auto"/>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0" w:type="auto"/>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0" w:type="auto"/>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Ⅰ</w:t>
                  </w:r>
                </w:p>
              </w:tc>
              <w:tc>
                <w:tcPr>
                  <w:tcW w:w="0" w:type="auto"/>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Ⅱ</w:t>
                  </w:r>
                </w:p>
              </w:tc>
              <w:tc>
                <w:tcPr>
                  <w:tcW w:w="0" w:type="auto"/>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Ⅲ</w:t>
                  </w:r>
                </w:p>
              </w:tc>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vMerge w:val="restart"/>
                  <w:noWrap w:val="0"/>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厂区</w:t>
                  </w:r>
                </w:p>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总排口</w:t>
                  </w: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pH</w:t>
                  </w:r>
                </w:p>
              </w:tc>
              <w:tc>
                <w:tcPr>
                  <w:tcW w:w="584" w:type="dxa"/>
                  <w:noWrap w:val="0"/>
                  <w:vAlign w:val="center"/>
                </w:tcPr>
                <w:p>
                  <w:pPr>
                    <w:jc w:val="center"/>
                    <w:textAlignment w:val="bottom"/>
                    <w:rPr>
                      <w:rFonts w:hint="default" w:ascii="Times New Roman" w:hAnsi="Times New Roman" w:cs="Times New Roman"/>
                      <w:bCs/>
                      <w:color w:val="auto"/>
                      <w:szCs w:val="21"/>
                      <w:lang w:val="en-US" w:eastAsia="zh-CN"/>
                    </w:rPr>
                  </w:pPr>
                  <w:r>
                    <w:rPr>
                      <w:rFonts w:hint="default" w:ascii="Times New Roman" w:hAnsi="Times New Roman" w:cs="Times New Roman"/>
                      <w:bCs/>
                      <w:color w:val="000000"/>
                      <w:sz w:val="21"/>
                      <w:szCs w:val="21"/>
                      <w:lang w:val="en-US" w:eastAsia="zh-CN"/>
                    </w:rPr>
                    <w:t>7.38</w:t>
                  </w:r>
                </w:p>
              </w:tc>
              <w:tc>
                <w:tcPr>
                  <w:tcW w:w="584" w:type="dxa"/>
                  <w:noWrap w:val="0"/>
                  <w:vAlign w:val="center"/>
                </w:tcPr>
                <w:p>
                  <w:pPr>
                    <w:jc w:val="center"/>
                    <w:textAlignment w:val="bottom"/>
                    <w:rPr>
                      <w:rFonts w:hint="default" w:ascii="Times New Roman" w:hAnsi="Times New Roman" w:cs="Times New Roman"/>
                      <w:bCs/>
                      <w:color w:val="auto"/>
                      <w:szCs w:val="21"/>
                      <w:lang w:val="en-US" w:eastAsia="zh-CN"/>
                    </w:rPr>
                  </w:pPr>
                  <w:r>
                    <w:rPr>
                      <w:rFonts w:hint="default" w:ascii="Times New Roman" w:hAnsi="Times New Roman" w:cs="Times New Roman"/>
                      <w:bCs/>
                      <w:color w:val="000000"/>
                      <w:sz w:val="21"/>
                      <w:szCs w:val="21"/>
                      <w:lang w:val="en-US" w:eastAsia="zh-CN"/>
                    </w:rPr>
                    <w:t>7.35</w:t>
                  </w:r>
                </w:p>
              </w:tc>
              <w:tc>
                <w:tcPr>
                  <w:tcW w:w="584" w:type="dxa"/>
                  <w:noWrap w:val="0"/>
                  <w:vAlign w:val="center"/>
                </w:tcPr>
                <w:p>
                  <w:pPr>
                    <w:jc w:val="center"/>
                    <w:textAlignment w:val="bottom"/>
                    <w:rPr>
                      <w:rFonts w:hint="default" w:ascii="Times New Roman" w:hAnsi="Times New Roman" w:cs="Times New Roman"/>
                      <w:bCs/>
                      <w:color w:val="auto"/>
                      <w:szCs w:val="21"/>
                      <w:lang w:val="en-US" w:eastAsia="zh-CN"/>
                    </w:rPr>
                  </w:pPr>
                  <w:r>
                    <w:rPr>
                      <w:rFonts w:hint="default" w:ascii="Times New Roman" w:hAnsi="Times New Roman" w:cs="Times New Roman"/>
                      <w:bCs/>
                      <w:color w:val="000000"/>
                      <w:sz w:val="21"/>
                      <w:szCs w:val="21"/>
                      <w:lang w:val="en-US" w:eastAsia="zh-CN"/>
                    </w:rPr>
                    <w:t>7.37</w:t>
                  </w:r>
                </w:p>
              </w:tc>
              <w:tc>
                <w:tcPr>
                  <w:tcW w:w="584" w:type="dxa"/>
                  <w:noWrap w:val="0"/>
                  <w:vAlign w:val="center"/>
                </w:tcPr>
                <w:p>
                  <w:pPr>
                    <w:jc w:val="center"/>
                    <w:textAlignment w:val="bottom"/>
                    <w:rPr>
                      <w:rFonts w:hint="default" w:ascii="Times New Roman" w:hAnsi="Times New Roman" w:cs="Times New Roman"/>
                      <w:bCs/>
                      <w:color w:val="auto"/>
                      <w:szCs w:val="21"/>
                      <w:lang w:val="en-US" w:eastAsia="zh-CN"/>
                    </w:rPr>
                  </w:pPr>
                  <w:r>
                    <w:rPr>
                      <w:rFonts w:hint="default" w:ascii="Times New Roman" w:hAnsi="Times New Roman" w:cs="Times New Roman"/>
                      <w:bCs/>
                      <w:color w:val="000000"/>
                      <w:sz w:val="21"/>
                      <w:szCs w:val="21"/>
                      <w:lang w:val="en-US" w:eastAsia="zh-CN"/>
                    </w:rPr>
                    <w:t>7.39</w:t>
                  </w:r>
                </w:p>
              </w:tc>
              <w:tc>
                <w:tcPr>
                  <w:tcW w:w="584" w:type="dxa"/>
                  <w:noWrap w:val="0"/>
                  <w:vAlign w:val="center"/>
                </w:tcPr>
                <w:p>
                  <w:pPr>
                    <w:jc w:val="center"/>
                    <w:textAlignment w:val="bottom"/>
                    <w:rPr>
                      <w:rFonts w:hint="default" w:ascii="Times New Roman" w:hAnsi="Times New Roman" w:cs="Times New Roman"/>
                      <w:bCs/>
                      <w:color w:val="auto"/>
                      <w:szCs w:val="21"/>
                      <w:lang w:val="en-US" w:eastAsia="zh-CN"/>
                    </w:rPr>
                  </w:pPr>
                  <w:r>
                    <w:rPr>
                      <w:rFonts w:hint="default" w:ascii="Times New Roman" w:hAnsi="Times New Roman" w:cs="Times New Roman"/>
                      <w:bCs/>
                      <w:color w:val="000000"/>
                      <w:sz w:val="21"/>
                      <w:szCs w:val="21"/>
                      <w:lang w:val="en-US" w:eastAsia="zh-CN"/>
                    </w:rPr>
                    <w:t>7.41</w:t>
                  </w:r>
                </w:p>
              </w:tc>
              <w:tc>
                <w:tcPr>
                  <w:tcW w:w="584" w:type="dxa"/>
                  <w:noWrap w:val="0"/>
                  <w:vAlign w:val="center"/>
                </w:tcPr>
                <w:p>
                  <w:pPr>
                    <w:jc w:val="center"/>
                    <w:textAlignment w:val="bottom"/>
                    <w:rPr>
                      <w:rFonts w:hint="default" w:ascii="Times New Roman" w:hAnsi="Times New Roman" w:cs="Times New Roman"/>
                      <w:bCs/>
                      <w:color w:val="auto"/>
                      <w:szCs w:val="21"/>
                      <w:lang w:val="en-US" w:eastAsia="zh-CN"/>
                    </w:rPr>
                  </w:pPr>
                  <w:r>
                    <w:rPr>
                      <w:rFonts w:hint="default" w:ascii="Times New Roman" w:hAnsi="Times New Roman" w:cs="Times New Roman"/>
                      <w:bCs/>
                      <w:color w:val="000000"/>
                      <w:sz w:val="21"/>
                      <w:szCs w:val="21"/>
                      <w:lang w:val="en-US" w:eastAsia="zh-CN"/>
                    </w:rPr>
                    <w:t>7.38</w:t>
                  </w:r>
                </w:p>
              </w:tc>
              <w:tc>
                <w:tcPr>
                  <w:tcW w:w="0" w:type="auto"/>
                  <w:noWrap w:val="0"/>
                  <w:vAlign w:val="center"/>
                </w:tcPr>
                <w:p>
                  <w:pPr>
                    <w:spacing w:line="240" w:lineRule="atLeast"/>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6-9</w:t>
                  </w:r>
                </w:p>
              </w:tc>
              <w:tc>
                <w:tcPr>
                  <w:tcW w:w="0" w:type="auto"/>
                  <w:noWrap w:val="0"/>
                  <w:vAlign w:val="center"/>
                </w:tcPr>
                <w:p>
                  <w:pPr>
                    <w:spacing w:line="240" w:lineRule="atLeast"/>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81</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82</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83</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82</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84</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81</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250</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111</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109</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112</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115</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108</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115</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35</w:t>
                  </w:r>
                  <w:r>
                    <w:rPr>
                      <w:rFonts w:hint="default" w:ascii="Times New Roman" w:hAnsi="Times New Roman" w:eastAsia="宋体" w:cs="Times New Roman"/>
                      <w:bCs/>
                      <w:color w:val="auto"/>
                      <w:szCs w:val="21"/>
                      <w:lang w:val="en-US" w:eastAsia="zh-CN"/>
                    </w:rPr>
                    <w:t>0</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54.7</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54.2</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53.9</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54.1</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54.0</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53.6</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180</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0" w:type="auto"/>
                  <w:vMerge w:val="continue"/>
                  <w:noWrap w:val="0"/>
                  <w:vAlign w:val="center"/>
                </w:tcPr>
                <w:p>
                  <w:pPr>
                    <w:spacing w:line="240" w:lineRule="atLeast"/>
                    <w:jc w:val="center"/>
                    <w:rPr>
                      <w:rFonts w:hint="default" w:ascii="Times New Roman" w:hAnsi="Times New Roman" w:cs="Times New Roman"/>
                      <w:color w:val="auto"/>
                      <w:szCs w:val="21"/>
                    </w:rPr>
                  </w:pPr>
                </w:p>
              </w:tc>
              <w:tc>
                <w:tcPr>
                  <w:tcW w:w="0" w:type="auto"/>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17.9</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17.4</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17.1</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17.6</w:t>
                  </w:r>
                </w:p>
              </w:tc>
              <w:tc>
                <w:tcPr>
                  <w:tcW w:w="584" w:type="dxa"/>
                  <w:noWrap w:val="0"/>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sz w:val="21"/>
                      <w:szCs w:val="21"/>
                      <w:lang w:val="en-US" w:eastAsia="zh-CN"/>
                    </w:rPr>
                    <w:t>18.0</w:t>
                  </w:r>
                </w:p>
              </w:tc>
              <w:tc>
                <w:tcPr>
                  <w:tcW w:w="584" w:type="dxa"/>
                  <w:noWrap w:val="0"/>
                  <w:vAlign w:val="center"/>
                </w:tcPr>
                <w:p>
                  <w:pPr>
                    <w:jc w:val="center"/>
                    <w:textAlignment w:val="bottom"/>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000000"/>
                      <w:sz w:val="21"/>
                      <w:szCs w:val="21"/>
                      <w:lang w:val="en-US" w:eastAsia="zh-CN"/>
                    </w:rPr>
                    <w:t>18.4</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25</w:t>
                  </w:r>
                </w:p>
              </w:tc>
              <w:tc>
                <w:tcPr>
                  <w:tcW w:w="0" w:type="auto"/>
                  <w:noWrap w:val="0"/>
                  <w:vAlign w:val="center"/>
                </w:tcPr>
                <w:p>
                  <w:pPr>
                    <w:spacing w:line="240" w:lineRule="atLeas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达标</w:t>
                  </w:r>
                </w:p>
              </w:tc>
            </w:tr>
          </w:tbl>
          <w:p>
            <w:pPr>
              <w:spacing w:line="360" w:lineRule="auto"/>
              <w:ind w:firstLine="482" w:firstLineChars="200"/>
              <w:rPr>
                <w:b/>
                <w:bCs/>
                <w:sz w:val="24"/>
              </w:rPr>
            </w:pPr>
            <w:r>
              <w:rPr>
                <w:b/>
                <w:bCs/>
                <w:sz w:val="24"/>
              </w:rPr>
              <w:t>监测结果评价：</w:t>
            </w:r>
          </w:p>
          <w:p>
            <w:pPr>
              <w:spacing w:line="360" w:lineRule="auto"/>
              <w:ind w:firstLine="480" w:firstLineChars="200"/>
              <w:rPr>
                <w:rFonts w:hint="eastAsia" w:cs="Times New Roman" w:eastAsiaTheme="minorEastAsia"/>
                <w:b/>
                <w:bCs/>
                <w:sz w:val="28"/>
                <w:szCs w:val="28"/>
                <w:lang w:val="en-US" w:eastAsia="zh-CN"/>
              </w:rPr>
            </w:pPr>
            <w:r>
              <w:rPr>
                <w:sz w:val="24"/>
              </w:rPr>
              <w:t>监测时间为</w:t>
            </w:r>
            <w:r>
              <w:rPr>
                <w:rFonts w:hint="eastAsia"/>
                <w:sz w:val="24"/>
              </w:rPr>
              <w:t>20</w:t>
            </w:r>
            <w:r>
              <w:rPr>
                <w:rFonts w:hint="eastAsia"/>
                <w:sz w:val="24"/>
                <w:lang w:val="en-US" w:eastAsia="zh-CN"/>
              </w:rPr>
              <w:t>20</w:t>
            </w:r>
            <w:r>
              <w:rPr>
                <w:rFonts w:hint="eastAsia"/>
                <w:sz w:val="24"/>
              </w:rPr>
              <w:t>年</w:t>
            </w:r>
            <w:r>
              <w:rPr>
                <w:rFonts w:hint="eastAsia"/>
                <w:sz w:val="24"/>
                <w:lang w:val="en-US" w:eastAsia="zh-CN"/>
              </w:rPr>
              <w:t>8</w:t>
            </w:r>
            <w:r>
              <w:rPr>
                <w:sz w:val="24"/>
              </w:rPr>
              <w:t>月</w:t>
            </w:r>
            <w:r>
              <w:rPr>
                <w:rFonts w:hint="eastAsia"/>
                <w:sz w:val="24"/>
                <w:lang w:val="en-US" w:eastAsia="zh-CN"/>
              </w:rPr>
              <w:t>10</w:t>
            </w:r>
            <w:r>
              <w:rPr>
                <w:sz w:val="24"/>
              </w:rPr>
              <w:t>日~</w:t>
            </w:r>
            <w:r>
              <w:rPr>
                <w:rFonts w:hint="eastAsia"/>
                <w:sz w:val="24"/>
                <w:lang w:val="en-US" w:eastAsia="zh-CN"/>
              </w:rPr>
              <w:t>11</w:t>
            </w:r>
            <w:r>
              <w:rPr>
                <w:sz w:val="24"/>
              </w:rPr>
              <w:t>日，监测结果见表</w:t>
            </w:r>
            <w:r>
              <w:rPr>
                <w:rFonts w:hint="eastAsia"/>
                <w:sz w:val="24"/>
              </w:rPr>
              <w:t>7-</w:t>
            </w:r>
            <w:r>
              <w:rPr>
                <w:rFonts w:hint="eastAsia"/>
                <w:sz w:val="24"/>
                <w:lang w:val="en-US" w:eastAsia="zh-CN"/>
              </w:rPr>
              <w:t>3</w:t>
            </w:r>
            <w:r>
              <w:rPr>
                <w:sz w:val="24"/>
              </w:rPr>
              <w:t>，验收监测结果表明：验收监测期间，</w:t>
            </w:r>
            <w:r>
              <w:rPr>
                <w:rFonts w:hint="eastAsia"/>
                <w:sz w:val="24"/>
                <w:lang w:val="en-US" w:eastAsia="zh-CN"/>
              </w:rPr>
              <w:t>废水各污染因子</w:t>
            </w:r>
            <w:r>
              <w:rPr>
                <w:rFonts w:hint="eastAsia"/>
                <w:sz w:val="24"/>
              </w:rPr>
              <w:t>均</w:t>
            </w:r>
            <w:r>
              <w:rPr>
                <w:sz w:val="24"/>
              </w:rPr>
              <w:t>满足</w:t>
            </w:r>
            <w:r>
              <w:rPr>
                <w:rFonts w:hint="eastAsia"/>
                <w:sz w:val="24"/>
                <w:lang w:val="en-US" w:eastAsia="zh-CN"/>
              </w:rPr>
              <w:t>西部组团</w:t>
            </w:r>
            <w:r>
              <w:rPr>
                <w:rFonts w:hint="eastAsia"/>
                <w:sz w:val="24"/>
              </w:rPr>
              <w:t>污水处理厂</w:t>
            </w:r>
            <w:r>
              <w:rPr>
                <w:sz w:val="24"/>
              </w:rPr>
              <w:t>接</w:t>
            </w:r>
            <w:r>
              <w:rPr>
                <w:rFonts w:hint="eastAsia"/>
                <w:sz w:val="24"/>
              </w:rPr>
              <w:t>管</w:t>
            </w:r>
            <w:r>
              <w:rPr>
                <w:sz w:val="24"/>
              </w:rPr>
              <w:t>标准，未规定的执行《污水综合排放标准》（GB8978-1996）中的三级标准</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cs="Times New Roman" w:eastAsiaTheme="minorEastAsia"/>
                <w:b/>
                <w:bCs/>
                <w:sz w:val="28"/>
                <w:szCs w:val="28"/>
                <w:lang w:val="en-US" w:eastAsia="zh-CN"/>
              </w:rPr>
            </w:pPr>
            <w:r>
              <w:rPr>
                <w:rFonts w:hint="eastAsia" w:cs="Times New Roman" w:eastAsiaTheme="minorEastAsia"/>
                <w:b/>
                <w:bCs/>
                <w:sz w:val="28"/>
                <w:szCs w:val="28"/>
                <w:lang w:val="en-US" w:eastAsia="zh-CN"/>
              </w:rPr>
              <w:t>7.3、固体废物</w:t>
            </w:r>
          </w:p>
          <w:p>
            <w:pPr>
              <w:widowControl/>
              <w:spacing w:line="500" w:lineRule="exact"/>
              <w:ind w:firstLine="480" w:firstLineChars="200"/>
              <w:jc w:val="left"/>
              <w:rPr>
                <w:sz w:val="24"/>
                <w:szCs w:val="20"/>
              </w:rPr>
            </w:pPr>
            <w:r>
              <w:rPr>
                <w:rFonts w:hint="eastAsia" w:cs="宋体"/>
                <w:sz w:val="24"/>
                <w:szCs w:val="20"/>
                <w:lang w:bidi="ar"/>
              </w:rPr>
              <w:t>本项目产生的固体废弃物主要是生活垃圾、</w:t>
            </w:r>
            <w:r>
              <w:rPr>
                <w:rFonts w:hint="eastAsia" w:cs="宋体"/>
                <w:sz w:val="24"/>
                <w:szCs w:val="20"/>
                <w:lang w:val="en-US" w:eastAsia="zh-CN" w:bidi="ar"/>
              </w:rPr>
              <w:t>废边角料</w:t>
            </w:r>
            <w:r>
              <w:rPr>
                <w:rFonts w:hint="eastAsia" w:cs="宋体"/>
                <w:sz w:val="24"/>
                <w:szCs w:val="20"/>
                <w:lang w:bidi="ar"/>
              </w:rPr>
              <w:t>。生活垃圾和包装废料由环卫部门统一收集后处理</w:t>
            </w:r>
            <w:r>
              <w:rPr>
                <w:rFonts w:hint="eastAsia"/>
                <w:sz w:val="24"/>
                <w:szCs w:val="20"/>
                <w:lang w:eastAsia="zh-CN" w:bidi="ar"/>
              </w:rPr>
              <w:t>；</w:t>
            </w:r>
            <w:r>
              <w:rPr>
                <w:rFonts w:hint="eastAsia"/>
                <w:sz w:val="24"/>
                <w:szCs w:val="20"/>
                <w:lang w:val="en-US" w:eastAsia="zh-CN" w:bidi="ar"/>
              </w:rPr>
              <w:t>废边角料</w:t>
            </w:r>
            <w:r>
              <w:rPr>
                <w:rFonts w:hint="eastAsia" w:cs="宋体"/>
                <w:sz w:val="24"/>
                <w:szCs w:val="20"/>
                <w:lang w:bidi="ar"/>
              </w:rPr>
              <w:t>定期外售废品收购站。</w:t>
            </w:r>
          </w:p>
          <w:p>
            <w:pPr>
              <w:spacing w:line="360" w:lineRule="auto"/>
              <w:jc w:val="left"/>
              <w:rPr>
                <w:sz w:val="24"/>
              </w:rPr>
            </w:pPr>
          </w:p>
        </w:tc>
      </w:tr>
    </w:tbl>
    <w:p>
      <w:pPr>
        <w:rPr>
          <w:b/>
          <w:sz w:val="24"/>
        </w:rPr>
        <w:sectPr>
          <w:foot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b/>
          <w:sz w:val="28"/>
          <w:szCs w:val="28"/>
        </w:rPr>
      </w:pPr>
      <w:r>
        <w:rPr>
          <w:rFonts w:hint="eastAsia"/>
          <w:b/>
          <w:sz w:val="28"/>
          <w:szCs w:val="28"/>
        </w:rPr>
        <w:t>表八、</w:t>
      </w:r>
      <w:r>
        <w:rPr>
          <w:b/>
          <w:sz w:val="28"/>
          <w:szCs w:val="28"/>
        </w:rPr>
        <w:t>验收监测结论及建议</w:t>
      </w:r>
    </w:p>
    <w:tbl>
      <w:tblPr>
        <w:tblStyle w:val="15"/>
        <w:tblW w:w="8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8" w:hRule="atLeast"/>
          <w:jc w:val="center"/>
        </w:trPr>
        <w:tc>
          <w:tcPr>
            <w:tcW w:w="8821" w:type="dxa"/>
          </w:tcPr>
          <w:p>
            <w:pPr>
              <w:wordWrap w:val="0"/>
              <w:spacing w:line="360" w:lineRule="auto"/>
              <w:rPr>
                <w:b/>
                <w:bCs/>
                <w:sz w:val="28"/>
                <w:szCs w:val="28"/>
              </w:rPr>
            </w:pPr>
            <w:r>
              <w:rPr>
                <w:b/>
                <w:bCs/>
                <w:sz w:val="28"/>
                <w:szCs w:val="28"/>
              </w:rPr>
              <w:t>8.1、验收监测概述</w:t>
            </w:r>
          </w:p>
          <w:p>
            <w:pPr>
              <w:pStyle w:val="6"/>
              <w:kinsoku w:val="0"/>
              <w:overflowPunct w:val="0"/>
              <w:spacing w:after="0" w:line="360" w:lineRule="auto"/>
              <w:ind w:firstLine="480" w:firstLineChars="200"/>
              <w:rPr>
                <w:sz w:val="24"/>
              </w:rPr>
            </w:pPr>
            <w:r>
              <w:rPr>
                <w:rFonts w:hint="eastAsia"/>
                <w:sz w:val="24"/>
              </w:rPr>
              <w:t>我公司组织了本次竣工环保验收监测工作，本次验收监测委托了安徽尚德谱检测技术有限责任公司，并于</w:t>
            </w:r>
            <w:r>
              <w:rPr>
                <w:sz w:val="24"/>
              </w:rPr>
              <w:t>20</w:t>
            </w:r>
            <w:r>
              <w:rPr>
                <w:rFonts w:hint="eastAsia"/>
                <w:sz w:val="24"/>
                <w:lang w:val="en-US" w:eastAsia="zh-CN"/>
              </w:rPr>
              <w:t>20</w:t>
            </w:r>
            <w:r>
              <w:rPr>
                <w:sz w:val="24"/>
              </w:rPr>
              <w:t>年</w:t>
            </w:r>
            <w:r>
              <w:rPr>
                <w:rFonts w:hint="eastAsia"/>
                <w:sz w:val="24"/>
                <w:lang w:val="en-US" w:eastAsia="zh-CN"/>
              </w:rPr>
              <w:t>8</w:t>
            </w:r>
            <w:r>
              <w:rPr>
                <w:sz w:val="24"/>
              </w:rPr>
              <w:t>月</w:t>
            </w:r>
            <w:r>
              <w:rPr>
                <w:rFonts w:hint="eastAsia"/>
                <w:sz w:val="24"/>
                <w:lang w:val="en-US" w:eastAsia="zh-CN"/>
              </w:rPr>
              <w:t>10</w:t>
            </w:r>
            <w:r>
              <w:rPr>
                <w:sz w:val="24"/>
              </w:rPr>
              <w:t>日~</w:t>
            </w:r>
            <w:r>
              <w:rPr>
                <w:rFonts w:hint="eastAsia"/>
                <w:sz w:val="24"/>
                <w:lang w:val="en-US" w:eastAsia="zh-CN"/>
              </w:rPr>
              <w:t>11</w:t>
            </w:r>
            <w:r>
              <w:rPr>
                <w:sz w:val="24"/>
              </w:rPr>
              <w:t>日进行了现场监测工作。</w:t>
            </w:r>
            <w:r>
              <w:rPr>
                <w:rFonts w:hint="eastAsia"/>
                <w:sz w:val="24"/>
              </w:rPr>
              <w:t>我公司根据自查情况结合监测数据编制了</w:t>
            </w:r>
            <w:r>
              <w:rPr>
                <w:rFonts w:hint="eastAsia"/>
                <w:sz w:val="24"/>
                <w:szCs w:val="24"/>
              </w:rPr>
              <w:t>《</w:t>
            </w:r>
            <w:r>
              <w:rPr>
                <w:rFonts w:hint="eastAsia"/>
                <w:kern w:val="0"/>
                <w:sz w:val="24"/>
              </w:rPr>
              <w:t>安徽常宇门窗有限公司年产7.5万m</w:t>
            </w:r>
            <w:r>
              <w:rPr>
                <w:rFonts w:hint="eastAsia"/>
                <w:kern w:val="0"/>
                <w:sz w:val="24"/>
                <w:vertAlign w:val="superscript"/>
              </w:rPr>
              <w:t>2</w:t>
            </w:r>
            <w:r>
              <w:rPr>
                <w:rFonts w:hint="eastAsia"/>
                <w:kern w:val="0"/>
                <w:sz w:val="24"/>
              </w:rPr>
              <w:t>铝合金门窗加工生产项目</w:t>
            </w:r>
            <w:r>
              <w:rPr>
                <w:sz w:val="24"/>
              </w:rPr>
              <w:t>竣工环境保护验收监测报告</w:t>
            </w:r>
            <w:r>
              <w:rPr>
                <w:rFonts w:hint="eastAsia"/>
                <w:sz w:val="24"/>
              </w:rPr>
              <w:t>》。</w:t>
            </w:r>
          </w:p>
          <w:p>
            <w:pPr>
              <w:spacing w:line="360" w:lineRule="auto"/>
              <w:ind w:firstLine="496" w:firstLineChars="207"/>
              <w:rPr>
                <w:color w:val="000000"/>
                <w:kern w:val="0"/>
                <w:sz w:val="24"/>
              </w:rPr>
            </w:pPr>
            <w:r>
              <w:rPr>
                <w:rFonts w:hint="eastAsia"/>
                <w:kern w:val="0"/>
                <w:sz w:val="24"/>
              </w:rPr>
              <w:t>安徽常宇门窗有限公司</w:t>
            </w:r>
            <w:r>
              <w:rPr>
                <w:color w:val="000000"/>
                <w:sz w:val="24"/>
              </w:rPr>
              <w:t>监测期间对企业的生产负荷进行现场核查，核查结果满足环保验收监测对生产工况的要求，企业各项污染治理设施运行正常，工况基本稳定</w:t>
            </w:r>
            <w:r>
              <w:rPr>
                <w:color w:val="000000"/>
                <w:kern w:val="0"/>
                <w:sz w:val="24"/>
              </w:rPr>
              <w:t>。通过对该项目噪声监测、废水监测和环境管理检查得出结论如下：</w:t>
            </w:r>
          </w:p>
          <w:p>
            <w:pPr>
              <w:wordWrap w:val="0"/>
              <w:spacing w:line="360" w:lineRule="auto"/>
              <w:rPr>
                <w:b/>
                <w:bCs/>
                <w:sz w:val="28"/>
                <w:szCs w:val="28"/>
              </w:rPr>
            </w:pPr>
            <w:r>
              <w:rPr>
                <w:b/>
                <w:bCs/>
                <w:sz w:val="28"/>
                <w:szCs w:val="28"/>
              </w:rPr>
              <w:t>8.2、</w:t>
            </w:r>
            <w:r>
              <w:rPr>
                <w:rFonts w:hint="eastAsia"/>
                <w:b/>
                <w:bCs/>
                <w:sz w:val="28"/>
                <w:szCs w:val="28"/>
              </w:rPr>
              <w:t>环保设施调试运行效果</w:t>
            </w:r>
          </w:p>
          <w:p>
            <w:pPr>
              <w:wordWrap w:val="0"/>
              <w:spacing w:line="360" w:lineRule="auto"/>
              <w:rPr>
                <w:b/>
                <w:bCs/>
                <w:sz w:val="24"/>
              </w:rPr>
            </w:pPr>
            <w:r>
              <w:rPr>
                <w:rFonts w:hint="eastAsia"/>
                <w:b/>
                <w:bCs/>
                <w:sz w:val="24"/>
              </w:rPr>
              <w:t>8.2.1、</w:t>
            </w:r>
            <w:r>
              <w:rPr>
                <w:b/>
                <w:bCs/>
                <w:sz w:val="24"/>
              </w:rPr>
              <w:t>废气排放</w:t>
            </w:r>
          </w:p>
          <w:p>
            <w:pPr>
              <w:pStyle w:val="30"/>
              <w:spacing w:line="360" w:lineRule="auto"/>
              <w:jc w:val="left"/>
              <w:rPr>
                <w:rFonts w:hint="eastAsia" w:eastAsia="宋体" w:cs="宋体"/>
                <w:sz w:val="24"/>
                <w:szCs w:val="24"/>
                <w:lang w:eastAsia="zh-CN"/>
              </w:rPr>
            </w:pPr>
            <w:r>
              <w:rPr>
                <w:rFonts w:hint="eastAsia" w:cs="Times New Roman"/>
                <w:sz w:val="24"/>
                <w:szCs w:val="24"/>
                <w:lang w:val="en-US" w:eastAsia="zh-CN"/>
              </w:rPr>
              <w:t>本项目</w:t>
            </w:r>
            <w:r>
              <w:rPr>
                <w:rFonts w:hint="eastAsia" w:ascii="Times New Roman" w:hAnsi="Times New Roman" w:cs="Times New Roman"/>
                <w:sz w:val="24"/>
                <w:szCs w:val="24"/>
                <w:lang w:val="en-US" w:eastAsia="zh-CN"/>
              </w:rPr>
              <w:t>打胶、晾干工序外协，无非甲烷总烃产生</w:t>
            </w:r>
            <w:r>
              <w:rPr>
                <w:rFonts w:hint="eastAsia" w:cs="Times New Roman"/>
                <w:sz w:val="24"/>
                <w:szCs w:val="24"/>
                <w:lang w:val="en-US" w:eastAsia="zh-CN"/>
              </w:rPr>
              <w:t>。</w:t>
            </w:r>
          </w:p>
          <w:p>
            <w:pPr>
              <w:spacing w:line="360" w:lineRule="auto"/>
              <w:jc w:val="left"/>
              <w:rPr>
                <w:b/>
                <w:bCs/>
                <w:sz w:val="24"/>
              </w:rPr>
            </w:pPr>
            <w:r>
              <w:rPr>
                <w:rFonts w:hint="eastAsia"/>
                <w:b/>
                <w:bCs/>
                <w:sz w:val="24"/>
              </w:rPr>
              <w:t>8</w:t>
            </w:r>
            <w:r>
              <w:rPr>
                <w:b/>
                <w:bCs/>
                <w:sz w:val="24"/>
              </w:rPr>
              <w:t>.2.</w:t>
            </w:r>
            <w:r>
              <w:rPr>
                <w:rFonts w:hint="eastAsia"/>
                <w:b/>
                <w:bCs/>
                <w:sz w:val="24"/>
              </w:rPr>
              <w:t>2</w:t>
            </w:r>
            <w:r>
              <w:rPr>
                <w:b/>
                <w:bCs/>
                <w:sz w:val="24"/>
              </w:rPr>
              <w:t>、</w:t>
            </w:r>
            <w:r>
              <w:rPr>
                <w:rFonts w:hint="eastAsia"/>
                <w:b/>
                <w:bCs/>
                <w:sz w:val="24"/>
              </w:rPr>
              <w:t>废水</w:t>
            </w:r>
            <w:r>
              <w:rPr>
                <w:b/>
                <w:bCs/>
                <w:sz w:val="24"/>
              </w:rPr>
              <w:t>排放</w:t>
            </w:r>
          </w:p>
          <w:p>
            <w:pPr>
              <w:spacing w:line="540" w:lineRule="exact"/>
              <w:ind w:firstLine="480"/>
              <w:rPr>
                <w:color w:val="auto"/>
                <w:sz w:val="24"/>
              </w:rPr>
            </w:pPr>
            <w:r>
              <w:rPr>
                <w:color w:val="auto"/>
                <w:sz w:val="24"/>
              </w:rPr>
              <w:t>本项目的废水</w:t>
            </w:r>
            <w:r>
              <w:rPr>
                <w:rFonts w:hint="eastAsia"/>
                <w:color w:val="auto"/>
                <w:sz w:val="24"/>
              </w:rPr>
              <w:t>主要为</w:t>
            </w:r>
            <w:r>
              <w:rPr>
                <w:color w:val="auto"/>
                <w:sz w:val="24"/>
              </w:rPr>
              <w:t>生活污水</w:t>
            </w:r>
            <w:r>
              <w:rPr>
                <w:rFonts w:hint="eastAsia"/>
                <w:color w:val="auto"/>
                <w:sz w:val="24"/>
                <w:lang w:val="en-US" w:eastAsia="zh-CN"/>
              </w:rPr>
              <w:t>和保洁废水</w:t>
            </w:r>
            <w:r>
              <w:rPr>
                <w:kern w:val="24"/>
                <w:sz w:val="24"/>
                <w:szCs w:val="24"/>
              </w:rPr>
              <w:t>。主要污染物为悬浮物。</w:t>
            </w:r>
          </w:p>
          <w:p>
            <w:pPr>
              <w:spacing w:line="360" w:lineRule="auto"/>
              <w:ind w:firstLine="480" w:firstLineChars="200"/>
              <w:rPr>
                <w:rFonts w:hint="eastAsia" w:ascii="宋体" w:hAnsi="宋体" w:eastAsia="宋体"/>
                <w:kern w:val="0"/>
                <w:sz w:val="24"/>
                <w:lang w:eastAsia="zh-CN"/>
              </w:rPr>
            </w:pPr>
            <w:r>
              <w:rPr>
                <w:rFonts w:hint="eastAsia" w:ascii="宋体" w:hAnsi="宋体"/>
                <w:kern w:val="0"/>
                <w:sz w:val="24"/>
              </w:rPr>
              <w:t>生活污水、保洁废水经化粪池处理后，满足西部组团污水处理厂接管标准，未规定的执行《污水综合排放标准</w:t>
            </w:r>
            <w:r>
              <w:rPr>
                <w:rFonts w:hint="default" w:ascii="Times New Roman" w:hAnsi="Times New Roman" w:cs="Times New Roman"/>
                <w:kern w:val="0"/>
                <w:sz w:val="24"/>
              </w:rPr>
              <w:t>》（GB8978-1996）中的三级标准，通过市政污水管网排入西部组团污水处理厂处理后排入派河</w:t>
            </w:r>
            <w:r>
              <w:rPr>
                <w:rFonts w:hint="eastAsia" w:ascii="Times New Roman" w:hAnsi="Times New Roman" w:cs="Times New Roman"/>
                <w:kern w:val="0"/>
                <w:sz w:val="24"/>
                <w:lang w:eastAsia="zh-CN"/>
              </w:rPr>
              <w:t>。</w:t>
            </w:r>
          </w:p>
          <w:p>
            <w:pPr>
              <w:spacing w:line="360" w:lineRule="auto"/>
              <w:ind w:firstLine="480" w:firstLineChars="200"/>
              <w:rPr>
                <w:rFonts w:hint="eastAsia" w:eastAsia="宋体" w:cs="宋体"/>
                <w:sz w:val="24"/>
                <w:szCs w:val="24"/>
                <w:lang w:eastAsia="zh-CN"/>
              </w:rPr>
            </w:pPr>
            <w:r>
              <w:rPr>
                <w:sz w:val="24"/>
              </w:rPr>
              <w:t>验收监测结果表明：验收监测期间，</w:t>
            </w:r>
            <w:r>
              <w:rPr>
                <w:rFonts w:hint="eastAsia"/>
                <w:sz w:val="24"/>
                <w:lang w:val="en-US" w:eastAsia="zh-CN"/>
              </w:rPr>
              <w:t>废水各污染因子</w:t>
            </w:r>
            <w:r>
              <w:rPr>
                <w:rFonts w:hint="eastAsia"/>
                <w:sz w:val="24"/>
              </w:rPr>
              <w:t>均</w:t>
            </w:r>
            <w:r>
              <w:rPr>
                <w:sz w:val="24"/>
              </w:rPr>
              <w:t>满足</w:t>
            </w:r>
            <w:r>
              <w:rPr>
                <w:rFonts w:hint="eastAsia"/>
                <w:sz w:val="24"/>
                <w:lang w:val="en-US" w:eastAsia="zh-CN"/>
              </w:rPr>
              <w:t>西部组团</w:t>
            </w:r>
            <w:r>
              <w:rPr>
                <w:rFonts w:hint="eastAsia"/>
                <w:sz w:val="24"/>
              </w:rPr>
              <w:t>污水处理厂</w:t>
            </w:r>
            <w:r>
              <w:rPr>
                <w:sz w:val="24"/>
              </w:rPr>
              <w:t>接</w:t>
            </w:r>
            <w:r>
              <w:rPr>
                <w:rFonts w:hint="eastAsia"/>
                <w:sz w:val="24"/>
              </w:rPr>
              <w:t>管</w:t>
            </w:r>
            <w:r>
              <w:rPr>
                <w:sz w:val="24"/>
              </w:rPr>
              <w:t>标准，未规定的执行《污水综合排放标准》（GB8978-1996）中的三级标准</w:t>
            </w:r>
            <w:r>
              <w:rPr>
                <w:rFonts w:hint="eastAsia"/>
                <w:sz w:val="24"/>
                <w:szCs w:val="24"/>
                <w:lang w:eastAsia="zh-CN"/>
              </w:rPr>
              <w:t>。</w:t>
            </w:r>
          </w:p>
          <w:p>
            <w:pPr>
              <w:spacing w:line="360" w:lineRule="auto"/>
              <w:jc w:val="left"/>
              <w:rPr>
                <w:b/>
                <w:bCs/>
                <w:sz w:val="24"/>
              </w:rPr>
            </w:pPr>
            <w:r>
              <w:rPr>
                <w:rFonts w:hint="eastAsia"/>
                <w:b/>
                <w:bCs/>
                <w:sz w:val="24"/>
              </w:rPr>
              <w:t>8</w:t>
            </w:r>
            <w:r>
              <w:rPr>
                <w:b/>
                <w:bCs/>
                <w:sz w:val="24"/>
              </w:rPr>
              <w:t>.2.</w:t>
            </w:r>
            <w:r>
              <w:rPr>
                <w:rFonts w:hint="eastAsia"/>
                <w:b/>
                <w:bCs/>
                <w:sz w:val="24"/>
              </w:rPr>
              <w:t>3</w:t>
            </w:r>
            <w:r>
              <w:rPr>
                <w:b/>
                <w:bCs/>
                <w:sz w:val="24"/>
              </w:rPr>
              <w:t>、噪声排放</w:t>
            </w:r>
          </w:p>
          <w:p>
            <w:pPr>
              <w:snapToGrid w:val="0"/>
              <w:spacing w:line="360" w:lineRule="auto"/>
              <w:ind w:firstLine="480" w:firstLineChars="200"/>
              <w:rPr>
                <w:sz w:val="24"/>
              </w:rPr>
            </w:pPr>
            <w:r>
              <w:rPr>
                <w:sz w:val="24"/>
              </w:rPr>
              <w:t>建设项目主要噪声源有：</w:t>
            </w:r>
            <w:r>
              <w:rPr>
                <w:rFonts w:hint="eastAsia"/>
                <w:sz w:val="24"/>
                <w:lang w:bidi="ar"/>
              </w:rPr>
              <w:t>各类机加工设备以及</w:t>
            </w:r>
            <w:r>
              <w:rPr>
                <w:rFonts w:hint="eastAsia"/>
                <w:sz w:val="24"/>
                <w:lang w:val="en-US" w:eastAsia="zh-CN" w:bidi="ar"/>
              </w:rPr>
              <w:t>风机</w:t>
            </w:r>
            <w:r>
              <w:rPr>
                <w:sz w:val="24"/>
              </w:rPr>
              <w:t>等机械设备。</w:t>
            </w:r>
          </w:p>
          <w:p>
            <w:pPr>
              <w:spacing w:line="360" w:lineRule="auto"/>
              <w:ind w:firstLine="480" w:firstLineChars="200"/>
              <w:rPr>
                <w:sz w:val="24"/>
              </w:rPr>
            </w:pPr>
            <w:r>
              <w:rPr>
                <w:sz w:val="24"/>
              </w:rPr>
              <w:t>验收监测期间，厂界</w:t>
            </w:r>
            <w:r>
              <w:rPr>
                <w:rFonts w:hint="eastAsia"/>
                <w:sz w:val="24"/>
              </w:rPr>
              <w:t>昼间</w:t>
            </w:r>
            <w:r>
              <w:rPr>
                <w:sz w:val="24"/>
              </w:rPr>
              <w:t>噪声</w:t>
            </w:r>
            <w:r>
              <w:rPr>
                <w:rFonts w:hint="eastAsia"/>
                <w:sz w:val="24"/>
              </w:rPr>
              <w:t>均</w:t>
            </w:r>
            <w:r>
              <w:rPr>
                <w:sz w:val="24"/>
              </w:rPr>
              <w:t>满足《工业企业厂界环境噪声排放标准》(GB12348-2008)中</w:t>
            </w:r>
            <w:r>
              <w:rPr>
                <w:rFonts w:hint="eastAsia"/>
                <w:sz w:val="24"/>
              </w:rPr>
              <w:t>2</w:t>
            </w:r>
            <w:r>
              <w:rPr>
                <w:sz w:val="24"/>
              </w:rPr>
              <w:t>类功能区标准</w:t>
            </w:r>
            <w:r>
              <w:rPr>
                <w:rFonts w:hint="eastAsia"/>
                <w:sz w:val="24"/>
              </w:rPr>
              <w:t>。</w:t>
            </w:r>
          </w:p>
          <w:p>
            <w:pPr>
              <w:spacing w:line="360" w:lineRule="auto"/>
              <w:jc w:val="left"/>
              <w:rPr>
                <w:color w:val="000000"/>
                <w:sz w:val="24"/>
              </w:rPr>
            </w:pPr>
            <w:r>
              <w:rPr>
                <w:rFonts w:hint="eastAsia"/>
                <w:b/>
                <w:bCs/>
                <w:sz w:val="24"/>
              </w:rPr>
              <w:t>8.2.4、</w:t>
            </w:r>
            <w:r>
              <w:rPr>
                <w:b/>
                <w:bCs/>
                <w:sz w:val="24"/>
              </w:rPr>
              <w:t>固体废物</w:t>
            </w:r>
          </w:p>
          <w:p>
            <w:pPr>
              <w:widowControl/>
              <w:spacing w:line="500" w:lineRule="exact"/>
              <w:ind w:firstLine="480" w:firstLineChars="200"/>
              <w:jc w:val="left"/>
              <w:rPr>
                <w:sz w:val="24"/>
                <w:szCs w:val="20"/>
              </w:rPr>
            </w:pPr>
            <w:r>
              <w:rPr>
                <w:rFonts w:hint="eastAsia" w:cs="宋体"/>
                <w:sz w:val="24"/>
                <w:szCs w:val="20"/>
                <w:lang w:bidi="ar"/>
              </w:rPr>
              <w:t>本项目产生的固体废弃物主要是生活垃圾、</w:t>
            </w:r>
            <w:r>
              <w:rPr>
                <w:rFonts w:hint="eastAsia" w:cs="宋体"/>
                <w:sz w:val="24"/>
                <w:szCs w:val="20"/>
                <w:lang w:val="en-US" w:eastAsia="zh-CN" w:bidi="ar"/>
              </w:rPr>
              <w:t>废边角料</w:t>
            </w:r>
            <w:r>
              <w:rPr>
                <w:rFonts w:hint="eastAsia" w:cs="宋体"/>
                <w:sz w:val="24"/>
                <w:szCs w:val="20"/>
                <w:lang w:bidi="ar"/>
              </w:rPr>
              <w:t>。生活垃圾和包装废料由环卫部门统一收集后处理</w:t>
            </w:r>
            <w:r>
              <w:rPr>
                <w:rFonts w:hint="eastAsia"/>
                <w:sz w:val="24"/>
                <w:szCs w:val="20"/>
                <w:lang w:eastAsia="zh-CN" w:bidi="ar"/>
              </w:rPr>
              <w:t>；</w:t>
            </w:r>
            <w:r>
              <w:rPr>
                <w:rFonts w:hint="eastAsia"/>
                <w:sz w:val="24"/>
                <w:szCs w:val="20"/>
                <w:lang w:val="en-US" w:eastAsia="zh-CN" w:bidi="ar"/>
              </w:rPr>
              <w:t>废边角料</w:t>
            </w:r>
            <w:r>
              <w:rPr>
                <w:rFonts w:hint="eastAsia" w:cs="宋体"/>
                <w:sz w:val="24"/>
                <w:szCs w:val="20"/>
                <w:lang w:bidi="ar"/>
              </w:rPr>
              <w:t>定期外售废品收购站。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b/>
                <w:bCs/>
                <w:sz w:val="28"/>
                <w:szCs w:val="28"/>
                <w:lang w:val="en-US" w:eastAsia="zh-CN"/>
              </w:rPr>
            </w:pPr>
            <w:r>
              <w:rPr>
                <w:b/>
                <w:bCs/>
                <w:sz w:val="28"/>
                <w:szCs w:val="28"/>
              </w:rPr>
              <w:t>8.3、</w:t>
            </w:r>
            <w:r>
              <w:rPr>
                <w:rFonts w:hint="eastAsia"/>
                <w:b/>
                <w:bCs/>
                <w:sz w:val="28"/>
                <w:szCs w:val="28"/>
                <w:lang w:val="en-US" w:eastAsia="zh-CN"/>
              </w:rPr>
              <w:t>卫生防护距离</w:t>
            </w:r>
          </w:p>
          <w:p>
            <w:pPr>
              <w:spacing w:line="360" w:lineRule="auto"/>
              <w:ind w:firstLine="480" w:firstLineChars="200"/>
              <w:jc w:val="left"/>
              <w:rPr>
                <w:rFonts w:hint="eastAsia"/>
                <w:sz w:val="24"/>
                <w:szCs w:val="24"/>
                <w:lang w:eastAsia="zh-CN"/>
              </w:rPr>
            </w:pPr>
            <w:r>
              <w:rPr>
                <w:sz w:val="24"/>
                <w:szCs w:val="24"/>
              </w:rPr>
              <w:t>根据本项目环评及批复要求：</w:t>
            </w:r>
            <w:r>
              <w:rPr>
                <w:rFonts w:hint="eastAsia"/>
                <w:sz w:val="24"/>
                <w:szCs w:val="24"/>
                <w:lang w:val="en-US" w:eastAsia="zh-CN"/>
              </w:rPr>
              <w:t>设置环境</w:t>
            </w:r>
            <w:r>
              <w:rPr>
                <w:rFonts w:hint="eastAsia"/>
                <w:sz w:val="24"/>
                <w:szCs w:val="24"/>
                <w:lang w:eastAsia="zh-CN"/>
              </w:rPr>
              <w:t>防护距离为</w:t>
            </w:r>
            <w:r>
              <w:rPr>
                <w:sz w:val="24"/>
              </w:rPr>
              <w:t>生产车间边界</w:t>
            </w:r>
            <w:r>
              <w:rPr>
                <w:rFonts w:hint="eastAsia"/>
                <w:sz w:val="24"/>
                <w:szCs w:val="24"/>
                <w:lang w:eastAsia="zh-CN"/>
              </w:rPr>
              <w:t>50m。根据现场踏勘，项目50m</w:t>
            </w:r>
            <w:r>
              <w:rPr>
                <w:rFonts w:hint="eastAsia"/>
                <w:sz w:val="24"/>
                <w:szCs w:val="24"/>
                <w:lang w:val="en-US" w:eastAsia="zh-CN"/>
              </w:rPr>
              <w:t>环境</w:t>
            </w:r>
            <w:r>
              <w:rPr>
                <w:rFonts w:hint="eastAsia"/>
                <w:sz w:val="24"/>
                <w:szCs w:val="24"/>
                <w:lang w:eastAsia="zh-CN"/>
              </w:rPr>
              <w:t>防护距离范围内目前无居民点以及其他环境空气敏感保护点，今后在此范围内也不得建设居民点、学校、医院等环境敏感项目。”</w:t>
            </w:r>
          </w:p>
          <w:p>
            <w:pPr>
              <w:spacing w:line="360" w:lineRule="auto"/>
              <w:ind w:firstLine="480" w:firstLineChars="200"/>
              <w:jc w:val="left"/>
              <w:rPr>
                <w:rFonts w:hint="eastAsia"/>
                <w:sz w:val="24"/>
                <w:szCs w:val="24"/>
                <w:lang w:val="en-US" w:eastAsia="zh-CN"/>
              </w:rPr>
            </w:pPr>
            <w:r>
              <w:rPr>
                <w:rFonts w:hint="eastAsia"/>
                <w:sz w:val="24"/>
                <w:szCs w:val="24"/>
                <w:lang w:val="en-US" w:eastAsia="zh-CN"/>
              </w:rPr>
              <w:t>经现场核查，本项目卫生防护距离内无敏感点。</w:t>
            </w:r>
          </w:p>
          <w:p>
            <w:pPr>
              <w:spacing w:line="360" w:lineRule="auto"/>
              <w:jc w:val="left"/>
            </w:pPr>
            <w:r>
              <w:rPr>
                <w:rFonts w:hint="eastAsia"/>
                <w:b/>
                <w:bCs/>
                <w:sz w:val="28"/>
                <w:szCs w:val="28"/>
              </w:rPr>
              <w:t>8</w:t>
            </w:r>
            <w:r>
              <w:rPr>
                <w:b/>
                <w:bCs/>
                <w:sz w:val="28"/>
                <w:szCs w:val="28"/>
              </w:rPr>
              <w:t>.</w:t>
            </w:r>
            <w:r>
              <w:rPr>
                <w:rFonts w:hint="eastAsia"/>
                <w:b/>
                <w:bCs/>
                <w:sz w:val="28"/>
                <w:szCs w:val="28"/>
                <w:lang w:val="en-US" w:eastAsia="zh-CN"/>
              </w:rPr>
              <w:t>5</w:t>
            </w:r>
            <w:r>
              <w:rPr>
                <w:b/>
                <w:bCs/>
                <w:sz w:val="28"/>
                <w:szCs w:val="28"/>
              </w:rPr>
              <w:t>、</w:t>
            </w:r>
            <w:r>
              <w:rPr>
                <w:rFonts w:hint="eastAsia"/>
                <w:b/>
                <w:bCs/>
                <w:sz w:val="28"/>
                <w:szCs w:val="28"/>
              </w:rPr>
              <w:t>后续要求</w:t>
            </w:r>
          </w:p>
          <w:p>
            <w:pPr>
              <w:spacing w:line="360" w:lineRule="auto"/>
              <w:ind w:firstLine="480" w:firstLineChars="200"/>
              <w:rPr>
                <w:sz w:val="24"/>
              </w:rPr>
            </w:pPr>
            <w:r>
              <w:rPr>
                <w:sz w:val="24"/>
              </w:rPr>
              <w:t>（</w:t>
            </w:r>
            <w:r>
              <w:rPr>
                <w:rFonts w:hint="eastAsia"/>
                <w:sz w:val="24"/>
              </w:rPr>
              <w:t>1</w:t>
            </w:r>
            <w:r>
              <w:rPr>
                <w:sz w:val="24"/>
              </w:rPr>
              <w:t>）</w:t>
            </w:r>
            <w:r>
              <w:rPr>
                <w:rFonts w:hint="eastAsia"/>
                <w:sz w:val="24"/>
              </w:rPr>
              <w:t>我公司进一步</w:t>
            </w:r>
            <w:r>
              <w:rPr>
                <w:sz w:val="24"/>
              </w:rPr>
              <w:t>加强环保设施</w:t>
            </w:r>
            <w:r>
              <w:rPr>
                <w:rFonts w:hint="eastAsia"/>
                <w:sz w:val="24"/>
              </w:rPr>
              <w:t>设备的</w:t>
            </w:r>
            <w:r>
              <w:rPr>
                <w:sz w:val="24"/>
              </w:rPr>
              <w:t>运行管理和维护，做好环保治理设施的运行、维护、更换等相关记录，确保各项污染物长期稳定达标排放。</w:t>
            </w:r>
          </w:p>
          <w:p>
            <w:pPr>
              <w:spacing w:line="360" w:lineRule="auto"/>
              <w:ind w:firstLine="480" w:firstLineChars="200"/>
              <w:rPr>
                <w:sz w:val="24"/>
              </w:rPr>
            </w:pPr>
            <w:r>
              <w:rPr>
                <w:rFonts w:hint="eastAsia"/>
                <w:sz w:val="24"/>
              </w:rPr>
              <w:t>（2）进一步加强噪声的污染控制，管理维护好高噪声设备。</w:t>
            </w:r>
          </w:p>
        </w:tc>
      </w:tr>
    </w:tbl>
    <w:p>
      <w:pPr>
        <w:adjustRightInd w:val="0"/>
        <w:rPr>
          <w:rFonts w:ascii="宋体" w:hAnsi="宋体"/>
          <w:b/>
          <w:bCs/>
          <w:color w:val="000000"/>
          <w:spacing w:val="20"/>
          <w:sz w:val="28"/>
          <w:szCs w:val="28"/>
        </w:rPr>
      </w:pPr>
    </w:p>
    <w:p>
      <w:pPr>
        <w:adjustRightInd w:val="0"/>
        <w:rPr>
          <w:rFonts w:ascii="宋体" w:hAnsi="宋体"/>
          <w:b/>
          <w:bCs/>
          <w:color w:val="000000"/>
          <w:spacing w:val="20"/>
          <w:sz w:val="28"/>
          <w:szCs w:val="28"/>
        </w:rPr>
      </w:pPr>
    </w:p>
    <w:p>
      <w:pPr>
        <w:adjustRightInd w:val="0"/>
        <w:rPr>
          <w:rFonts w:ascii="宋体" w:hAnsi="宋体"/>
          <w:b/>
          <w:bCs/>
          <w:color w:val="000000"/>
          <w:spacing w:val="20"/>
          <w:sz w:val="28"/>
          <w:szCs w:val="28"/>
        </w:rPr>
      </w:pPr>
    </w:p>
    <w:p>
      <w:pPr>
        <w:adjustRightInd w:val="0"/>
        <w:rPr>
          <w:b/>
          <w:color w:val="000000"/>
          <w:sz w:val="24"/>
        </w:rPr>
        <w:sectPr>
          <w:footerReference r:id="rId8" w:type="default"/>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p>
    <w:p>
      <w:pPr>
        <w:ind w:right="560"/>
        <w:jc w:val="center"/>
        <w:rPr>
          <w:b/>
          <w:color w:val="000000"/>
          <w:sz w:val="24"/>
        </w:rPr>
      </w:pPr>
      <w:r>
        <w:rPr>
          <w:rFonts w:hint="eastAsia"/>
          <w:lang w:val="en-US" w:eastAsia="zh-CN"/>
        </w:rPr>
        <w:drawing>
          <wp:anchor distT="0" distB="0" distL="114300" distR="114300" simplePos="0" relativeHeight="4417536" behindDoc="0" locked="0" layoutInCell="1" allowOverlap="1">
            <wp:simplePos x="0" y="0"/>
            <wp:positionH relativeFrom="column">
              <wp:posOffset>7913370</wp:posOffset>
            </wp:positionH>
            <wp:positionV relativeFrom="paragraph">
              <wp:posOffset>-10795</wp:posOffset>
            </wp:positionV>
            <wp:extent cx="902335" cy="928370"/>
            <wp:effectExtent l="0" t="0" r="12065" b="5080"/>
            <wp:wrapNone/>
            <wp:docPr id="40" name="图片 40" descr="5006c66217507bab8c1309031d35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006c66217507bab8c1309031d35e4c"/>
                    <pic:cNvPicPr>
                      <a:picLocks noChangeAspect="1"/>
                    </pic:cNvPicPr>
                  </pic:nvPicPr>
                  <pic:blipFill>
                    <a:blip r:embed="rId15"/>
                    <a:stretch>
                      <a:fillRect/>
                    </a:stretch>
                  </pic:blipFill>
                  <pic:spPr>
                    <a:xfrm>
                      <a:off x="0" y="0"/>
                      <a:ext cx="902335" cy="928370"/>
                    </a:xfrm>
                    <a:prstGeom prst="rect">
                      <a:avLst/>
                    </a:prstGeom>
                  </pic:spPr>
                </pic:pic>
              </a:graphicData>
            </a:graphic>
          </wp:anchor>
        </w:drawing>
      </w:r>
      <w:r>
        <w:drawing>
          <wp:inline distT="0" distB="0" distL="114300" distR="114300">
            <wp:extent cx="8422005" cy="4838065"/>
            <wp:effectExtent l="0" t="0" r="17145" b="6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6"/>
                    <a:stretch>
                      <a:fillRect/>
                    </a:stretch>
                  </pic:blipFill>
                  <pic:spPr>
                    <a:xfrm>
                      <a:off x="0" y="0"/>
                      <a:ext cx="8422005" cy="4838065"/>
                    </a:xfrm>
                    <a:prstGeom prst="rect">
                      <a:avLst/>
                    </a:prstGeom>
                    <a:noFill/>
                    <a:ln>
                      <a:noFill/>
                    </a:ln>
                  </pic:spPr>
                </pic:pic>
              </a:graphicData>
            </a:graphic>
          </wp:inline>
        </w:drawing>
      </w:r>
    </w:p>
    <w:p>
      <w:pPr>
        <w:ind w:right="560"/>
        <w:jc w:val="center"/>
      </w:pPr>
      <w:r>
        <w:rPr>
          <w:sz w:val="24"/>
        </w:rPr>
        <mc:AlternateContent>
          <mc:Choice Requires="wps">
            <w:drawing>
              <wp:anchor distT="0" distB="0" distL="114300" distR="114300" simplePos="0" relativeHeight="251658240" behindDoc="0" locked="0" layoutInCell="1" allowOverlap="1">
                <wp:simplePos x="0" y="0"/>
                <wp:positionH relativeFrom="column">
                  <wp:posOffset>7683500</wp:posOffset>
                </wp:positionH>
                <wp:positionV relativeFrom="paragraph">
                  <wp:posOffset>186690</wp:posOffset>
                </wp:positionV>
                <wp:extent cx="1105535" cy="1152525"/>
                <wp:effectExtent l="0" t="0" r="12065" b="3175"/>
                <wp:wrapNone/>
                <wp:docPr id="2" name="文本框 2"/>
                <wp:cNvGraphicFramePr/>
                <a:graphic xmlns:a="http://schemas.openxmlformats.org/drawingml/2006/main">
                  <a:graphicData uri="http://schemas.microsoft.com/office/word/2010/wordprocessingShape">
                    <wps:wsp>
                      <wps:cNvSpPr txBox="1"/>
                      <wps:spPr>
                        <a:xfrm>
                          <a:off x="0" y="0"/>
                          <a:ext cx="1105535" cy="1152525"/>
                        </a:xfrm>
                        <a:prstGeom prst="rect">
                          <a:avLst/>
                        </a:prstGeom>
                        <a:solidFill>
                          <a:srgbClr val="FFFFFF"/>
                        </a:solidFill>
                        <a:ln w="9525">
                          <a:noFill/>
                        </a:ln>
                      </wps:spPr>
                      <wps:txbx>
                        <w:txbxContent>
                          <w:p/>
                        </w:txbxContent>
                      </wps:txbx>
                      <wps:bodyPr upright="1"/>
                    </wps:wsp>
                  </a:graphicData>
                </a:graphic>
              </wp:anchor>
            </w:drawing>
          </mc:Choice>
          <mc:Fallback>
            <w:pict>
              <v:shape id="_x0000_s1026" o:spid="_x0000_s1026" o:spt="202" type="#_x0000_t202" style="position:absolute;left:0pt;margin-left:605pt;margin-top:14.7pt;height:90.75pt;width:87.05pt;z-index:251658240;mso-width-relative:page;mso-height-relative:page;" fillcolor="#FFFFFF" filled="t" stroked="f" coordsize="21600,21600" o:gfxdata="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vaWz2QAA&#10;AAwBAAAPAAAAAAAAAAEAIAAAACIAAABkcnMvZG93bnJldi54bWxQSwECFAAUAAAACACHTuJAAldK&#10;G6sBAAAzAwAADgAAAAAAAAABACAAAAAoAQAAZHJzL2Uyb0RvYy54bWxQSwUGAAAAAAYABgBZAQAA&#10;RQUAAAAA&#10;">
                <v:fill on="t" focussize="0,0"/>
                <v:stroke on="f"/>
                <v:imagedata o:title=""/>
                <o:lock v:ext="edit" aspectratio="f"/>
                <v:textbox>
                  <w:txbxContent>
                    <w:p/>
                  </w:txbxContent>
                </v:textbox>
              </v:shape>
            </w:pict>
          </mc:Fallback>
        </mc:AlternateContent>
      </w:r>
      <w:r>
        <w:rPr>
          <w:b/>
          <w:color w:val="000000"/>
          <w:sz w:val="24"/>
        </w:rPr>
        <w:t>附</w:t>
      </w:r>
      <w:r>
        <w:rPr>
          <w:rFonts w:hint="eastAsia"/>
          <w:b/>
          <w:color w:val="000000"/>
          <w:sz w:val="24"/>
          <w:lang w:val="en-US" w:eastAsia="zh-CN"/>
        </w:rPr>
        <w:t>图</w:t>
      </w:r>
      <w:r>
        <w:rPr>
          <w:b/>
          <w:color w:val="000000"/>
          <w:sz w:val="24"/>
        </w:rPr>
        <w:t>1</w:t>
      </w:r>
      <w:r>
        <w:rPr>
          <w:rFonts w:hint="eastAsia"/>
          <w:b/>
          <w:color w:val="000000"/>
          <w:sz w:val="24"/>
          <w:lang w:val="en-US" w:eastAsia="zh-CN"/>
        </w:rPr>
        <w:t xml:space="preserve">  </w:t>
      </w:r>
      <w:r>
        <w:rPr>
          <w:b/>
          <w:color w:val="000000"/>
          <w:sz w:val="24"/>
        </w:rPr>
        <w:t>项目</w:t>
      </w:r>
      <w:r>
        <w:rPr>
          <w:rFonts w:hint="eastAsia"/>
          <w:b/>
          <w:color w:val="000000"/>
          <w:sz w:val="24"/>
          <w:lang w:val="en-US" w:eastAsia="zh-CN"/>
        </w:rPr>
        <w:t>所在</w:t>
      </w:r>
      <w:r>
        <w:rPr>
          <w:b/>
          <w:color w:val="000000"/>
          <w:sz w:val="24"/>
        </w:rPr>
        <w:t>地理位置图</w:t>
      </w:r>
    </w:p>
    <w:p>
      <w:pPr>
        <w:ind w:right="560"/>
        <w:jc w:val="center"/>
        <w:rPr>
          <w:rFonts w:hint="eastAsia" w:eastAsia="宋体"/>
          <w:lang w:eastAsia="zh-CN"/>
        </w:rPr>
      </w:pPr>
      <w:r>
        <w:rPr>
          <w:sz w:val="21"/>
        </w:rPr>
        <mc:AlternateContent>
          <mc:Choice Requires="wps">
            <w:drawing>
              <wp:anchor distT="0" distB="0" distL="114300" distR="114300" simplePos="0" relativeHeight="2058569728" behindDoc="0" locked="0" layoutInCell="1" allowOverlap="1">
                <wp:simplePos x="0" y="0"/>
                <wp:positionH relativeFrom="column">
                  <wp:posOffset>8047355</wp:posOffset>
                </wp:positionH>
                <wp:positionV relativeFrom="paragraph">
                  <wp:posOffset>169545</wp:posOffset>
                </wp:positionV>
                <wp:extent cx="876300" cy="1543050"/>
                <wp:effectExtent l="4445" t="4445" r="14605" b="14605"/>
                <wp:wrapNone/>
                <wp:docPr id="52" name="文本框 52"/>
                <wp:cNvGraphicFramePr/>
                <a:graphic xmlns:a="http://schemas.openxmlformats.org/drawingml/2006/main">
                  <a:graphicData uri="http://schemas.microsoft.com/office/word/2010/wordprocessingShape">
                    <wps:wsp>
                      <wps:cNvSpPr txBox="1"/>
                      <wps:spPr>
                        <a:xfrm>
                          <a:off x="8961755" y="1310640"/>
                          <a:ext cx="876300" cy="154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eastAsia="宋体"/>
                                <w:lang w:val="en-US" w:eastAsia="zh-CN"/>
                              </w:rPr>
                            </w:pPr>
                            <w:r>
                              <w:rPr>
                                <w:rFonts w:hint="eastAsia"/>
                                <w:lang w:val="en-US" w:eastAsia="zh-CN"/>
                              </w:rPr>
                              <w:t>办公区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3.65pt;margin-top:13.35pt;height:121.5pt;width:69pt;z-index:2058569728;mso-width-relative:page;mso-height-relative:page;" fillcolor="#FFFFFF [3201]" filled="t" stroked="t" coordsize="21600,21600" o:gfxdata="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HhEPvWAAAADAEAAA8AAAAAAAAAAQAg&#10;AAAAIgAAAGRycy9kb3ducmV2LnhtbFBLAQIUABQAAAAIAIdO4kAUL/vQSQIAAHcEAAAOAAAAAAAA&#10;AAEAIAAAACUBAABkcnMvZTJvRG9jLnhtbFBLBQYAAAAABgAGAFkBAADgBQAAAAA=&#10;">
                <v:fill on="t" focussize="0,0"/>
                <v:stroke weight="0.5pt" color="#000000 [3204]" joinstyle="round"/>
                <v:imagedata o:title=""/>
                <o:lock v:ext="edit" aspectratio="f"/>
                <v:textbox>
                  <w:txbxContent>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lang w:val="en-US" w:eastAsia="zh-CN"/>
                        </w:rPr>
                      </w:pPr>
                    </w:p>
                    <w:p>
                      <w:pPr>
                        <w:ind w:firstLine="210" w:firstLineChars="100"/>
                        <w:rPr>
                          <w:rFonts w:hint="eastAsia" w:eastAsia="宋体"/>
                          <w:lang w:val="en-US" w:eastAsia="zh-CN"/>
                        </w:rPr>
                      </w:pPr>
                      <w:r>
                        <w:rPr>
                          <w:rFonts w:hint="eastAsia"/>
                          <w:lang w:val="en-US" w:eastAsia="zh-CN"/>
                        </w:rPr>
                        <w:t>办公区</w:t>
                      </w:r>
                    </w:p>
                  </w:txbxContent>
                </v:textbox>
              </v:shape>
            </w:pict>
          </mc:Fallback>
        </mc:AlternateContent>
      </w:r>
      <w:r>
        <w:rPr>
          <w:sz w:val="21"/>
        </w:rPr>
        <mc:AlternateContent>
          <mc:Choice Requires="wps">
            <w:drawing>
              <wp:anchor distT="0" distB="0" distL="114300" distR="114300" simplePos="0" relativeHeight="2058568704" behindDoc="0" locked="0" layoutInCell="1" allowOverlap="1">
                <wp:simplePos x="0" y="0"/>
                <wp:positionH relativeFrom="column">
                  <wp:posOffset>132080</wp:posOffset>
                </wp:positionH>
                <wp:positionV relativeFrom="paragraph">
                  <wp:posOffset>64770</wp:posOffset>
                </wp:positionV>
                <wp:extent cx="7886700" cy="4343400"/>
                <wp:effectExtent l="4445" t="4445" r="14605" b="14605"/>
                <wp:wrapNone/>
                <wp:docPr id="51" name="文本框 51"/>
                <wp:cNvGraphicFramePr/>
                <a:graphic xmlns:a="http://schemas.openxmlformats.org/drawingml/2006/main">
                  <a:graphicData uri="http://schemas.microsoft.com/office/word/2010/wordprocessingShape">
                    <wps:wsp>
                      <wps:cNvSpPr txBox="1"/>
                      <wps:spPr>
                        <a:xfrm>
                          <a:off x="1046480" y="1205865"/>
                          <a:ext cx="7886700" cy="434340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pt;margin-top:5.1pt;height:342pt;width:621pt;z-index:2058568704;mso-width-relative:page;mso-height-relative:page;" filled="f" stroked="t" coordsize="21600,21600" o:gfxdata="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JxdpjYAAAACgEAAA8AAAAAAAAAAQAgAAAAIgAA&#10;AGRycy9kb3ducmV2LnhtbFBLAQIUABQAAAAIAIdO4kD/GO4aQQIAAE8EAAAOAAAAAAAAAAEAIAAA&#10;ACcBAABkcnMvZTJvRG9jLnhtbFBLBQYAAAAABgAGAFkBAADaBQAAAAA=&#10;">
                <v:fill on="f" focussize="0,0"/>
                <v:stroke weight="0.5pt" color="#000000 [3204]"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058567680" behindDoc="0" locked="0" layoutInCell="1" allowOverlap="1">
                <wp:simplePos x="0" y="0"/>
                <wp:positionH relativeFrom="column">
                  <wp:posOffset>246380</wp:posOffset>
                </wp:positionH>
                <wp:positionV relativeFrom="paragraph">
                  <wp:posOffset>4299585</wp:posOffset>
                </wp:positionV>
                <wp:extent cx="7629525" cy="228600"/>
                <wp:effectExtent l="0" t="0" r="9525" b="0"/>
                <wp:wrapNone/>
                <wp:docPr id="50" name="文本框 50"/>
                <wp:cNvGraphicFramePr/>
                <a:graphic xmlns:a="http://schemas.openxmlformats.org/drawingml/2006/main">
                  <a:graphicData uri="http://schemas.microsoft.com/office/word/2010/wordprocessingShape">
                    <wps:wsp>
                      <wps:cNvSpPr txBox="1"/>
                      <wps:spPr>
                        <a:xfrm>
                          <a:off x="1160780" y="5440680"/>
                          <a:ext cx="7629525" cy="228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338.55pt;height:18pt;width:600.75pt;z-index:2058567680;mso-width-relative:page;mso-height-relative:page;" fillcolor="#FFFFFF [3201]" filled="t" stroked="f" coordsize="21600,21600" o:gfxdata="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qttSNYAAAALAQAADwAAAAAAAAABACAAAAAiAAAAZHJz&#10;L2Rvd25yZXYueG1sUEsBAhQAFAAAAAgAh07iQDttRSQ/AgAATwQAAA4AAAAAAAAAAQAgAAAAJQEA&#10;AGRycy9lMm9Eb2MueG1sUEsFBgAAAAAGAAYAWQEAANYFA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058566656" behindDoc="0" locked="0" layoutInCell="1" allowOverlap="1">
                <wp:simplePos x="0" y="0"/>
                <wp:positionH relativeFrom="column">
                  <wp:posOffset>132080</wp:posOffset>
                </wp:positionH>
                <wp:positionV relativeFrom="paragraph">
                  <wp:posOffset>-22225</wp:posOffset>
                </wp:positionV>
                <wp:extent cx="7362825" cy="342900"/>
                <wp:effectExtent l="0" t="0" r="9525" b="0"/>
                <wp:wrapNone/>
                <wp:docPr id="49" name="文本框 49"/>
                <wp:cNvGraphicFramePr/>
                <a:graphic xmlns:a="http://schemas.openxmlformats.org/drawingml/2006/main">
                  <a:graphicData uri="http://schemas.microsoft.com/office/word/2010/wordprocessingShape">
                    <wps:wsp>
                      <wps:cNvSpPr txBox="1"/>
                      <wps:spPr>
                        <a:xfrm>
                          <a:off x="1046480" y="1118870"/>
                          <a:ext cx="7362825"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pt;margin-top:-1.75pt;height:27pt;width:579.75pt;z-index:2058566656;mso-width-relative:page;mso-height-relative:page;" fillcolor="#FFFFFF [3201]" filled="t" stroked="f" coordsize="21600,21600" o:gfxdata="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SDEEPUAAAACQEAAA8AAAAAAAAAAQAgAAAAIgAAAGRy&#10;cy9kb3ducmV2LnhtbFBLAQIUABQAAAAIAIdO4kAyrGUeQgIAAE8EAAAOAAAAAAAAAAEAIAAAACMB&#10;AABkcnMvZTJvRG9jLnhtbFBLBQYAAAAABgAGAFkBAADXBQ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058565632" behindDoc="0" locked="0" layoutInCell="1" allowOverlap="1">
                <wp:simplePos x="0" y="0"/>
                <wp:positionH relativeFrom="column">
                  <wp:posOffset>7332980</wp:posOffset>
                </wp:positionH>
                <wp:positionV relativeFrom="paragraph">
                  <wp:posOffset>44450</wp:posOffset>
                </wp:positionV>
                <wp:extent cx="1619250" cy="4429125"/>
                <wp:effectExtent l="0" t="0" r="0" b="9525"/>
                <wp:wrapNone/>
                <wp:docPr id="47" name="文本框 47"/>
                <wp:cNvGraphicFramePr/>
                <a:graphic xmlns:a="http://schemas.openxmlformats.org/drawingml/2006/main">
                  <a:graphicData uri="http://schemas.microsoft.com/office/word/2010/wordprocessingShape">
                    <wps:wsp>
                      <wps:cNvSpPr txBox="1"/>
                      <wps:spPr>
                        <a:xfrm>
                          <a:off x="8237855" y="1242695"/>
                          <a:ext cx="1619250" cy="4429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4pt;margin-top:3.5pt;height:348.75pt;width:127.5pt;z-index:2058565632;mso-width-relative:page;mso-height-relative:page;" fillcolor="#FFFFFF [3201]" filled="t" stroked="f" coordsize="21600,21600" o:gfxdata="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wwYqDUAAAACwEAAA8AAAAAAAAAAQAgAAAAIgAAAGRy&#10;cy9kb3ducmV2LnhtbFBLAQIUABQAAAAIAIdO4kD+IzanQgIAAFAEAAAOAAAAAAAAAAEAIAAAACMB&#10;AABkcnMvZTJvRG9jLnhtbFBLBQYAAAAABgAGAFkBAADXBQ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058564608" behindDoc="0" locked="0" layoutInCell="1" allowOverlap="1">
                <wp:simplePos x="0" y="0"/>
                <wp:positionH relativeFrom="column">
                  <wp:posOffset>65405</wp:posOffset>
                </wp:positionH>
                <wp:positionV relativeFrom="paragraph">
                  <wp:posOffset>168275</wp:posOffset>
                </wp:positionV>
                <wp:extent cx="247650" cy="4343400"/>
                <wp:effectExtent l="0" t="0" r="0" b="0"/>
                <wp:wrapNone/>
                <wp:docPr id="45" name="文本框 45"/>
                <wp:cNvGraphicFramePr/>
                <a:graphic xmlns:a="http://schemas.openxmlformats.org/drawingml/2006/main">
                  <a:graphicData uri="http://schemas.microsoft.com/office/word/2010/wordprocessingShape">
                    <wps:wsp>
                      <wps:cNvSpPr txBox="1"/>
                      <wps:spPr>
                        <a:xfrm>
                          <a:off x="979805" y="1309370"/>
                          <a:ext cx="247650" cy="4343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13.25pt;height:342pt;width:19.5pt;z-index:2058564608;mso-width-relative:page;mso-height-relative:page;" fillcolor="#FFFFFF [3201]" filled="t" stroked="f" coordsize="21600,21600" o:gfxdata="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3hzBdIAAAAIAQAADwAAAAAAAAABACAAAAAiAAAAZHJzL2Rv&#10;d25yZXYueG1sUEsBAhQAFAAAAAgAh07iQKZv5eJAAgAATgQAAA4AAAAAAAAAAQAgAAAAIQEAAGRy&#10;cy9lMm9Eb2MueG1sUEsFBgAAAAAGAAYAWQEAANMFA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1066800</wp:posOffset>
                </wp:positionH>
                <wp:positionV relativeFrom="paragraph">
                  <wp:posOffset>4545330</wp:posOffset>
                </wp:positionV>
                <wp:extent cx="6168390" cy="454660"/>
                <wp:effectExtent l="0" t="0" r="3810" b="2540"/>
                <wp:wrapNone/>
                <wp:docPr id="17" name="文本框 17"/>
                <wp:cNvGraphicFramePr/>
                <a:graphic xmlns:a="http://schemas.openxmlformats.org/drawingml/2006/main">
                  <a:graphicData uri="http://schemas.microsoft.com/office/word/2010/wordprocessingShape">
                    <wps:wsp>
                      <wps:cNvSpPr txBox="1"/>
                      <wps:spPr>
                        <a:xfrm>
                          <a:off x="3219450" y="6734175"/>
                          <a:ext cx="6168390" cy="45466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color w:val="auto"/>
                                <w:sz w:val="24"/>
                                <w:szCs w:val="24"/>
                                <w:lang w:val="en-US" w:eastAsia="zh-CN"/>
                              </w:rPr>
                            </w:pPr>
                            <w:r>
                              <w:rPr>
                                <w:rFonts w:hint="eastAsia"/>
                                <w:b/>
                                <w:bCs/>
                                <w:color w:val="auto"/>
                                <w:sz w:val="24"/>
                                <w:szCs w:val="24"/>
                                <w:lang w:val="en-US" w:eastAsia="zh-CN"/>
                              </w:rPr>
                              <w:t>附图2  平面图图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357.9pt;height:35.8pt;width:485.7pt;z-index:251746304;mso-width-relative:page;mso-height-relative:page;" fillcolor="#FFFFFF [3212]" filled="t" stroked="f" coordsize="21600,21600" o:gfxdata="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0W65dYAAAAMAQAADwAAAAAAAAABACAAAAAiAAAA&#10;ZHJzL2Rvd25yZXYueG1sUEsBAhQAFAAAAAgAh07iQJWzx2tCAgAATwQAAA4AAAAAAAAAAQAgAAAA&#10;JQEAAGRycy9lMm9Eb2MueG1sUEsFBgAAAAAGAAYAWQEAANkFAAAAAA==&#10;">
                <v:fill on="t" focussize="0,0"/>
                <v:stroke on="f" weight="0.5pt"/>
                <v:imagedata o:title=""/>
                <o:lock v:ext="edit" aspectratio="f"/>
                <v:textbox>
                  <w:txbxContent>
                    <w:p>
                      <w:pPr>
                        <w:jc w:val="center"/>
                        <w:rPr>
                          <w:rFonts w:hint="eastAsia" w:eastAsia="宋体"/>
                          <w:b/>
                          <w:bCs/>
                          <w:color w:val="auto"/>
                          <w:sz w:val="24"/>
                          <w:szCs w:val="24"/>
                          <w:lang w:val="en-US" w:eastAsia="zh-CN"/>
                        </w:rPr>
                      </w:pPr>
                      <w:r>
                        <w:rPr>
                          <w:rFonts w:hint="eastAsia"/>
                          <w:b/>
                          <w:bCs/>
                          <w:color w:val="auto"/>
                          <w:sz w:val="24"/>
                          <w:szCs w:val="24"/>
                          <w:lang w:val="en-US" w:eastAsia="zh-CN"/>
                        </w:rPr>
                        <w:t>附图2  平面图图</w:t>
                      </w:r>
                    </w:p>
                  </w:txbxContent>
                </v:textbox>
              </v:shape>
            </w:pict>
          </mc:Fallback>
        </mc:AlternateContent>
      </w:r>
      <w:r>
        <w:rPr>
          <w:sz w:val="21"/>
        </w:rPr>
        <w:drawing>
          <wp:inline distT="0" distB="0" distL="114300" distR="114300">
            <wp:extent cx="8858250" cy="4546600"/>
            <wp:effectExtent l="0" t="0" r="0" b="6350"/>
            <wp:docPr id="37" name="图片 37" descr="164aa64629e39a50126b5a6e3a9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4aa64629e39a50126b5a6e3a93880"/>
                    <pic:cNvPicPr>
                      <a:picLocks noChangeAspect="1"/>
                    </pic:cNvPicPr>
                  </pic:nvPicPr>
                  <pic:blipFill>
                    <a:blip r:embed="rId14"/>
                    <a:stretch>
                      <a:fillRect/>
                    </a:stretch>
                  </pic:blipFill>
                  <pic:spPr>
                    <a:xfrm>
                      <a:off x="0" y="0"/>
                      <a:ext cx="8858250" cy="4546600"/>
                    </a:xfrm>
                    <a:prstGeom prst="rect">
                      <a:avLst/>
                    </a:prstGeom>
                  </pic:spPr>
                </pic:pic>
              </a:graphicData>
            </a:graphic>
          </wp:inline>
        </w:drawing>
      </w:r>
    </w:p>
    <w:p>
      <w:pPr>
        <w:ind w:right="560"/>
        <w:jc w:val="center"/>
        <w:rPr>
          <w:rFonts w:hint="eastAsia" w:eastAsia="宋体"/>
          <w:lang w:eastAsia="zh-CN"/>
        </w:rPr>
      </w:pPr>
    </w:p>
    <w:p>
      <w:pPr>
        <w:ind w:right="560"/>
        <w:jc w:val="center"/>
        <w:rPr>
          <w:rFonts w:hint="eastAsia" w:eastAsia="宋体"/>
          <w:lang w:eastAsia="zh-CN"/>
        </w:rPr>
      </w:pPr>
      <w:r>
        <w:rPr>
          <w:rFonts w:hint="eastAsia"/>
          <w:lang w:val="en-US" w:eastAsia="zh-CN"/>
        </w:rPr>
        <w:drawing>
          <wp:anchor distT="0" distB="0" distL="114300" distR="114300" simplePos="0" relativeHeight="2058563584" behindDoc="0" locked="0" layoutInCell="1" allowOverlap="1">
            <wp:simplePos x="0" y="0"/>
            <wp:positionH relativeFrom="column">
              <wp:posOffset>8027670</wp:posOffset>
            </wp:positionH>
            <wp:positionV relativeFrom="paragraph">
              <wp:posOffset>74930</wp:posOffset>
            </wp:positionV>
            <wp:extent cx="902335" cy="928370"/>
            <wp:effectExtent l="0" t="0" r="12065" b="5080"/>
            <wp:wrapNone/>
            <wp:docPr id="42" name="图片 42" descr="5006c66217507bab8c1309031d35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006c66217507bab8c1309031d35e4c"/>
                    <pic:cNvPicPr>
                      <a:picLocks noChangeAspect="1"/>
                    </pic:cNvPicPr>
                  </pic:nvPicPr>
                  <pic:blipFill>
                    <a:blip r:embed="rId15"/>
                    <a:stretch>
                      <a:fillRect/>
                    </a:stretch>
                  </pic:blipFill>
                  <pic:spPr>
                    <a:xfrm>
                      <a:off x="0" y="0"/>
                      <a:ext cx="902335" cy="928370"/>
                    </a:xfrm>
                    <a:prstGeom prst="rect">
                      <a:avLst/>
                    </a:prstGeom>
                  </pic:spPr>
                </pic:pic>
              </a:graphicData>
            </a:graphic>
          </wp:anchor>
        </w:drawing>
      </w:r>
      <w:r>
        <w:drawing>
          <wp:anchor distT="0" distB="0" distL="114300" distR="114300" simplePos="0" relativeHeight="2245149696" behindDoc="0" locked="0" layoutInCell="1" allowOverlap="1">
            <wp:simplePos x="0" y="0"/>
            <wp:positionH relativeFrom="column">
              <wp:posOffset>53340</wp:posOffset>
            </wp:positionH>
            <wp:positionV relativeFrom="paragraph">
              <wp:posOffset>59055</wp:posOffset>
            </wp:positionV>
            <wp:extent cx="8399780" cy="4729480"/>
            <wp:effectExtent l="0" t="0" r="1270" b="13970"/>
            <wp:wrapTopAndBottom/>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7"/>
                    <a:stretch>
                      <a:fillRect/>
                    </a:stretch>
                  </pic:blipFill>
                  <pic:spPr>
                    <a:xfrm>
                      <a:off x="0" y="0"/>
                      <a:ext cx="8399780" cy="4729480"/>
                    </a:xfrm>
                    <a:prstGeom prst="rect">
                      <a:avLst/>
                    </a:prstGeom>
                    <a:noFill/>
                    <a:ln>
                      <a:noFill/>
                    </a:ln>
                  </pic:spPr>
                </pic:pic>
              </a:graphicData>
            </a:graphic>
          </wp:anchor>
        </w:drawing>
      </w:r>
    </w:p>
    <w:p>
      <w:pPr>
        <w:ind w:right="560"/>
        <w:jc w:val="center"/>
        <w:rPr>
          <w:rFonts w:hint="eastAsia" w:eastAsia="宋体"/>
          <w:lang w:eastAsia="zh-CN"/>
        </w:rPr>
      </w:pPr>
    </w:p>
    <w:p>
      <w:pPr>
        <w:ind w:right="560"/>
        <w:jc w:val="center"/>
        <w:rPr>
          <w:rFonts w:hint="eastAsia" w:eastAsia="宋体"/>
          <w:lang w:eastAsia="zh-CN"/>
        </w:rPr>
        <w:sectPr>
          <w:footerReference r:id="rId9" w:type="default"/>
          <w:pgSz w:w="16838" w:h="11906" w:orient="landscape"/>
          <w:pgMar w:top="1797" w:right="1440" w:bottom="1797" w:left="1440"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sz w:val="21"/>
        </w:rPr>
        <mc:AlternateContent>
          <mc:Choice Requires="wps">
            <w:drawing>
              <wp:anchor distT="0" distB="0" distL="114300" distR="114300" simplePos="0" relativeHeight="2245238784" behindDoc="0" locked="0" layoutInCell="1" allowOverlap="1">
                <wp:simplePos x="0" y="0"/>
                <wp:positionH relativeFrom="column">
                  <wp:posOffset>1038225</wp:posOffset>
                </wp:positionH>
                <wp:positionV relativeFrom="paragraph">
                  <wp:posOffset>-367665</wp:posOffset>
                </wp:positionV>
                <wp:extent cx="6168390" cy="454660"/>
                <wp:effectExtent l="0" t="0" r="3810" b="2540"/>
                <wp:wrapNone/>
                <wp:docPr id="39" name="文本框 39"/>
                <wp:cNvGraphicFramePr/>
                <a:graphic xmlns:a="http://schemas.openxmlformats.org/drawingml/2006/main">
                  <a:graphicData uri="http://schemas.microsoft.com/office/word/2010/wordprocessingShape">
                    <wps:wsp>
                      <wps:cNvSpPr txBox="1"/>
                      <wps:spPr>
                        <a:xfrm>
                          <a:off x="0" y="0"/>
                          <a:ext cx="6168390" cy="45466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color w:val="auto"/>
                                <w:sz w:val="24"/>
                                <w:szCs w:val="24"/>
                                <w:lang w:val="en-US" w:eastAsia="zh-CN"/>
                              </w:rPr>
                            </w:pPr>
                            <w:r>
                              <w:rPr>
                                <w:rFonts w:hint="eastAsia"/>
                                <w:b/>
                                <w:bCs/>
                                <w:color w:val="auto"/>
                                <w:sz w:val="24"/>
                                <w:szCs w:val="24"/>
                                <w:lang w:val="en-US" w:eastAsia="zh-CN"/>
                              </w:rPr>
                              <w:t>附图3  周边关系图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75pt;margin-top:-28.95pt;height:35.8pt;width:485.7pt;z-index:-2049728512;mso-width-relative:page;mso-height-relative:page;" fillcolor="#FFFFFF [3212]" filled="t" stroked="f" coordsize="21600,21600" o:gfxdata="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yq9ONYAAAALAQAADwAAAAAAAAABACAAAAAiAAAAZHJzL2Rvd25yZXYu&#10;eG1sUEsBAhQAFAAAAAgAh07iQM2zjUM2AgAAQwQAAA4AAAAAAAAAAQAgAAAAJQEAAGRycy9lMm9E&#10;b2MueG1sUEsFBgAAAAAGAAYAWQEAAM0FAAAAAA==&#10;">
                <v:fill on="t" focussize="0,0"/>
                <v:stroke on="f" weight="0.5pt"/>
                <v:imagedata o:title=""/>
                <o:lock v:ext="edit" aspectratio="f"/>
                <v:textbox>
                  <w:txbxContent>
                    <w:p>
                      <w:pPr>
                        <w:jc w:val="center"/>
                        <w:rPr>
                          <w:rFonts w:hint="eastAsia" w:eastAsia="宋体"/>
                          <w:b/>
                          <w:bCs/>
                          <w:color w:val="auto"/>
                          <w:sz w:val="24"/>
                          <w:szCs w:val="24"/>
                          <w:lang w:val="en-US" w:eastAsia="zh-CN"/>
                        </w:rPr>
                      </w:pPr>
                      <w:r>
                        <w:rPr>
                          <w:rFonts w:hint="eastAsia"/>
                          <w:b/>
                          <w:bCs/>
                          <w:color w:val="auto"/>
                          <w:sz w:val="24"/>
                          <w:szCs w:val="24"/>
                          <w:lang w:val="en-US" w:eastAsia="zh-CN"/>
                        </w:rPr>
                        <w:t>附图3  周边关系图</w:t>
                      </w:r>
                    </w:p>
                  </w:txbxContent>
                </v:textbox>
              </v:shape>
            </w:pict>
          </mc:Fallback>
        </mc:AlternateContent>
      </w:r>
      <w:r>
        <w:rPr>
          <w:sz w:val="21"/>
        </w:rPr>
        <mc:AlternateContent>
          <mc:Choice Requires="wps">
            <w:drawing>
              <wp:anchor distT="0" distB="0" distL="114300" distR="114300" simplePos="0" relativeHeight="252547072" behindDoc="0" locked="0" layoutInCell="1" allowOverlap="1">
                <wp:simplePos x="0" y="0"/>
                <wp:positionH relativeFrom="column">
                  <wp:posOffset>2910840</wp:posOffset>
                </wp:positionH>
                <wp:positionV relativeFrom="paragraph">
                  <wp:posOffset>4454525</wp:posOffset>
                </wp:positionV>
                <wp:extent cx="2667000" cy="4089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667000" cy="40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b/>
                                <w:bCs/>
                                <w:color w:val="auto"/>
                                <w:sz w:val="24"/>
                                <w:szCs w:val="24"/>
                                <w:lang w:val="en-US" w:eastAsia="zh-CN"/>
                              </w:rPr>
                            </w:pPr>
                            <w:r>
                              <w:rPr>
                                <w:rFonts w:hint="eastAsia"/>
                                <w:b/>
                                <w:bCs/>
                                <w:color w:val="auto"/>
                                <w:sz w:val="24"/>
                                <w:szCs w:val="24"/>
                                <w:lang w:val="en-US" w:eastAsia="zh-CN"/>
                              </w:rPr>
                              <w:t>附图3  周边关系图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2pt;margin-top:350.75pt;height:32.2pt;width:210pt;z-index:252547072;mso-width-relative:page;mso-height-relative:page;" filled="f" stroked="f" coordsize="21600,21600" o:gfxdata="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0WTftwAAAALAQAADwAAAAAAAAABACAAAAAiAAAAZHJzL2Rvd25yZXYueG1sUEsBAhQAFAAAAAgA&#10;h07iQEohBZIhAgAAGgQAAA4AAAAAAAAAAQAgAAAAKwEAAGRycy9lMm9Eb2MueG1sUEsFBgAAAAAG&#10;AAYAWQEAAL4FAAAAAA==&#10;">
                <v:fill on="f" focussize="0,0"/>
                <v:stroke on="f" weight="0.5pt"/>
                <v:imagedata o:title=""/>
                <o:lock v:ext="edit" aspectratio="f"/>
                <v:textbox>
                  <w:txbxContent>
                    <w:p>
                      <w:pPr>
                        <w:jc w:val="center"/>
                        <w:rPr>
                          <w:rFonts w:hint="eastAsia" w:eastAsia="宋体"/>
                          <w:b/>
                          <w:bCs/>
                          <w:color w:val="auto"/>
                          <w:sz w:val="24"/>
                          <w:szCs w:val="24"/>
                          <w:lang w:val="en-US" w:eastAsia="zh-CN"/>
                        </w:rPr>
                      </w:pPr>
                      <w:r>
                        <w:rPr>
                          <w:rFonts w:hint="eastAsia"/>
                          <w:b/>
                          <w:bCs/>
                          <w:color w:val="auto"/>
                          <w:sz w:val="24"/>
                          <w:szCs w:val="24"/>
                          <w:lang w:val="en-US" w:eastAsia="zh-CN"/>
                        </w:rPr>
                        <w:t>附图3  周边关系图</w:t>
                      </w:r>
                    </w:p>
                  </w:txbxContent>
                </v:textbox>
              </v:shape>
            </w:pict>
          </mc:Fallback>
        </mc:AlternateContent>
      </w:r>
    </w:p>
    <w:p>
      <w:pPr>
        <w:spacing w:line="360" w:lineRule="auto"/>
        <w:ind w:right="560"/>
        <w:jc w:val="left"/>
        <w:rPr>
          <w:rFonts w:hint="eastAsia" w:eastAsia="宋体"/>
          <w:b/>
          <w:bCs/>
          <w:sz w:val="24"/>
          <w:szCs w:val="24"/>
          <w:lang w:val="en-US" w:eastAsia="zh-CN"/>
        </w:rPr>
      </w:pPr>
      <w:r>
        <w:rPr>
          <w:rFonts w:hint="eastAsia"/>
          <w:b/>
          <w:bCs/>
          <w:sz w:val="24"/>
          <w:szCs w:val="24"/>
          <w:lang w:val="en-US" w:eastAsia="zh-CN"/>
        </w:rPr>
        <w:t>附件1：环评批复</w:t>
      </w:r>
    </w:p>
    <w:p>
      <w:pPr>
        <w:jc w:val="both"/>
        <w:rPr>
          <w:rFonts w:ascii="宋体" w:hAnsi="宋体"/>
        </w:rPr>
      </w:pPr>
      <w:r>
        <w:rPr>
          <w:rFonts w:hint="eastAsia" w:ascii="宋体" w:hAnsi="宋体" w:eastAsia="宋体"/>
          <w:sz w:val="28"/>
          <w:szCs w:val="28"/>
          <w:lang w:eastAsia="zh-CN"/>
        </w:rPr>
        <w:drawing>
          <wp:inline distT="0" distB="0" distL="114300" distR="114300">
            <wp:extent cx="5277485" cy="7324725"/>
            <wp:effectExtent l="0" t="0" r="18415" b="9525"/>
            <wp:docPr id="53" name="图片 53" descr="19bf7754a24469703c470e1deacf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9bf7754a24469703c470e1deacf3a5"/>
                    <pic:cNvPicPr>
                      <a:picLocks noChangeAspect="1"/>
                    </pic:cNvPicPr>
                  </pic:nvPicPr>
                  <pic:blipFill>
                    <a:blip r:embed="rId18"/>
                    <a:stretch>
                      <a:fillRect/>
                    </a:stretch>
                  </pic:blipFill>
                  <pic:spPr>
                    <a:xfrm>
                      <a:off x="0" y="0"/>
                      <a:ext cx="5277485" cy="7324725"/>
                    </a:xfrm>
                    <a:prstGeom prst="rect">
                      <a:avLst/>
                    </a:prstGeom>
                  </pic:spPr>
                </pic:pic>
              </a:graphicData>
            </a:graphic>
          </wp:inline>
        </w:drawing>
      </w:r>
      <w:r>
        <w:rPr>
          <w:rFonts w:hint="eastAsia" w:ascii="宋体" w:hAnsi="宋体" w:eastAsia="宋体"/>
          <w:sz w:val="28"/>
          <w:szCs w:val="28"/>
          <w:lang w:eastAsia="zh-CN"/>
        </w:rPr>
        <w:drawing>
          <wp:inline distT="0" distB="0" distL="114300" distR="114300">
            <wp:extent cx="5277485" cy="8697595"/>
            <wp:effectExtent l="0" t="0" r="18415" b="8255"/>
            <wp:docPr id="54" name="图片 54" descr="301637a09963d784f0b911daca5a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01637a09963d784f0b911daca5a33d"/>
                    <pic:cNvPicPr>
                      <a:picLocks noChangeAspect="1"/>
                    </pic:cNvPicPr>
                  </pic:nvPicPr>
                  <pic:blipFill>
                    <a:blip r:embed="rId19"/>
                    <a:stretch>
                      <a:fillRect/>
                    </a:stretch>
                  </pic:blipFill>
                  <pic:spPr>
                    <a:xfrm>
                      <a:off x="0" y="0"/>
                      <a:ext cx="5277485" cy="8697595"/>
                    </a:xfrm>
                    <a:prstGeom prst="rect">
                      <a:avLst/>
                    </a:prstGeom>
                  </pic:spPr>
                </pic:pic>
              </a:graphicData>
            </a:graphic>
          </wp:inline>
        </w:drawing>
      </w:r>
    </w:p>
    <w:p>
      <w:pPr>
        <w:spacing w:line="360" w:lineRule="auto"/>
        <w:jc w:val="left"/>
        <w:rPr>
          <w:rFonts w:hint="eastAsia"/>
          <w:sz w:val="24"/>
          <w:lang w:val="en-US" w:eastAsia="zh-CN"/>
        </w:rPr>
      </w:pPr>
      <w:r>
        <w:rPr>
          <w:rFonts w:hint="eastAsia"/>
          <w:sz w:val="24"/>
          <w:lang w:val="en-US" w:eastAsia="zh-CN"/>
        </w:rPr>
        <w:t>附件2  生产报表</w:t>
      </w:r>
    </w:p>
    <w:p>
      <w:pPr>
        <w:spacing w:line="360" w:lineRule="auto"/>
        <w:ind w:firstLine="480" w:firstLineChars="200"/>
        <w:textAlignment w:val="baseline"/>
        <w:rPr>
          <w:rFonts w:hint="eastAsia"/>
          <w:kern w:val="0"/>
          <w:sz w:val="24"/>
        </w:rPr>
      </w:pPr>
    </w:p>
    <w:p>
      <w:pPr>
        <w:rPr>
          <w:rFonts w:hint="default" w:eastAsia="宋体"/>
          <w:sz w:val="24"/>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default" w:eastAsia="宋体"/>
          <w:sz w:val="24"/>
          <w:lang w:val="en-US" w:eastAsia="zh-CN"/>
        </w:rPr>
        <w:drawing>
          <wp:inline distT="0" distB="0" distL="114300" distR="114300">
            <wp:extent cx="5271770" cy="7625080"/>
            <wp:effectExtent l="0" t="0" r="5080" b="13970"/>
            <wp:docPr id="1" name="图片 1" descr="68d25643671ac1a234447a68bdaa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d25643671ac1a234447a68bdaa015"/>
                    <pic:cNvPicPr>
                      <a:picLocks noChangeAspect="1"/>
                    </pic:cNvPicPr>
                  </pic:nvPicPr>
                  <pic:blipFill>
                    <a:blip r:embed="rId20"/>
                    <a:stretch>
                      <a:fillRect/>
                    </a:stretch>
                  </pic:blipFill>
                  <pic:spPr>
                    <a:xfrm>
                      <a:off x="0" y="0"/>
                      <a:ext cx="5271770" cy="7625080"/>
                    </a:xfrm>
                    <a:prstGeom prst="rect">
                      <a:avLst/>
                    </a:prstGeom>
                  </pic:spPr>
                </pic:pic>
              </a:graphicData>
            </a:graphic>
          </wp:inline>
        </w:drawing>
      </w:r>
    </w:p>
    <w:p>
      <w:pPr>
        <w:spacing w:line="360" w:lineRule="auto"/>
        <w:jc w:val="left"/>
        <w:outlineLvl w:val="0"/>
        <w:rPr>
          <w:color w:val="000000"/>
          <w:sz w:val="24"/>
        </w:rPr>
      </w:pPr>
      <w:r>
        <w:rPr>
          <w:rFonts w:hint="eastAsia"/>
          <w:sz w:val="24"/>
          <w:szCs w:val="24"/>
          <w:lang w:val="en-US" w:eastAsia="zh-CN"/>
        </w:rPr>
        <w:t>附件3 监测报告</w:t>
      </w:r>
    </w:p>
    <w:p>
      <w:pPr>
        <w:spacing w:line="360" w:lineRule="auto"/>
        <w:jc w:val="left"/>
        <w:outlineLvl w:val="0"/>
        <w:rPr>
          <w:color w:val="000000"/>
          <w:sz w:val="24"/>
        </w:rPr>
      </w:pPr>
      <w:r>
        <w:drawing>
          <wp:inline distT="0" distB="0" distL="114300" distR="114300">
            <wp:extent cx="5272405" cy="7474585"/>
            <wp:effectExtent l="0" t="0" r="4445" b="1206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21"/>
                    <a:stretch>
                      <a:fillRect/>
                    </a:stretch>
                  </pic:blipFill>
                  <pic:spPr>
                    <a:xfrm>
                      <a:off x="0" y="0"/>
                      <a:ext cx="5272405" cy="7474585"/>
                    </a:xfrm>
                    <a:prstGeom prst="rect">
                      <a:avLst/>
                    </a:prstGeom>
                    <a:noFill/>
                    <a:ln>
                      <a:noFill/>
                    </a:ln>
                  </pic:spPr>
                </pic:pic>
              </a:graphicData>
            </a:graphic>
          </wp:inline>
        </w:drawing>
      </w:r>
    </w:p>
    <w:p>
      <w:pPr>
        <w:spacing w:line="360" w:lineRule="auto"/>
        <w:jc w:val="left"/>
        <w:outlineLvl w:val="0"/>
        <w:rPr>
          <w:color w:val="000000"/>
          <w:sz w:val="24"/>
        </w:rPr>
      </w:pPr>
    </w:p>
    <w:p>
      <w:pPr>
        <w:spacing w:line="360" w:lineRule="auto"/>
        <w:jc w:val="left"/>
        <w:outlineLvl w:val="0"/>
        <w:rPr>
          <w:color w:val="000000"/>
          <w:sz w:val="24"/>
        </w:rPr>
      </w:pPr>
    </w:p>
    <w:p>
      <w:pPr>
        <w:spacing w:line="360" w:lineRule="auto"/>
        <w:jc w:val="left"/>
        <w:outlineLvl w:val="0"/>
        <w:rPr>
          <w:rFonts w:hint="eastAsia" w:eastAsia="宋体"/>
          <w:color w:val="000000"/>
          <w:sz w:val="24"/>
          <w:lang w:eastAsia="zh-CN"/>
        </w:rPr>
      </w:pPr>
    </w:p>
    <w:p>
      <w:pPr>
        <w:spacing w:line="360" w:lineRule="auto"/>
        <w:jc w:val="left"/>
        <w:outlineLvl w:val="0"/>
        <w:rPr>
          <w:rFonts w:hint="eastAsia" w:eastAsia="宋体"/>
          <w:color w:val="000000"/>
          <w:sz w:val="24"/>
          <w:lang w:eastAsia="zh-CN"/>
        </w:rPr>
      </w:pPr>
      <w:r>
        <w:drawing>
          <wp:inline distT="0" distB="0" distL="114300" distR="114300">
            <wp:extent cx="5278120" cy="7475855"/>
            <wp:effectExtent l="0" t="0" r="17780" b="1079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22"/>
                    <a:stretch>
                      <a:fillRect/>
                    </a:stretch>
                  </pic:blipFill>
                  <pic:spPr>
                    <a:xfrm>
                      <a:off x="0" y="0"/>
                      <a:ext cx="5278120" cy="7475855"/>
                    </a:xfrm>
                    <a:prstGeom prst="rect">
                      <a:avLst/>
                    </a:prstGeom>
                    <a:noFill/>
                    <a:ln>
                      <a:noFill/>
                    </a:ln>
                  </pic:spPr>
                </pic:pic>
              </a:graphicData>
            </a:graphic>
          </wp:inline>
        </w:drawing>
      </w:r>
    </w:p>
    <w:p>
      <w:pPr>
        <w:spacing w:line="360" w:lineRule="auto"/>
        <w:jc w:val="left"/>
        <w:outlineLvl w:val="0"/>
        <w:rPr>
          <w:color w:val="000000"/>
          <w:sz w:val="24"/>
        </w:rPr>
      </w:pPr>
    </w:p>
    <w:p>
      <w:p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drawing>
          <wp:inline distT="0" distB="0" distL="114300" distR="114300">
            <wp:extent cx="5276215" cy="7483475"/>
            <wp:effectExtent l="0" t="0" r="635" b="317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23"/>
                    <a:stretch>
                      <a:fillRect/>
                    </a:stretch>
                  </pic:blipFill>
                  <pic:spPr>
                    <a:xfrm>
                      <a:off x="0" y="0"/>
                      <a:ext cx="5276215" cy="7483475"/>
                    </a:xfrm>
                    <a:prstGeom prst="rect">
                      <a:avLst/>
                    </a:prstGeom>
                    <a:noFill/>
                    <a:ln>
                      <a:noFill/>
                    </a:ln>
                  </pic:spPr>
                </pic:pic>
              </a:graphicData>
            </a:graphic>
          </wp:inline>
        </w:drawing>
      </w:r>
      <w:r>
        <w:drawing>
          <wp:inline distT="0" distB="0" distL="114300" distR="114300">
            <wp:extent cx="5272405" cy="7458075"/>
            <wp:effectExtent l="0" t="0" r="4445" b="952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24"/>
                    <a:stretch>
                      <a:fillRect/>
                    </a:stretch>
                  </pic:blipFill>
                  <pic:spPr>
                    <a:xfrm>
                      <a:off x="0" y="0"/>
                      <a:ext cx="5272405" cy="7458075"/>
                    </a:xfrm>
                    <a:prstGeom prst="rect">
                      <a:avLst/>
                    </a:prstGeom>
                    <a:noFill/>
                    <a:ln>
                      <a:noFill/>
                    </a:ln>
                  </pic:spPr>
                </pic:pic>
              </a:graphicData>
            </a:graphic>
          </wp:inline>
        </w:drawing>
      </w:r>
      <w:r>
        <w:drawing>
          <wp:inline distT="0" distB="0" distL="114300" distR="114300">
            <wp:extent cx="5274945" cy="7432675"/>
            <wp:effectExtent l="0" t="0" r="1905" b="1587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25"/>
                    <a:stretch>
                      <a:fillRect/>
                    </a:stretch>
                  </pic:blipFill>
                  <pic:spPr>
                    <a:xfrm>
                      <a:off x="0" y="0"/>
                      <a:ext cx="5274945" cy="7432675"/>
                    </a:xfrm>
                    <a:prstGeom prst="rect">
                      <a:avLst/>
                    </a:prstGeom>
                    <a:noFill/>
                    <a:ln>
                      <a:noFill/>
                    </a:ln>
                  </pic:spPr>
                </pic:pic>
              </a:graphicData>
            </a:graphic>
          </wp:inline>
        </w:drawing>
      </w:r>
      <w:r>
        <w:drawing>
          <wp:inline distT="0" distB="0" distL="114300" distR="114300">
            <wp:extent cx="5274310" cy="7466965"/>
            <wp:effectExtent l="0" t="0" r="2540" b="63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26"/>
                    <a:stretch>
                      <a:fillRect/>
                    </a:stretch>
                  </pic:blipFill>
                  <pic:spPr>
                    <a:xfrm>
                      <a:off x="0" y="0"/>
                      <a:ext cx="5274310" cy="7466965"/>
                    </a:xfrm>
                    <a:prstGeom prst="rect">
                      <a:avLst/>
                    </a:prstGeom>
                    <a:noFill/>
                    <a:ln>
                      <a:noFill/>
                    </a:ln>
                  </pic:spPr>
                </pic:pic>
              </a:graphicData>
            </a:graphic>
          </wp:inline>
        </w:drawing>
      </w:r>
      <w:r>
        <w:drawing>
          <wp:inline distT="0" distB="0" distL="114300" distR="114300">
            <wp:extent cx="5274310" cy="7483475"/>
            <wp:effectExtent l="0" t="0" r="2540" b="317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27"/>
                    <a:stretch>
                      <a:fillRect/>
                    </a:stretch>
                  </pic:blipFill>
                  <pic:spPr>
                    <a:xfrm>
                      <a:off x="0" y="0"/>
                      <a:ext cx="5274310" cy="7483475"/>
                    </a:xfrm>
                    <a:prstGeom prst="rect">
                      <a:avLst/>
                    </a:prstGeom>
                    <a:noFill/>
                    <a:ln>
                      <a:noFill/>
                    </a:ln>
                  </pic:spPr>
                </pic:pic>
              </a:graphicData>
            </a:graphic>
          </wp:inline>
        </w:drawing>
      </w:r>
      <w:r>
        <w:drawing>
          <wp:inline distT="0" distB="0" distL="114300" distR="114300">
            <wp:extent cx="5275580" cy="7467600"/>
            <wp:effectExtent l="0" t="0" r="1270" b="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8"/>
                    <a:stretch>
                      <a:fillRect/>
                    </a:stretch>
                  </pic:blipFill>
                  <pic:spPr>
                    <a:xfrm>
                      <a:off x="0" y="0"/>
                      <a:ext cx="5275580" cy="7467600"/>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附件4：外协协议</w:t>
      </w:r>
    </w:p>
    <w:p>
      <w:pPr>
        <w:rPr>
          <w:rFonts w:hint="eastAsia"/>
          <w:sz w:val="28"/>
          <w:szCs w:val="28"/>
          <w:lang w:val="en-US" w:eastAsia="zh-CN"/>
        </w:rPr>
      </w:pPr>
      <w:r>
        <w:rPr>
          <w:rFonts w:hint="default"/>
          <w:b w:val="0"/>
          <w:bCs w:val="0"/>
          <w:lang w:val="en-US" w:eastAsia="zh-CN"/>
        </w:rPr>
        <w:drawing>
          <wp:inline distT="0" distB="0" distL="114300" distR="114300">
            <wp:extent cx="5165090" cy="7592695"/>
            <wp:effectExtent l="0" t="0" r="16510" b="8255"/>
            <wp:docPr id="3" name="图片 3" descr="6ce241d62e8e59563fb2cf853ba1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ce241d62e8e59563fb2cf853ba1d1b"/>
                    <pic:cNvPicPr>
                      <a:picLocks noChangeAspect="1"/>
                    </pic:cNvPicPr>
                  </pic:nvPicPr>
                  <pic:blipFill>
                    <a:blip r:embed="rId29"/>
                    <a:stretch>
                      <a:fillRect/>
                    </a:stretch>
                  </pic:blipFill>
                  <pic:spPr>
                    <a:xfrm>
                      <a:off x="0" y="0"/>
                      <a:ext cx="5165090" cy="7592695"/>
                    </a:xfrm>
                    <a:prstGeom prst="rect">
                      <a:avLst/>
                    </a:prstGeom>
                  </pic:spPr>
                </pic:pic>
              </a:graphicData>
            </a:graphic>
          </wp:inline>
        </w:drawing>
      </w:r>
    </w:p>
    <w:p>
      <w:pPr>
        <w:pStyle w:val="2"/>
        <w:rPr>
          <w:rFonts w:hint="default"/>
          <w:b w:val="0"/>
          <w:bCs w:val="0"/>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default"/>
          <w:b w:val="0"/>
          <w:bCs w:val="0"/>
          <w:lang w:val="en-US" w:eastAsia="zh-CN"/>
        </w:rPr>
        <w:drawing>
          <wp:inline distT="0" distB="0" distL="114300" distR="114300">
            <wp:extent cx="5273040" cy="7839075"/>
            <wp:effectExtent l="0" t="0" r="3810" b="9525"/>
            <wp:docPr id="4" name="图片 4" descr="f1ccf20435d3607e27eaf304c02b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ccf20435d3607e27eaf304c02b966"/>
                    <pic:cNvPicPr>
                      <a:picLocks noChangeAspect="1"/>
                    </pic:cNvPicPr>
                  </pic:nvPicPr>
                  <pic:blipFill>
                    <a:blip r:embed="rId30"/>
                    <a:stretch>
                      <a:fillRect/>
                    </a:stretch>
                  </pic:blipFill>
                  <pic:spPr>
                    <a:xfrm>
                      <a:off x="0" y="0"/>
                      <a:ext cx="5273040" cy="7839075"/>
                    </a:xfrm>
                    <a:prstGeom prst="rect">
                      <a:avLst/>
                    </a:prstGeom>
                  </pic:spPr>
                </pic:pic>
              </a:graphicData>
            </a:graphic>
          </wp:inline>
        </w:drawing>
      </w:r>
    </w:p>
    <w:p>
      <w:pPr>
        <w:rPr>
          <w:rFonts w:hint="default"/>
          <w:lang w:val="en-US" w:eastAsia="zh-CN"/>
        </w:rPr>
        <w:sectPr>
          <w:pgSz w:w="11906" w:h="16838"/>
          <w:pgMar w:top="1440" w:right="1797" w:bottom="1440" w:left="1797" w:header="850"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default"/>
          <w:lang w:val="en-US" w:eastAsia="zh-CN"/>
        </w:rPr>
        <w:drawing>
          <wp:inline distT="0" distB="0" distL="114300" distR="114300">
            <wp:extent cx="5273040" cy="8151495"/>
            <wp:effectExtent l="0" t="0" r="3810" b="1905"/>
            <wp:docPr id="6" name="图片 6" descr="b437a611b0d80a69316b64e484b0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37a611b0d80a69316b64e484b0b17"/>
                    <pic:cNvPicPr>
                      <a:picLocks noChangeAspect="1"/>
                    </pic:cNvPicPr>
                  </pic:nvPicPr>
                  <pic:blipFill>
                    <a:blip r:embed="rId31"/>
                    <a:stretch>
                      <a:fillRect/>
                    </a:stretch>
                  </pic:blipFill>
                  <pic:spPr>
                    <a:xfrm>
                      <a:off x="0" y="0"/>
                      <a:ext cx="5273040" cy="81514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00" w:lineRule="exact"/>
        <w:jc w:val="center"/>
        <w:textAlignment w:val="auto"/>
        <w:rPr>
          <w:rFonts w:hint="eastAsia"/>
          <w:b/>
          <w:bCs/>
          <w:sz w:val="21"/>
          <w:szCs w:val="21"/>
        </w:rPr>
      </w:pPr>
      <w:r>
        <w:rPr>
          <w:rFonts w:hint="eastAsia"/>
          <w:b/>
          <w:bCs/>
          <w:sz w:val="21"/>
          <w:szCs w:val="21"/>
        </w:rPr>
        <w:t>建设项目环境保护“三同时”竣工验收登记表</w:t>
      </w:r>
    </w:p>
    <w:p>
      <w:pPr>
        <w:keepNext w:val="0"/>
        <w:keepLines w:val="0"/>
        <w:pageBreakBefore w:val="0"/>
        <w:kinsoku/>
        <w:wordWrap/>
        <w:overflowPunct/>
        <w:topLinePunct w:val="0"/>
        <w:autoSpaceDE/>
        <w:autoSpaceDN/>
        <w:bidi w:val="0"/>
        <w:adjustRightInd/>
        <w:snapToGrid/>
        <w:spacing w:line="200" w:lineRule="exact"/>
        <w:textAlignment w:val="auto"/>
        <w:rPr>
          <w:rFonts w:hint="eastAsia"/>
          <w:color w:val="000000"/>
          <w:sz w:val="15"/>
          <w:szCs w:val="15"/>
        </w:rPr>
      </w:pPr>
      <w:r>
        <w:rPr>
          <w:color w:val="000000"/>
          <w:kern w:val="0"/>
          <w:sz w:val="15"/>
          <w:szCs w:val="15"/>
        </w:rPr>
        <w:t>填表单位（盖章）：</w:t>
      </w:r>
      <w:r>
        <w:rPr>
          <w:color w:val="000000"/>
          <w:sz w:val="15"/>
          <w:szCs w:val="15"/>
        </w:rPr>
        <w:t xml:space="preserve"> </w:t>
      </w:r>
      <w:r>
        <w:rPr>
          <w:rFonts w:hint="eastAsia"/>
          <w:color w:val="000000"/>
          <w:kern w:val="0"/>
          <w:sz w:val="15"/>
          <w:szCs w:val="15"/>
        </w:rPr>
        <w:t>安徽常宇门窗有限公司</w:t>
      </w:r>
      <w:r>
        <w:rPr>
          <w:color w:val="000000"/>
          <w:sz w:val="15"/>
          <w:szCs w:val="15"/>
        </w:rPr>
        <w:t xml:space="preserve">                          </w:t>
      </w:r>
      <w:r>
        <w:rPr>
          <w:rFonts w:hint="eastAsia"/>
          <w:color w:val="000000"/>
          <w:sz w:val="15"/>
          <w:szCs w:val="15"/>
        </w:rPr>
        <w:t xml:space="preserve">     </w:t>
      </w:r>
      <w:r>
        <w:rPr>
          <w:color w:val="000000"/>
          <w:sz w:val="15"/>
          <w:szCs w:val="15"/>
        </w:rPr>
        <w:t xml:space="preserve"> </w:t>
      </w:r>
      <w:r>
        <w:rPr>
          <w:color w:val="000000"/>
          <w:kern w:val="0"/>
          <w:sz w:val="15"/>
          <w:szCs w:val="15"/>
        </w:rPr>
        <w:t xml:space="preserve">填表人：                         </w:t>
      </w:r>
      <w:r>
        <w:rPr>
          <w:rFonts w:hint="eastAsia"/>
          <w:color w:val="000000"/>
          <w:kern w:val="0"/>
          <w:sz w:val="15"/>
          <w:szCs w:val="15"/>
        </w:rPr>
        <w:t xml:space="preserve">  </w:t>
      </w:r>
      <w:r>
        <w:rPr>
          <w:color w:val="000000"/>
          <w:kern w:val="0"/>
          <w:sz w:val="15"/>
          <w:szCs w:val="15"/>
        </w:rPr>
        <w:t xml:space="preserve"> </w:t>
      </w:r>
      <w:r>
        <w:rPr>
          <w:rFonts w:hint="eastAsia"/>
          <w:color w:val="000000"/>
          <w:kern w:val="0"/>
          <w:sz w:val="15"/>
          <w:szCs w:val="15"/>
        </w:rPr>
        <w:t xml:space="preserve"> </w:t>
      </w:r>
      <w:r>
        <w:rPr>
          <w:color w:val="000000"/>
          <w:kern w:val="0"/>
          <w:sz w:val="15"/>
          <w:szCs w:val="15"/>
        </w:rPr>
        <w:t>项目经办人：</w:t>
      </w:r>
      <w:r>
        <w:rPr>
          <w:rFonts w:hint="eastAsia"/>
          <w:color w:val="000000"/>
          <w:sz w:val="15"/>
          <w:szCs w:val="15"/>
        </w:rPr>
        <w:t xml:space="preserve"> </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23"/>
        <w:gridCol w:w="148"/>
        <w:gridCol w:w="1090"/>
        <w:gridCol w:w="261"/>
        <w:gridCol w:w="457"/>
        <w:gridCol w:w="815"/>
        <w:gridCol w:w="313"/>
        <w:gridCol w:w="314"/>
        <w:gridCol w:w="329"/>
        <w:gridCol w:w="166"/>
        <w:gridCol w:w="728"/>
        <w:gridCol w:w="62"/>
        <w:gridCol w:w="605"/>
        <w:gridCol w:w="350"/>
        <w:gridCol w:w="1098"/>
        <w:gridCol w:w="53"/>
        <w:gridCol w:w="646"/>
        <w:gridCol w:w="115"/>
        <w:gridCol w:w="956"/>
        <w:gridCol w:w="427"/>
        <w:gridCol w:w="333"/>
        <w:gridCol w:w="154"/>
        <w:gridCol w:w="441"/>
        <w:gridCol w:w="290"/>
        <w:gridCol w:w="297"/>
        <w:gridCol w:w="925"/>
        <w:gridCol w:w="188"/>
        <w:gridCol w:w="768"/>
        <w:gridCol w:w="51"/>
        <w:gridCol w:w="9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restart"/>
            <w:noWrap w:val="0"/>
            <w:textDirection w:val="tbRlV"/>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建 设 项 目</w:t>
            </w: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项目名称</w:t>
            </w:r>
          </w:p>
        </w:tc>
        <w:tc>
          <w:tcPr>
            <w:tcW w:w="3122" w:type="dxa"/>
            <w:gridSpan w:val="7"/>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船用柴油发动机零部件加工及技术服务项目</w:t>
            </w:r>
          </w:p>
        </w:tc>
        <w:tc>
          <w:tcPr>
            <w:tcW w:w="2115" w:type="dxa"/>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项目代码</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rFonts w:hint="eastAsia"/>
                <w:color w:val="auto"/>
                <w:kern w:val="0"/>
                <w:sz w:val="15"/>
                <w:szCs w:val="15"/>
                <w:lang w:val="en-US" w:eastAsia="zh-CN"/>
              </w:rPr>
              <w:t>/</w:t>
            </w:r>
          </w:p>
        </w:tc>
        <w:tc>
          <w:tcPr>
            <w:tcW w:w="1028" w:type="dxa"/>
            <w:gridSpan w:val="3"/>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建设地点</w:t>
            </w:r>
          </w:p>
        </w:tc>
        <w:tc>
          <w:tcPr>
            <w:tcW w:w="2843" w:type="dxa"/>
            <w:gridSpan w:val="5"/>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合肥市肥西县桃花工业园繁华大道与方兴大道交口东南侧综合楼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行业类别（分类管理名录）</w:t>
            </w:r>
          </w:p>
        </w:tc>
        <w:tc>
          <w:tcPr>
            <w:tcW w:w="3122" w:type="dxa"/>
            <w:gridSpan w:val="7"/>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sz w:val="15"/>
                <w:szCs w:val="15"/>
              </w:rPr>
              <w:t>C3</w:t>
            </w:r>
            <w:r>
              <w:rPr>
                <w:rFonts w:hint="eastAsia"/>
                <w:color w:val="auto"/>
                <w:sz w:val="15"/>
                <w:szCs w:val="15"/>
                <w:lang w:val="en-US" w:eastAsia="zh-CN"/>
              </w:rPr>
              <w:t>312金属门窗</w:t>
            </w:r>
            <w:r>
              <w:rPr>
                <w:rFonts w:hint="eastAsia"/>
                <w:color w:val="auto"/>
                <w:sz w:val="15"/>
                <w:szCs w:val="15"/>
              </w:rPr>
              <w:t>制造</w:t>
            </w:r>
          </w:p>
        </w:tc>
        <w:tc>
          <w:tcPr>
            <w:tcW w:w="2115" w:type="dxa"/>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建设性质</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 xml:space="preserve">√新建 </w:t>
            </w:r>
            <w:r>
              <w:rPr>
                <w:color w:val="auto"/>
                <w:kern w:val="0"/>
                <w:sz w:val="15"/>
                <w:szCs w:val="15"/>
              </w:rPr>
              <w:sym w:font="Wingdings" w:char="00A8"/>
            </w:r>
            <w:r>
              <w:rPr>
                <w:color w:val="auto"/>
                <w:kern w:val="0"/>
                <w:sz w:val="15"/>
                <w:szCs w:val="15"/>
              </w:rPr>
              <w:t xml:space="preserve">改扩建 </w:t>
            </w:r>
            <w:r>
              <w:rPr>
                <w:color w:val="auto"/>
                <w:kern w:val="0"/>
                <w:sz w:val="15"/>
                <w:szCs w:val="15"/>
              </w:rPr>
              <w:sym w:font="Wingdings" w:char="00A8"/>
            </w:r>
            <w:r>
              <w:rPr>
                <w:color w:val="auto"/>
                <w:kern w:val="0"/>
                <w:sz w:val="15"/>
                <w:szCs w:val="15"/>
              </w:rPr>
              <w:t>技术改造</w:t>
            </w:r>
          </w:p>
        </w:tc>
        <w:tc>
          <w:tcPr>
            <w:tcW w:w="1028" w:type="dxa"/>
            <w:gridSpan w:val="3"/>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项目厂区中心经度/纬度</w:t>
            </w:r>
          </w:p>
        </w:tc>
        <w:tc>
          <w:tcPr>
            <w:tcW w:w="2843" w:type="dxa"/>
            <w:gridSpan w:val="5"/>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（北纬</w:t>
            </w:r>
            <w:r>
              <w:rPr>
                <w:rFonts w:hint="eastAsia"/>
                <w:color w:val="auto"/>
                <w:kern w:val="0"/>
                <w:sz w:val="15"/>
                <w:szCs w:val="15"/>
                <w:lang w:val="en-US" w:eastAsia="zh-CN"/>
              </w:rPr>
              <w:t>31.777134</w:t>
            </w:r>
            <w:r>
              <w:rPr>
                <w:rFonts w:hint="eastAsia"/>
                <w:color w:val="auto"/>
                <w:kern w:val="0"/>
                <w:sz w:val="15"/>
                <w:szCs w:val="15"/>
              </w:rPr>
              <w:t>东经</w:t>
            </w:r>
            <w:r>
              <w:rPr>
                <w:rFonts w:hint="eastAsia"/>
                <w:color w:val="auto"/>
                <w:kern w:val="0"/>
                <w:sz w:val="15"/>
                <w:szCs w:val="15"/>
                <w:lang w:val="en-US" w:eastAsia="zh-CN"/>
              </w:rPr>
              <w:t>117.106287</w:t>
            </w:r>
            <w:r>
              <w:rPr>
                <w:rFonts w:hint="eastAsia"/>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设计生产能力</w:t>
            </w:r>
          </w:p>
        </w:tc>
        <w:tc>
          <w:tcPr>
            <w:tcW w:w="3122" w:type="dxa"/>
            <w:gridSpan w:val="7"/>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年产7.5万m</w:t>
            </w:r>
            <w:r>
              <w:rPr>
                <w:rFonts w:hint="eastAsia"/>
                <w:color w:val="auto"/>
                <w:kern w:val="0"/>
                <w:sz w:val="15"/>
                <w:szCs w:val="15"/>
                <w:vertAlign w:val="superscript"/>
              </w:rPr>
              <w:t>2</w:t>
            </w:r>
            <w:r>
              <w:rPr>
                <w:rFonts w:hint="eastAsia"/>
                <w:color w:val="auto"/>
                <w:kern w:val="0"/>
                <w:sz w:val="15"/>
                <w:szCs w:val="15"/>
              </w:rPr>
              <w:t>铝合金门窗</w:t>
            </w:r>
          </w:p>
        </w:tc>
        <w:tc>
          <w:tcPr>
            <w:tcW w:w="2115" w:type="dxa"/>
            <w:gridSpan w:val="4"/>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实际生产能力</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rFonts w:hint="eastAsia"/>
                <w:color w:val="auto"/>
                <w:kern w:val="0"/>
                <w:sz w:val="15"/>
                <w:szCs w:val="15"/>
              </w:rPr>
              <w:t>年产7.5万m</w:t>
            </w:r>
            <w:r>
              <w:rPr>
                <w:rFonts w:hint="eastAsia"/>
                <w:color w:val="auto"/>
                <w:kern w:val="0"/>
                <w:sz w:val="15"/>
                <w:szCs w:val="15"/>
                <w:vertAlign w:val="superscript"/>
              </w:rPr>
              <w:t>2</w:t>
            </w:r>
            <w:r>
              <w:rPr>
                <w:rFonts w:hint="eastAsia"/>
                <w:color w:val="auto"/>
                <w:kern w:val="0"/>
                <w:sz w:val="15"/>
                <w:szCs w:val="15"/>
              </w:rPr>
              <w:t>铝合金门窗</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环评单位</w:t>
            </w:r>
          </w:p>
        </w:tc>
        <w:tc>
          <w:tcPr>
            <w:tcW w:w="2843" w:type="dxa"/>
            <w:gridSpan w:val="5"/>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江苏苏辰勘察设计研究院有限公司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环评审批机关</w:t>
            </w:r>
          </w:p>
        </w:tc>
        <w:tc>
          <w:tcPr>
            <w:tcW w:w="312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肥西县环境保护局</w:t>
            </w:r>
          </w:p>
        </w:tc>
        <w:tc>
          <w:tcPr>
            <w:tcW w:w="2115"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审批文号</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953"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环评文件类型</w:t>
            </w:r>
          </w:p>
        </w:tc>
        <w:tc>
          <w:tcPr>
            <w:tcW w:w="1918"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环境影响报告表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开工日期</w:t>
            </w:r>
          </w:p>
        </w:tc>
        <w:tc>
          <w:tcPr>
            <w:tcW w:w="312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201</w:t>
            </w:r>
            <w:r>
              <w:rPr>
                <w:rFonts w:hint="eastAsia"/>
                <w:color w:val="auto"/>
                <w:kern w:val="0"/>
                <w:sz w:val="15"/>
                <w:szCs w:val="15"/>
                <w:lang w:val="en-US" w:eastAsia="zh-CN"/>
              </w:rPr>
              <w:t>9</w:t>
            </w:r>
            <w:r>
              <w:rPr>
                <w:rFonts w:hint="eastAsia"/>
                <w:color w:val="auto"/>
                <w:kern w:val="0"/>
                <w:sz w:val="15"/>
                <w:szCs w:val="15"/>
              </w:rPr>
              <w:t>年</w:t>
            </w:r>
            <w:r>
              <w:rPr>
                <w:rFonts w:hint="eastAsia"/>
                <w:color w:val="auto"/>
                <w:kern w:val="0"/>
                <w:sz w:val="15"/>
                <w:szCs w:val="15"/>
                <w:lang w:val="en-US" w:eastAsia="zh-CN"/>
              </w:rPr>
              <w:t>10</w:t>
            </w:r>
            <w:r>
              <w:rPr>
                <w:rFonts w:hint="eastAsia"/>
                <w:color w:val="auto"/>
                <w:kern w:val="0"/>
                <w:sz w:val="15"/>
                <w:szCs w:val="15"/>
              </w:rPr>
              <w:t>月</w:t>
            </w:r>
          </w:p>
        </w:tc>
        <w:tc>
          <w:tcPr>
            <w:tcW w:w="2115"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竣工日期</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20</w:t>
            </w:r>
            <w:r>
              <w:rPr>
                <w:rFonts w:hint="eastAsia"/>
                <w:color w:val="auto"/>
                <w:kern w:val="0"/>
                <w:sz w:val="15"/>
                <w:szCs w:val="15"/>
                <w:lang w:val="en-US" w:eastAsia="zh-CN"/>
              </w:rPr>
              <w:t>20</w:t>
            </w:r>
            <w:r>
              <w:rPr>
                <w:rFonts w:hint="eastAsia"/>
                <w:color w:val="auto"/>
                <w:kern w:val="0"/>
                <w:sz w:val="15"/>
                <w:szCs w:val="15"/>
              </w:rPr>
              <w:t>年</w:t>
            </w:r>
            <w:r>
              <w:rPr>
                <w:rFonts w:hint="eastAsia"/>
                <w:color w:val="auto"/>
                <w:kern w:val="0"/>
                <w:sz w:val="15"/>
                <w:szCs w:val="15"/>
                <w:lang w:val="en-US" w:eastAsia="zh-CN"/>
              </w:rPr>
              <w:t>3</w:t>
            </w:r>
            <w:r>
              <w:rPr>
                <w:rFonts w:hint="eastAsia"/>
                <w:color w:val="auto"/>
                <w:kern w:val="0"/>
                <w:sz w:val="15"/>
                <w:szCs w:val="15"/>
              </w:rPr>
              <w:t>月</w:t>
            </w:r>
          </w:p>
        </w:tc>
        <w:tc>
          <w:tcPr>
            <w:tcW w:w="1953"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排污许可证申领时间</w:t>
            </w:r>
          </w:p>
        </w:tc>
        <w:tc>
          <w:tcPr>
            <w:tcW w:w="1918"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环保设施设计单位</w:t>
            </w:r>
          </w:p>
        </w:tc>
        <w:tc>
          <w:tcPr>
            <w:tcW w:w="312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w:t>
            </w:r>
          </w:p>
        </w:tc>
        <w:tc>
          <w:tcPr>
            <w:tcW w:w="2115"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环保设施施工单位</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w:t>
            </w:r>
          </w:p>
        </w:tc>
        <w:tc>
          <w:tcPr>
            <w:tcW w:w="1953"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本工程排污许可证编号</w:t>
            </w:r>
          </w:p>
        </w:tc>
        <w:tc>
          <w:tcPr>
            <w:tcW w:w="1918"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验收单位</w:t>
            </w:r>
          </w:p>
        </w:tc>
        <w:tc>
          <w:tcPr>
            <w:tcW w:w="312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color w:val="auto"/>
                <w:kern w:val="0"/>
                <w:sz w:val="15"/>
                <w:szCs w:val="15"/>
              </w:rPr>
            </w:pPr>
            <w:r>
              <w:rPr>
                <w:rFonts w:hint="eastAsia"/>
                <w:color w:val="auto"/>
                <w:kern w:val="0"/>
                <w:sz w:val="15"/>
                <w:szCs w:val="15"/>
              </w:rPr>
              <w:t>安徽常宇门窗有限公司</w:t>
            </w:r>
          </w:p>
        </w:tc>
        <w:tc>
          <w:tcPr>
            <w:tcW w:w="2115"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环保设施监测单位</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color w:val="auto"/>
                <w:kern w:val="0"/>
                <w:sz w:val="15"/>
                <w:szCs w:val="15"/>
              </w:rPr>
            </w:pPr>
            <w:r>
              <w:rPr>
                <w:rFonts w:hint="eastAsia"/>
                <w:color w:val="auto"/>
                <w:kern w:val="0"/>
                <w:sz w:val="15"/>
                <w:szCs w:val="15"/>
              </w:rPr>
              <w:t>安徽尚德谱检测技术有限责任公司</w:t>
            </w:r>
          </w:p>
        </w:tc>
        <w:tc>
          <w:tcPr>
            <w:tcW w:w="1953"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验收监测时工况</w:t>
            </w:r>
          </w:p>
        </w:tc>
        <w:tc>
          <w:tcPr>
            <w:tcW w:w="1918"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正常工况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投资总概算（万元）</w:t>
            </w:r>
          </w:p>
        </w:tc>
        <w:tc>
          <w:tcPr>
            <w:tcW w:w="312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lang w:val="en-US" w:eastAsia="zh-CN"/>
              </w:rPr>
              <w:t>5</w:t>
            </w:r>
            <w:r>
              <w:rPr>
                <w:color w:val="auto"/>
                <w:kern w:val="0"/>
                <w:sz w:val="15"/>
                <w:szCs w:val="15"/>
              </w:rPr>
              <w:t>00</w:t>
            </w:r>
          </w:p>
        </w:tc>
        <w:tc>
          <w:tcPr>
            <w:tcW w:w="2115"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环保投资总概算（万元）</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rFonts w:hint="eastAsia"/>
                <w:color w:val="auto"/>
                <w:kern w:val="0"/>
                <w:sz w:val="15"/>
                <w:szCs w:val="15"/>
                <w:lang w:val="en-US" w:eastAsia="zh-CN"/>
              </w:rPr>
              <w:t>7</w:t>
            </w:r>
          </w:p>
        </w:tc>
        <w:tc>
          <w:tcPr>
            <w:tcW w:w="1953"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所占比例（%）</w:t>
            </w:r>
          </w:p>
        </w:tc>
        <w:tc>
          <w:tcPr>
            <w:tcW w:w="1918"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实际总投资（万元）</w:t>
            </w:r>
          </w:p>
        </w:tc>
        <w:tc>
          <w:tcPr>
            <w:tcW w:w="312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500</w:t>
            </w:r>
          </w:p>
        </w:tc>
        <w:tc>
          <w:tcPr>
            <w:tcW w:w="2115"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实际环保投资（万元）</w:t>
            </w:r>
          </w:p>
        </w:tc>
        <w:tc>
          <w:tcPr>
            <w:tcW w:w="2684"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7</w:t>
            </w:r>
          </w:p>
        </w:tc>
        <w:tc>
          <w:tcPr>
            <w:tcW w:w="1953"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所占比例（%）</w:t>
            </w:r>
          </w:p>
        </w:tc>
        <w:tc>
          <w:tcPr>
            <w:tcW w:w="1918"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499"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废水治理（万元）</w:t>
            </w:r>
          </w:p>
        </w:tc>
        <w:tc>
          <w:tcPr>
            <w:tcW w:w="457"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val="en-US" w:eastAsia="zh-CN"/>
              </w:rPr>
            </w:pPr>
            <w:r>
              <w:rPr>
                <w:rFonts w:hint="eastAsia"/>
                <w:color w:val="auto"/>
                <w:kern w:val="0"/>
                <w:sz w:val="15"/>
                <w:szCs w:val="15"/>
                <w:lang w:val="en-US" w:eastAsia="zh-CN"/>
              </w:rPr>
              <w:t>0</w:t>
            </w:r>
          </w:p>
        </w:tc>
        <w:tc>
          <w:tcPr>
            <w:tcW w:w="1442"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废气治理（万元）</w:t>
            </w:r>
          </w:p>
        </w:tc>
        <w:tc>
          <w:tcPr>
            <w:tcW w:w="49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0</w:t>
            </w:r>
          </w:p>
        </w:tc>
        <w:tc>
          <w:tcPr>
            <w:tcW w:w="1395"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噪声治理（万元）</w:t>
            </w:r>
          </w:p>
        </w:tc>
        <w:tc>
          <w:tcPr>
            <w:tcW w:w="1448"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4</w:t>
            </w:r>
          </w:p>
        </w:tc>
        <w:tc>
          <w:tcPr>
            <w:tcW w:w="1770"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固体废物治理（万元）</w:t>
            </w:r>
          </w:p>
        </w:tc>
        <w:tc>
          <w:tcPr>
            <w:tcW w:w="427"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3</w:t>
            </w:r>
          </w:p>
        </w:tc>
        <w:tc>
          <w:tcPr>
            <w:tcW w:w="1515" w:type="dxa"/>
            <w:gridSpan w:val="5"/>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绿化及生态（万元）</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0</w:t>
            </w:r>
          </w:p>
        </w:tc>
        <w:tc>
          <w:tcPr>
            <w:tcW w:w="1007"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其它（万元）</w:t>
            </w:r>
          </w:p>
        </w:tc>
        <w:tc>
          <w:tcPr>
            <w:tcW w:w="911"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72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956"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新增废水处理设施能力</w:t>
            </w:r>
          </w:p>
        </w:tc>
        <w:tc>
          <w:tcPr>
            <w:tcW w:w="1937" w:type="dxa"/>
            <w:gridSpan w:val="5"/>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3542" w:type="dxa"/>
            <w:gridSpan w:val="7"/>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新增废气处理设施能力（Nm</w:t>
            </w:r>
            <w:r>
              <w:rPr>
                <w:color w:val="auto"/>
                <w:kern w:val="0"/>
                <w:sz w:val="15"/>
                <w:szCs w:val="15"/>
                <w:vertAlign w:val="superscript"/>
              </w:rPr>
              <w:t>3</w:t>
            </w:r>
            <w:r>
              <w:rPr>
                <w:color w:val="auto"/>
                <w:kern w:val="0"/>
                <w:sz w:val="15"/>
                <w:szCs w:val="15"/>
              </w:rPr>
              <w:t>/h）</w:t>
            </w:r>
          </w:p>
        </w:tc>
        <w:tc>
          <w:tcPr>
            <w:tcW w:w="2426" w:type="dxa"/>
            <w:gridSpan w:val="6"/>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700" w:type="dxa"/>
            <w:gridSpan w:val="4"/>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年平均工作日（h/a）</w:t>
            </w:r>
          </w:p>
        </w:tc>
        <w:tc>
          <w:tcPr>
            <w:tcW w:w="1730"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2400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运营单位</w:t>
            </w:r>
          </w:p>
        </w:tc>
        <w:tc>
          <w:tcPr>
            <w:tcW w:w="2936" w:type="dxa"/>
            <w:gridSpan w:val="5"/>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sz w:val="15"/>
                <w:szCs w:val="15"/>
              </w:rPr>
              <w:t>安徽常宇门窗有限公司</w:t>
            </w:r>
          </w:p>
        </w:tc>
        <w:tc>
          <w:tcPr>
            <w:tcW w:w="3705" w:type="dxa"/>
            <w:gridSpan w:val="9"/>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sz w:val="15"/>
                <w:szCs w:val="15"/>
              </w:rPr>
            </w:pPr>
            <w:r>
              <w:rPr>
                <w:color w:val="auto"/>
                <w:sz w:val="15"/>
                <w:szCs w:val="15"/>
              </w:rPr>
              <w:t>运营单位社会统一信用代码（或组织机构代码）</w:t>
            </w:r>
          </w:p>
        </w:tc>
        <w:tc>
          <w:tcPr>
            <w:tcW w:w="2477" w:type="dxa"/>
            <w:gridSpan w:val="5"/>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91340123MA2NKYWY59</w:t>
            </w:r>
          </w:p>
        </w:tc>
        <w:tc>
          <w:tcPr>
            <w:tcW w:w="885"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验收时间</w:t>
            </w:r>
          </w:p>
        </w:tc>
        <w:tc>
          <w:tcPr>
            <w:tcW w:w="3140" w:type="dxa"/>
            <w:gridSpan w:val="6"/>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rPr>
              <w:t>20</w:t>
            </w:r>
            <w:r>
              <w:rPr>
                <w:rFonts w:hint="eastAsia"/>
                <w:color w:val="auto"/>
                <w:kern w:val="0"/>
                <w:sz w:val="15"/>
                <w:szCs w:val="15"/>
                <w:lang w:val="en-US" w:eastAsia="zh-CN"/>
              </w:rPr>
              <w:t>20</w:t>
            </w:r>
            <w:r>
              <w:rPr>
                <w:rFonts w:hint="eastAsia"/>
                <w:color w:val="auto"/>
                <w:kern w:val="0"/>
                <w:sz w:val="15"/>
                <w:szCs w:val="15"/>
              </w:rPr>
              <w:t>.</w:t>
            </w:r>
            <w:r>
              <w:rPr>
                <w:rFonts w:hint="eastAsia"/>
                <w:color w:val="auto"/>
                <w:kern w:val="0"/>
                <w:sz w:val="15"/>
                <w:szCs w:val="15"/>
                <w:lang w:val="en-US" w:eastAsia="zh-CN"/>
              </w:rPr>
              <w:t>8.10</w:t>
            </w:r>
            <w:r>
              <w:rPr>
                <w:color w:val="auto"/>
                <w:kern w:val="0"/>
                <w:sz w:val="15"/>
                <w:szCs w:val="15"/>
              </w:rPr>
              <w:t>-</w:t>
            </w:r>
            <w:r>
              <w:rPr>
                <w:rFonts w:hint="eastAsia"/>
                <w:color w:val="auto"/>
                <w:kern w:val="0"/>
                <w:sz w:val="15"/>
                <w:szCs w:val="15"/>
                <w:lang w:val="en-US" w:eastAsia="zh-CN"/>
              </w:rPr>
              <w:t>8.11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restart"/>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污染物排放达标与总控制</w:t>
            </w:r>
          </w:p>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（工业建</w:t>
            </w:r>
          </w:p>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设项目</w:t>
            </w:r>
          </w:p>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详填）</w:t>
            </w: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污染物</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原有排放量</w:t>
            </w:r>
            <w:r>
              <w:rPr>
                <w:color w:val="auto"/>
                <w:kern w:val="0"/>
                <w:sz w:val="15"/>
                <w:szCs w:val="15"/>
              </w:rPr>
              <w:br w:type="textWrapping"/>
            </w:r>
            <w:r>
              <w:rPr>
                <w:color w:val="auto"/>
                <w:kern w:val="0"/>
                <w:sz w:val="15"/>
                <w:szCs w:val="15"/>
              </w:rPr>
              <w:t>（1）</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本期工程实际排放浓度（2）</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本期工程允许排放浓度</w:t>
            </w:r>
            <w:r>
              <w:rPr>
                <w:color w:val="auto"/>
                <w:kern w:val="0"/>
                <w:sz w:val="15"/>
                <w:szCs w:val="15"/>
              </w:rPr>
              <w:br w:type="textWrapping"/>
            </w:r>
            <w:r>
              <w:rPr>
                <w:color w:val="auto"/>
                <w:kern w:val="0"/>
                <w:sz w:val="15"/>
                <w:szCs w:val="15"/>
              </w:rPr>
              <w:t>（3）</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本期工程产生量</w:t>
            </w:r>
            <w:r>
              <w:rPr>
                <w:color w:val="auto"/>
                <w:kern w:val="0"/>
                <w:sz w:val="15"/>
                <w:szCs w:val="15"/>
              </w:rPr>
              <w:br w:type="textWrapping"/>
            </w:r>
            <w:r>
              <w:rPr>
                <w:color w:val="auto"/>
                <w:kern w:val="0"/>
                <w:sz w:val="15"/>
                <w:szCs w:val="15"/>
              </w:rPr>
              <w:t>（4）</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本期工程自身削减量（5）</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本期工程实际排放量（6）</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本期工程核定排放总量（7）</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本期工程“以新带老”削减量</w:t>
            </w:r>
            <w:r>
              <w:rPr>
                <w:color w:val="auto"/>
                <w:kern w:val="0"/>
                <w:sz w:val="15"/>
                <w:szCs w:val="15"/>
              </w:rPr>
              <w:br w:type="textWrapping"/>
            </w:r>
            <w:r>
              <w:rPr>
                <w:color w:val="auto"/>
                <w:kern w:val="0"/>
                <w:sz w:val="15"/>
                <w:szCs w:val="15"/>
              </w:rPr>
              <w:t>（8）</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全厂实际排放总量</w:t>
            </w:r>
            <w:r>
              <w:rPr>
                <w:color w:val="auto"/>
                <w:kern w:val="0"/>
                <w:sz w:val="15"/>
                <w:szCs w:val="15"/>
              </w:rPr>
              <w:br w:type="textWrapping"/>
            </w:r>
            <w:r>
              <w:rPr>
                <w:color w:val="auto"/>
                <w:kern w:val="0"/>
                <w:sz w:val="15"/>
                <w:szCs w:val="15"/>
              </w:rPr>
              <w:t>（9）</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全厂核定排放总量</w:t>
            </w:r>
            <w:r>
              <w:rPr>
                <w:color w:val="auto"/>
                <w:kern w:val="0"/>
                <w:sz w:val="15"/>
                <w:szCs w:val="15"/>
              </w:rPr>
              <w:br w:type="textWrapping"/>
            </w:r>
            <w:r>
              <w:rPr>
                <w:color w:val="auto"/>
                <w:kern w:val="0"/>
                <w:sz w:val="15"/>
                <w:szCs w:val="15"/>
              </w:rPr>
              <w:t>（10）</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区域平衡替代削减量</w:t>
            </w:r>
            <w:r>
              <w:rPr>
                <w:color w:val="auto"/>
                <w:kern w:val="0"/>
                <w:sz w:val="15"/>
                <w:szCs w:val="15"/>
              </w:rPr>
              <w:br w:type="textWrapping"/>
            </w:r>
            <w:r>
              <w:rPr>
                <w:color w:val="auto"/>
                <w:kern w:val="0"/>
                <w:sz w:val="15"/>
                <w:szCs w:val="15"/>
              </w:rPr>
              <w:t>（11）</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排放增减量</w:t>
            </w:r>
            <w:r>
              <w:rPr>
                <w:color w:val="auto"/>
                <w:kern w:val="0"/>
                <w:sz w:val="15"/>
                <w:szCs w:val="15"/>
              </w:rPr>
              <w:br w:type="textWrapping"/>
            </w:r>
            <w:r>
              <w:rPr>
                <w:color w:val="auto"/>
                <w:kern w:val="0"/>
                <w:sz w:val="15"/>
                <w:szCs w:val="15"/>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废水</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化学需氧量</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widowControl/>
              <w:spacing w:line="220" w:lineRule="exact"/>
              <w:jc w:val="center"/>
              <w:rPr>
                <w:rFonts w:hint="default" w:eastAsia="宋体"/>
                <w:color w:val="auto"/>
                <w:kern w:val="0"/>
                <w:sz w:val="15"/>
                <w:szCs w:val="15"/>
                <w:lang w:val="en-US" w:eastAsia="zh-CN"/>
              </w:rPr>
            </w:pPr>
            <w:r>
              <w:rPr>
                <w:rFonts w:hint="eastAsia"/>
                <w:color w:val="auto"/>
                <w:kern w:val="0"/>
                <w:sz w:val="15"/>
                <w:szCs w:val="15"/>
                <w:lang w:val="en-US" w:eastAsia="zh-CN"/>
              </w:rPr>
              <w:t>110</w:t>
            </w:r>
          </w:p>
        </w:tc>
        <w:tc>
          <w:tcPr>
            <w:tcW w:w="956" w:type="dxa"/>
            <w:gridSpan w:val="3"/>
            <w:noWrap w:val="0"/>
            <w:vAlign w:val="center"/>
          </w:tcPr>
          <w:p>
            <w:pPr>
              <w:widowControl/>
              <w:spacing w:line="220" w:lineRule="exact"/>
              <w:jc w:val="center"/>
              <w:rPr>
                <w:rFonts w:hint="default" w:eastAsia="宋体"/>
                <w:color w:val="auto"/>
                <w:kern w:val="0"/>
                <w:sz w:val="15"/>
                <w:szCs w:val="15"/>
                <w:lang w:val="en-US" w:eastAsia="zh-CN"/>
              </w:rPr>
            </w:pPr>
            <w:r>
              <w:rPr>
                <w:rFonts w:hint="eastAsia"/>
                <w:color w:val="auto"/>
                <w:kern w:val="0"/>
                <w:sz w:val="15"/>
                <w:szCs w:val="15"/>
                <w:lang w:val="en-US" w:eastAsia="zh-CN"/>
              </w:rPr>
              <w:t>350</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0.024</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氨氮</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widowControl/>
              <w:spacing w:line="220" w:lineRule="exact"/>
              <w:jc w:val="center"/>
              <w:rPr>
                <w:rFonts w:hint="default" w:eastAsia="宋体"/>
                <w:color w:val="auto"/>
                <w:kern w:val="0"/>
                <w:sz w:val="15"/>
                <w:szCs w:val="15"/>
                <w:lang w:val="en-US" w:eastAsia="zh-CN"/>
              </w:rPr>
            </w:pPr>
            <w:r>
              <w:rPr>
                <w:rFonts w:hint="eastAsia"/>
                <w:color w:val="auto"/>
                <w:kern w:val="0"/>
                <w:sz w:val="15"/>
                <w:szCs w:val="15"/>
                <w:lang w:val="en-US" w:eastAsia="zh-CN"/>
              </w:rPr>
              <w:t>17.5</w:t>
            </w:r>
          </w:p>
        </w:tc>
        <w:tc>
          <w:tcPr>
            <w:tcW w:w="956" w:type="dxa"/>
            <w:gridSpan w:val="3"/>
            <w:noWrap w:val="0"/>
            <w:vAlign w:val="center"/>
          </w:tcPr>
          <w:p>
            <w:pPr>
              <w:widowControl/>
              <w:spacing w:line="220" w:lineRule="exact"/>
              <w:jc w:val="center"/>
              <w:rPr>
                <w:rFonts w:hint="default" w:eastAsia="宋体"/>
                <w:color w:val="auto"/>
                <w:kern w:val="0"/>
                <w:sz w:val="15"/>
                <w:szCs w:val="15"/>
                <w:lang w:val="en-US" w:eastAsia="zh-CN"/>
              </w:rPr>
            </w:pPr>
            <w:r>
              <w:rPr>
                <w:rFonts w:hint="eastAsia"/>
                <w:color w:val="auto"/>
                <w:kern w:val="0"/>
                <w:sz w:val="15"/>
                <w:szCs w:val="15"/>
                <w:lang w:val="en-US" w:eastAsia="zh-CN"/>
              </w:rPr>
              <w:t>25</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rFonts w:hint="eastAsia"/>
                <w:color w:val="auto"/>
                <w:kern w:val="0"/>
                <w:sz w:val="15"/>
                <w:szCs w:val="15"/>
                <w:lang w:val="en-US" w:eastAsia="zh-CN"/>
              </w:rPr>
              <w:t>0.004</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石油类</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widowControl/>
              <w:spacing w:line="220" w:lineRule="exact"/>
              <w:jc w:val="center"/>
              <w:rPr>
                <w:color w:val="auto"/>
                <w:kern w:val="0"/>
                <w:sz w:val="15"/>
                <w:szCs w:val="15"/>
              </w:rPr>
            </w:pPr>
            <w:r>
              <w:rPr>
                <w:color w:val="auto"/>
                <w:kern w:val="0"/>
                <w:sz w:val="15"/>
                <w:szCs w:val="15"/>
              </w:rPr>
              <w:t>—</w:t>
            </w:r>
          </w:p>
        </w:tc>
        <w:tc>
          <w:tcPr>
            <w:tcW w:w="956" w:type="dxa"/>
            <w:gridSpan w:val="3"/>
            <w:noWrap w:val="0"/>
            <w:vAlign w:val="center"/>
          </w:tcPr>
          <w:p>
            <w:pPr>
              <w:widowControl/>
              <w:spacing w:line="220" w:lineRule="exact"/>
              <w:jc w:val="center"/>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废气</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二氧化硫</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氮氧化物</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top"/>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颗粒物</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rFonts w:hint="eastAsia"/>
                <w:color w:val="auto"/>
                <w:kern w:val="0"/>
                <w:sz w:val="15"/>
                <w:szCs w:val="15"/>
              </w:rPr>
              <w:t>挥发性有机物</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eastAsia="宋体"/>
                <w:color w:val="auto"/>
                <w:kern w:val="0"/>
                <w:sz w:val="15"/>
                <w:szCs w:val="15"/>
                <w:lang w:eastAsia="zh-CN"/>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808" w:type="dxa"/>
            <w:gridSpan w:val="3"/>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工业固体废物</w:t>
            </w: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28" w:hRule="atLeast"/>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090" w:type="dxa"/>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与项目有关的其他特征污染物</w:t>
            </w:r>
          </w:p>
        </w:tc>
        <w:tc>
          <w:tcPr>
            <w:tcW w:w="718" w:type="dxa"/>
            <w:gridSpan w:val="2"/>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eastAsia="宋体"/>
                <w:color w:val="auto"/>
                <w:kern w:val="0"/>
                <w:sz w:val="15"/>
                <w:szCs w:val="15"/>
                <w:lang w:val="en-US" w:eastAsia="zh-CN"/>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871"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1090" w:type="dxa"/>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sz w:val="15"/>
                <w:szCs w:val="15"/>
              </w:rPr>
            </w:pPr>
          </w:p>
        </w:tc>
        <w:tc>
          <w:tcPr>
            <w:tcW w:w="718" w:type="dxa"/>
            <w:gridSpan w:val="2"/>
            <w:tcBorders>
              <w:left w:val="single" w:color="auto" w:sz="4" w:space="0"/>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p>
        </w:tc>
        <w:tc>
          <w:tcPr>
            <w:tcW w:w="81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5"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15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761"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14"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1028" w:type="dxa"/>
            <w:gridSpan w:val="3"/>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25" w:type="dxa"/>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56"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c>
          <w:tcPr>
            <w:tcW w:w="962" w:type="dxa"/>
            <w:gridSpan w:val="2"/>
            <w:noWrap w:val="0"/>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color w:val="auto"/>
                <w:kern w:val="0"/>
                <w:sz w:val="15"/>
                <w:szCs w:val="15"/>
              </w:rPr>
            </w:pPr>
            <w:r>
              <w:rPr>
                <w:color w:val="auto"/>
                <w:kern w:val="0"/>
                <w:sz w:val="15"/>
                <w:szCs w:val="15"/>
              </w:rPr>
              <w:t>—</w:t>
            </w:r>
          </w:p>
        </w:tc>
      </w:tr>
    </w:tbl>
    <w:p>
      <w:pPr>
        <w:keepNext w:val="0"/>
        <w:keepLines w:val="0"/>
        <w:pageBreakBefore w:val="0"/>
        <w:kinsoku/>
        <w:wordWrap/>
        <w:overflowPunct/>
        <w:topLinePunct w:val="0"/>
        <w:autoSpaceDE/>
        <w:autoSpaceDN/>
        <w:bidi w:val="0"/>
        <w:adjustRightInd/>
        <w:snapToGrid/>
        <w:spacing w:line="200" w:lineRule="exact"/>
        <w:textAlignment w:val="auto"/>
        <w:rPr>
          <w:rFonts w:hint="eastAsia" w:ascii="Times New Roman" w:hAnsi="Times New Roman" w:eastAsia="宋体" w:cs="Times New Roman"/>
          <w:lang w:eastAsia="zh-CN"/>
        </w:rPr>
        <w:sectPr>
          <w:footerReference r:id="rId10" w:type="default"/>
          <w:pgSz w:w="16838" w:h="11906" w:orient="landscape"/>
          <w:pgMar w:top="1797" w:right="1440" w:bottom="1627"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color w:val="000000"/>
          <w:kern w:val="0"/>
          <w:sz w:val="15"/>
          <w:szCs w:val="15"/>
        </w:rPr>
        <w:t>注：1、排放增减量：（+）表示增加，（-）表示减少；    2、(12)=(6)-(8)-(11)，（9）=(4)-(5)-(8)-(11)+（1）</w:t>
      </w:r>
      <w:r>
        <w:rPr>
          <w:color w:val="000000"/>
          <w:kern w:val="0"/>
          <w:sz w:val="15"/>
          <w:szCs w:val="15"/>
        </w:rPr>
        <w:br w:type="textWrapping"/>
      </w:r>
      <w:r>
        <w:rPr>
          <w:color w:val="000000"/>
          <w:kern w:val="0"/>
          <w:sz w:val="15"/>
          <w:szCs w:val="15"/>
        </w:rPr>
        <w:t xml:space="preserve">    3、计量单位：废水排放量——万吨/年；废气排放量——万标立方米/年；工业固体废物排放量——万吨/年；水污染物排放浓度——毫克/升；</w:t>
      </w:r>
      <w:r>
        <w:rPr>
          <w:color w:val="000000"/>
          <w:kern w:val="0"/>
          <w:sz w:val="15"/>
          <w:szCs w:val="15"/>
        </w:rPr>
        <w:br w:type="textWrapping"/>
      </w:r>
      <w:r>
        <w:rPr>
          <w:color w:val="000000"/>
          <w:kern w:val="0"/>
          <w:sz w:val="15"/>
          <w:szCs w:val="15"/>
        </w:rPr>
        <w:t>大气污染物排放浓度——毫克/立方米；水污染物排放量——吨/年；大气污染物排放量——吨/年</w:t>
      </w: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52"/>
          <w:szCs w:val="52"/>
        </w:rPr>
        <w:t>第二部分</w:t>
      </w:r>
    </w:p>
    <w:tbl>
      <w:tblPr>
        <w:tblStyle w:val="15"/>
        <w:tblpPr w:leftFromText="180" w:rightFromText="180" w:vertAnchor="text" w:horzAnchor="page" w:tblpX="1786" w:tblpY="3051"/>
        <w:tblOverlap w:val="never"/>
        <w:tblW w:w="8625" w:type="dxa"/>
        <w:jc w:val="center"/>
        <w:tblLayout w:type="fixed"/>
        <w:tblCellMar>
          <w:top w:w="0" w:type="dxa"/>
          <w:left w:w="108" w:type="dxa"/>
          <w:bottom w:w="0" w:type="dxa"/>
          <w:right w:w="108" w:type="dxa"/>
        </w:tblCellMar>
      </w:tblPr>
      <w:tblGrid>
        <w:gridCol w:w="8625"/>
      </w:tblGrid>
      <w:tr>
        <w:tblPrEx>
          <w:tblCellMar>
            <w:top w:w="0" w:type="dxa"/>
            <w:left w:w="108" w:type="dxa"/>
            <w:bottom w:w="0" w:type="dxa"/>
            <w:right w:w="108" w:type="dxa"/>
          </w:tblCellMar>
        </w:tblPrEx>
        <w:trPr>
          <w:trHeight w:val="1339" w:hRule="atLeast"/>
          <w:jc w:val="center"/>
        </w:trPr>
        <w:tc>
          <w:tcPr>
            <w:tcW w:w="8625" w:type="dxa"/>
            <w:noWrap w:val="0"/>
            <w:vAlign w:val="top"/>
          </w:tcPr>
          <w:p>
            <w:pPr>
              <w:jc w:val="center"/>
              <w:rPr>
                <w:rFonts w:hint="default" w:ascii="Times New Roman" w:hAnsi="Times New Roman" w:eastAsia="宋体" w:cs="Times New Roman"/>
                <w:b/>
                <w:spacing w:val="8"/>
                <w:w w:val="94"/>
                <w:kern w:val="0"/>
                <w:sz w:val="48"/>
                <w:szCs w:val="48"/>
              </w:rPr>
            </w:pPr>
            <w:r>
              <w:rPr>
                <w:rFonts w:hint="default" w:ascii="Times New Roman" w:hAnsi="Times New Roman" w:eastAsia="宋体" w:cs="Times New Roman"/>
                <w:b/>
                <w:spacing w:val="8"/>
                <w:w w:val="94"/>
                <w:kern w:val="0"/>
                <w:sz w:val="48"/>
                <w:szCs w:val="48"/>
              </w:rPr>
              <w:t>建设项目竣工环境保护</w:t>
            </w:r>
          </w:p>
          <w:p>
            <w:pPr>
              <w:jc w:val="center"/>
              <w:rPr>
                <w:rFonts w:hint="default" w:ascii="Times New Roman" w:hAnsi="Times New Roman" w:eastAsia="宋体" w:cs="Times New Roman"/>
                <w:b/>
                <w:spacing w:val="8"/>
                <w:w w:val="94"/>
                <w:kern w:val="0"/>
                <w:sz w:val="48"/>
                <w:szCs w:val="48"/>
              </w:rPr>
            </w:pPr>
          </w:p>
          <w:p>
            <w:pPr>
              <w:jc w:val="center"/>
              <w:rPr>
                <w:rFonts w:hint="default" w:ascii="Times New Roman" w:hAnsi="Times New Roman" w:eastAsia="宋体" w:cs="Times New Roman"/>
                <w:b/>
                <w:spacing w:val="20"/>
                <w:sz w:val="72"/>
                <w:szCs w:val="72"/>
              </w:rPr>
            </w:pPr>
            <w:r>
              <w:rPr>
                <w:rFonts w:hint="default" w:ascii="Times New Roman" w:hAnsi="Times New Roman" w:eastAsia="宋体" w:cs="Times New Roman"/>
                <w:b/>
                <w:spacing w:val="8"/>
                <w:w w:val="94"/>
                <w:kern w:val="0"/>
                <w:sz w:val="48"/>
                <w:szCs w:val="48"/>
              </w:rPr>
              <w:t>验</w:t>
            </w:r>
            <w:r>
              <w:rPr>
                <w:rFonts w:hint="default" w:ascii="Times New Roman" w:hAnsi="Times New Roman" w:eastAsia="宋体" w:cs="Times New Roman"/>
                <w:b/>
                <w:spacing w:val="6"/>
                <w:w w:val="94"/>
                <w:kern w:val="0"/>
                <w:sz w:val="48"/>
                <w:szCs w:val="48"/>
              </w:rPr>
              <w:t>收</w:t>
            </w:r>
            <w:r>
              <w:rPr>
                <w:rFonts w:hint="default" w:ascii="Times New Roman" w:hAnsi="Times New Roman" w:eastAsia="宋体" w:cs="Times New Roman"/>
                <w:b/>
                <w:spacing w:val="20"/>
                <w:sz w:val="48"/>
                <w:szCs w:val="48"/>
              </w:rPr>
              <w:t>意见</w:t>
            </w:r>
          </w:p>
        </w:tc>
      </w:tr>
    </w:tbl>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spacing w:line="480" w:lineRule="auto"/>
        <w:jc w:val="center"/>
        <w:rPr>
          <w:rFonts w:hint="eastAsia" w:ascii="Times New Roman" w:hAnsi="Times New Roman" w:cs="Times New Roman"/>
          <w:b w:val="0"/>
          <w:bCs/>
          <w:sz w:val="32"/>
          <w:szCs w:val="32"/>
          <w:lang w:eastAsia="zh-CN"/>
        </w:rPr>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cs="Times New Roman"/>
          <w:b w:val="0"/>
          <w:bCs/>
          <w:sz w:val="32"/>
          <w:szCs w:val="32"/>
          <w:lang w:eastAsia="zh-CN"/>
        </w:rPr>
      </w:pPr>
      <w:r>
        <w:rPr>
          <w:rFonts w:hint="eastAsia" w:ascii="Times New Roman" w:hAnsi="Times New Roman" w:cs="Times New Roman"/>
          <w:b w:val="0"/>
          <w:bCs/>
          <w:sz w:val="32"/>
          <w:szCs w:val="32"/>
          <w:lang w:eastAsia="zh-CN"/>
        </w:rPr>
        <w:t>安徽常宇门窗有限公司</w:t>
      </w:r>
    </w:p>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cs="Times New Roman"/>
          <w:b w:val="0"/>
          <w:bCs/>
          <w:sz w:val="32"/>
          <w:szCs w:val="32"/>
          <w:lang w:val="zh-CN" w:eastAsia="zh-CN"/>
        </w:rPr>
      </w:pPr>
      <w:r>
        <w:rPr>
          <w:rFonts w:hint="eastAsia" w:ascii="Times New Roman" w:hAnsi="Times New Roman" w:cs="Times New Roman"/>
          <w:b w:val="0"/>
          <w:bCs/>
          <w:sz w:val="32"/>
          <w:szCs w:val="32"/>
          <w:lang w:eastAsia="zh-CN"/>
        </w:rPr>
        <w:t>年产7.5万m</w:t>
      </w:r>
      <w:r>
        <w:rPr>
          <w:rFonts w:hint="eastAsia" w:ascii="Times New Roman" w:hAnsi="Times New Roman" w:cs="Times New Roman"/>
          <w:b w:val="0"/>
          <w:bCs/>
          <w:sz w:val="32"/>
          <w:szCs w:val="32"/>
          <w:vertAlign w:val="superscript"/>
          <w:lang w:eastAsia="zh-CN"/>
        </w:rPr>
        <w:t>2</w:t>
      </w:r>
      <w:r>
        <w:rPr>
          <w:rFonts w:hint="eastAsia" w:ascii="Times New Roman" w:hAnsi="Times New Roman" w:cs="Times New Roman"/>
          <w:b w:val="0"/>
          <w:bCs/>
          <w:sz w:val="32"/>
          <w:szCs w:val="32"/>
          <w:lang w:eastAsia="zh-CN"/>
        </w:rPr>
        <w:t>铝合金门窗加工生产项目</w:t>
      </w:r>
    </w:p>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cs="Times New Roman"/>
          <w:b w:val="0"/>
          <w:bCs/>
          <w:sz w:val="32"/>
          <w:szCs w:val="32"/>
          <w:lang w:eastAsia="zh-CN"/>
        </w:rPr>
      </w:pPr>
      <w:r>
        <w:rPr>
          <w:rFonts w:hint="default" w:ascii="Times New Roman" w:hAnsi="Times New Roman" w:cs="Times New Roman"/>
          <w:b w:val="0"/>
          <w:bCs/>
          <w:sz w:val="32"/>
          <w:szCs w:val="32"/>
          <w:lang w:eastAsia="zh-CN"/>
        </w:rPr>
        <w:t>竣工环境保护验收意见</w:t>
      </w:r>
    </w:p>
    <w:p>
      <w:pPr>
        <w:keepNext w:val="0"/>
        <w:keepLines w:val="0"/>
        <w:pageBreakBefore w:val="0"/>
        <w:widowControl w:val="0"/>
        <w:kinsoku/>
        <w:wordWrap/>
        <w:overflowPunct/>
        <w:topLinePunct w:val="0"/>
        <w:autoSpaceDE/>
        <w:autoSpaceDN/>
        <w:bidi w:val="0"/>
        <w:spacing w:line="400" w:lineRule="exact"/>
        <w:ind w:leftChars="0" w:firstLine="0" w:firstLineChars="0"/>
        <w:jc w:val="left"/>
        <w:textAlignment w:val="auto"/>
        <w:rPr>
          <w:rFonts w:hint="default" w:ascii="Times New Roman" w:hAnsi="Times New Roman" w:eastAsia="仿宋" w:cs="Times New Roman"/>
          <w:b w:val="0"/>
          <w:bCs/>
          <w:color w:val="auto"/>
          <w:sz w:val="24"/>
          <w:szCs w:val="24"/>
        </w:rPr>
      </w:pP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仿宋" w:cs="Times New Roman"/>
          <w:b w:val="0"/>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仿宋" w:cs="Times New Roman"/>
          <w:b w:val="0"/>
          <w:bCs/>
          <w:color w:val="auto"/>
          <w:sz w:val="24"/>
          <w:szCs w:val="24"/>
          <w:lang w:val="en-US" w:eastAsia="zh-CN"/>
        </w:rPr>
        <w:t xml:space="preserve">  20</w:t>
      </w:r>
      <w:r>
        <w:rPr>
          <w:rFonts w:hint="eastAsia" w:ascii="Times New Roman" w:hAnsi="Times New Roman" w:eastAsia="仿宋" w:cs="Times New Roman"/>
          <w:b w:val="0"/>
          <w:bCs/>
          <w:color w:val="auto"/>
          <w:sz w:val="24"/>
          <w:szCs w:val="24"/>
          <w:lang w:val="en-US" w:eastAsia="zh-CN"/>
        </w:rPr>
        <w:t>20</w:t>
      </w:r>
      <w:r>
        <w:rPr>
          <w:rFonts w:hint="default" w:ascii="Times New Roman" w:hAnsi="Times New Roman" w:eastAsia="仿宋" w:cs="Times New Roman"/>
          <w:b w:val="0"/>
          <w:bCs/>
          <w:color w:val="auto"/>
          <w:sz w:val="24"/>
          <w:szCs w:val="24"/>
          <w:lang w:val="en-US" w:eastAsia="zh-CN"/>
        </w:rPr>
        <w:t>年</w:t>
      </w:r>
      <w:r>
        <w:rPr>
          <w:rFonts w:hint="eastAsia" w:eastAsia="仿宋" w:cs="Times New Roman"/>
          <w:b w:val="0"/>
          <w:bCs/>
          <w:color w:val="auto"/>
          <w:sz w:val="24"/>
          <w:szCs w:val="24"/>
          <w:lang w:val="en-US" w:eastAsia="zh-CN"/>
        </w:rPr>
        <w:t>8</w:t>
      </w:r>
      <w:r>
        <w:rPr>
          <w:rFonts w:hint="default" w:ascii="Times New Roman" w:hAnsi="Times New Roman" w:eastAsia="仿宋" w:cs="Times New Roman"/>
          <w:b w:val="0"/>
          <w:bCs/>
          <w:color w:val="auto"/>
          <w:sz w:val="24"/>
          <w:szCs w:val="24"/>
          <w:lang w:val="en-US" w:eastAsia="zh-CN"/>
        </w:rPr>
        <w:t>月</w:t>
      </w:r>
      <w:r>
        <w:rPr>
          <w:rFonts w:hint="eastAsia" w:eastAsia="仿宋" w:cs="Times New Roman"/>
          <w:b w:val="0"/>
          <w:bCs/>
          <w:color w:val="auto"/>
          <w:sz w:val="24"/>
          <w:szCs w:val="24"/>
          <w:lang w:val="en-US" w:eastAsia="zh-CN"/>
        </w:rPr>
        <w:t>23</w:t>
      </w:r>
      <w:r>
        <w:rPr>
          <w:rFonts w:hint="default" w:ascii="Times New Roman" w:hAnsi="Times New Roman" w:eastAsia="仿宋" w:cs="Times New Roman"/>
          <w:b w:val="0"/>
          <w:bCs/>
          <w:color w:val="auto"/>
          <w:sz w:val="24"/>
          <w:szCs w:val="24"/>
          <w:lang w:val="en-US" w:eastAsia="zh-CN"/>
        </w:rPr>
        <w:t>日</w:t>
      </w:r>
      <w:r>
        <w:rPr>
          <w:rFonts w:hint="eastAsia" w:ascii="Times New Roman" w:hAnsi="Times New Roman" w:eastAsia="仿宋" w:cs="Times New Roman"/>
          <w:b w:val="0"/>
          <w:bCs/>
          <w:color w:val="auto"/>
          <w:sz w:val="24"/>
          <w:szCs w:val="24"/>
          <w:lang w:val="en-US" w:eastAsia="zh-CN"/>
        </w:rPr>
        <w:t>安徽常宇门窗有限公司</w:t>
      </w:r>
      <w:r>
        <w:rPr>
          <w:rFonts w:hint="default" w:ascii="Times New Roman" w:hAnsi="Times New Roman" w:eastAsia="仿宋" w:cs="Times New Roman"/>
          <w:b w:val="0"/>
          <w:bCs/>
          <w:color w:val="auto"/>
          <w:sz w:val="24"/>
          <w:szCs w:val="24"/>
          <w:lang w:val="en-US" w:eastAsia="zh-CN"/>
        </w:rPr>
        <w:t>在</w:t>
      </w:r>
      <w:r>
        <w:rPr>
          <w:rFonts w:hint="eastAsia" w:ascii="Times New Roman" w:hAnsi="Times New Roman" w:eastAsia="仿宋" w:cs="Times New Roman"/>
          <w:b w:val="0"/>
          <w:bCs/>
          <w:color w:val="auto"/>
          <w:sz w:val="24"/>
          <w:szCs w:val="24"/>
          <w:lang w:val="en-US" w:eastAsia="zh-CN"/>
        </w:rPr>
        <w:t>公司</w:t>
      </w:r>
      <w:r>
        <w:rPr>
          <w:rFonts w:hint="default" w:ascii="Times New Roman" w:hAnsi="Times New Roman" w:eastAsia="仿宋" w:cs="Times New Roman"/>
          <w:b w:val="0"/>
          <w:bCs/>
          <w:color w:val="auto"/>
          <w:sz w:val="24"/>
          <w:szCs w:val="24"/>
          <w:lang w:val="en-US" w:eastAsia="zh-CN"/>
        </w:rPr>
        <w:t>组织召开了</w:t>
      </w:r>
      <w:r>
        <w:rPr>
          <w:rFonts w:hint="eastAsia" w:ascii="Times New Roman" w:hAnsi="Times New Roman" w:eastAsia="仿宋" w:cs="Times New Roman"/>
          <w:b w:val="0"/>
          <w:bCs/>
          <w:color w:val="auto"/>
          <w:sz w:val="24"/>
          <w:szCs w:val="24"/>
          <w:lang w:val="en-US" w:eastAsia="zh-CN"/>
        </w:rPr>
        <w:t>安徽常宇门窗有限公司年产7.5万m</w:t>
      </w:r>
      <w:r>
        <w:rPr>
          <w:rFonts w:hint="eastAsia" w:ascii="Times New Roman" w:hAnsi="Times New Roman" w:eastAsia="仿宋" w:cs="Times New Roman"/>
          <w:b w:val="0"/>
          <w:bCs/>
          <w:color w:val="auto"/>
          <w:sz w:val="24"/>
          <w:szCs w:val="24"/>
          <w:vertAlign w:val="superscript"/>
          <w:lang w:val="en-US" w:eastAsia="zh-CN"/>
        </w:rPr>
        <w:t>2</w:t>
      </w:r>
      <w:r>
        <w:rPr>
          <w:rFonts w:hint="eastAsia" w:ascii="Times New Roman" w:hAnsi="Times New Roman" w:eastAsia="仿宋" w:cs="Times New Roman"/>
          <w:b w:val="0"/>
          <w:bCs/>
          <w:color w:val="auto"/>
          <w:sz w:val="24"/>
          <w:szCs w:val="24"/>
          <w:lang w:val="en-US" w:eastAsia="zh-CN"/>
        </w:rPr>
        <w:t>铝合金门窗加工生产项目</w:t>
      </w:r>
      <w:r>
        <w:rPr>
          <w:rFonts w:hint="default" w:ascii="Times New Roman" w:hAnsi="Times New Roman" w:eastAsia="仿宋" w:cs="Times New Roman"/>
          <w:b w:val="0"/>
          <w:bCs/>
          <w:color w:val="auto"/>
          <w:sz w:val="24"/>
          <w:szCs w:val="24"/>
          <w:lang w:val="en-US" w:eastAsia="zh-CN"/>
        </w:rPr>
        <w:t>竣工环境保护验收会。参加会议的有</w:t>
      </w:r>
      <w:r>
        <w:rPr>
          <w:rFonts w:hint="eastAsia" w:ascii="Times New Roman" w:hAnsi="Times New Roman" w:eastAsia="仿宋" w:cs="Times New Roman"/>
          <w:b w:val="0"/>
          <w:bCs/>
          <w:color w:val="auto"/>
          <w:sz w:val="24"/>
          <w:szCs w:val="24"/>
          <w:lang w:val="en-US" w:eastAsia="zh-CN"/>
        </w:rPr>
        <w:t>安徽常宇门窗有限公司</w:t>
      </w:r>
      <w:r>
        <w:rPr>
          <w:rFonts w:hint="default" w:ascii="Times New Roman" w:hAnsi="Times New Roman" w:eastAsia="仿宋" w:cs="Times New Roman"/>
          <w:b w:val="0"/>
          <w:bCs/>
          <w:color w:val="auto"/>
          <w:sz w:val="24"/>
          <w:szCs w:val="24"/>
          <w:lang w:val="en-US" w:eastAsia="zh-CN"/>
        </w:rPr>
        <w:t>（验收监测报告表编制单位）等单位的代表及专家共</w:t>
      </w:r>
      <w:r>
        <w:rPr>
          <w:rFonts w:hint="eastAsia" w:eastAsia="仿宋" w:cs="Times New Roman"/>
          <w:b w:val="0"/>
          <w:bCs/>
          <w:color w:val="auto"/>
          <w:sz w:val="24"/>
          <w:szCs w:val="24"/>
          <w:lang w:val="en-US" w:eastAsia="zh-CN"/>
        </w:rPr>
        <w:t>5</w:t>
      </w:r>
      <w:r>
        <w:rPr>
          <w:rFonts w:hint="default" w:ascii="Times New Roman" w:hAnsi="Times New Roman" w:eastAsia="仿宋" w:cs="Times New Roman"/>
          <w:b w:val="0"/>
          <w:bCs/>
          <w:color w:val="auto"/>
          <w:sz w:val="24"/>
          <w:szCs w:val="24"/>
          <w:lang w:val="en-US" w:eastAsia="zh-CN"/>
        </w:rPr>
        <w:t>位</w:t>
      </w:r>
      <w:r>
        <w:rPr>
          <w:rFonts w:hint="default" w:ascii="Times New Roman" w:hAnsi="Times New Roman" w:eastAsia="仿宋" w:cs="Times New Roman"/>
          <w:b w:val="0"/>
          <w:bCs/>
          <w:color w:val="auto"/>
          <w:sz w:val="24"/>
          <w:szCs w:val="24"/>
          <w:lang w:eastAsia="zh-CN"/>
        </w:rPr>
        <w:t>组成验收工作组（名单附后），与会代表查看了项目现场及周边环境，并根据《</w:t>
      </w:r>
      <w:r>
        <w:rPr>
          <w:rFonts w:hint="eastAsia" w:ascii="Times New Roman" w:hAnsi="Times New Roman" w:eastAsia="仿宋" w:cs="Times New Roman"/>
          <w:b w:val="0"/>
          <w:bCs/>
          <w:color w:val="auto"/>
          <w:sz w:val="24"/>
          <w:szCs w:val="24"/>
          <w:lang w:val="en-US" w:eastAsia="zh-CN"/>
        </w:rPr>
        <w:t>安徽常宇门窗有限公司年产7.5万m</w:t>
      </w:r>
      <w:r>
        <w:rPr>
          <w:rFonts w:hint="eastAsia" w:ascii="Times New Roman" w:hAnsi="Times New Roman" w:eastAsia="仿宋" w:cs="Times New Roman"/>
          <w:b w:val="0"/>
          <w:bCs/>
          <w:color w:val="auto"/>
          <w:sz w:val="24"/>
          <w:szCs w:val="24"/>
          <w:vertAlign w:val="superscript"/>
          <w:lang w:val="en-US" w:eastAsia="zh-CN"/>
        </w:rPr>
        <w:t>2</w:t>
      </w:r>
      <w:r>
        <w:rPr>
          <w:rFonts w:hint="eastAsia" w:ascii="Times New Roman" w:hAnsi="Times New Roman" w:eastAsia="仿宋" w:cs="Times New Roman"/>
          <w:b w:val="0"/>
          <w:bCs/>
          <w:color w:val="auto"/>
          <w:sz w:val="24"/>
          <w:szCs w:val="24"/>
          <w:lang w:val="en-US" w:eastAsia="zh-CN"/>
        </w:rPr>
        <w:t>铝合金门窗加工生产项目</w:t>
      </w:r>
      <w:r>
        <w:rPr>
          <w:rFonts w:hint="default" w:ascii="Times New Roman" w:hAnsi="Times New Roman" w:eastAsia="仿宋" w:cs="Times New Roman"/>
          <w:b w:val="0"/>
          <w:bCs/>
          <w:color w:val="auto"/>
          <w:sz w:val="24"/>
          <w:szCs w:val="24"/>
          <w:lang w:eastAsia="zh-CN"/>
        </w:rPr>
        <w:t>竣工环境保护验收监测报告表》及《建设项目竣工环境保护验收暂行办法》，严格依照国家有关法律法规、建设项目竣工环境保护验收技术规范指南、本项目环境影响评价报告表和审批部门审批决定等要求对本项目进行验收，提出意见如下：</w:t>
      </w:r>
    </w:p>
    <w:p>
      <w:pPr>
        <w:pStyle w:val="5"/>
        <w:keepNext w:val="0"/>
        <w:keepLines w:val="0"/>
        <w:pageBreakBefore w:val="0"/>
        <w:widowControl w:val="0"/>
        <w:numPr>
          <w:ilvl w:val="0"/>
          <w:numId w:val="0"/>
        </w:numPr>
        <w:kinsoku/>
        <w:wordWrap/>
        <w:overflowPunct/>
        <w:topLinePunct w:val="0"/>
        <w:autoSpaceDE/>
        <w:autoSpaceDN/>
        <w:bidi w:val="0"/>
        <w:spacing w:line="400" w:lineRule="exact"/>
        <w:textAlignment w:val="auto"/>
        <w:outlineLvl w:val="0"/>
        <w:rPr>
          <w:rFonts w:hint="default" w:ascii="Times New Roman" w:hAnsi="Times New Roman" w:eastAsia="仿宋" w:cs="Times New Roman"/>
          <w:b/>
          <w:bCs w:val="0"/>
          <w:color w:val="auto"/>
          <w:spacing w:val="0"/>
          <w:kern w:val="2"/>
          <w:sz w:val="24"/>
          <w:szCs w:val="24"/>
          <w:lang w:val="en-US" w:eastAsia="zh-CN" w:bidi="ar-SA"/>
        </w:rPr>
      </w:pPr>
      <w:r>
        <w:rPr>
          <w:rFonts w:hint="default" w:ascii="Times New Roman" w:hAnsi="Times New Roman" w:eastAsia="仿宋" w:cs="Times New Roman"/>
          <w:b/>
          <w:bCs w:val="0"/>
          <w:color w:val="auto"/>
          <w:spacing w:val="0"/>
          <w:kern w:val="2"/>
          <w:sz w:val="24"/>
          <w:szCs w:val="24"/>
          <w:lang w:val="en-US" w:eastAsia="zh-CN" w:bidi="ar-SA"/>
        </w:rPr>
        <w:t>一、项目基本情况</w:t>
      </w:r>
    </w:p>
    <w:p>
      <w:pPr>
        <w:pStyle w:val="5"/>
        <w:keepNext w:val="0"/>
        <w:keepLines w:val="0"/>
        <w:pageBreakBefore w:val="0"/>
        <w:widowControl w:val="0"/>
        <w:numPr>
          <w:ilvl w:val="0"/>
          <w:numId w:val="0"/>
        </w:numPr>
        <w:kinsoku/>
        <w:wordWrap/>
        <w:overflowPunct/>
        <w:topLinePunct w:val="0"/>
        <w:autoSpaceDE/>
        <w:autoSpaceDN/>
        <w:bidi w:val="0"/>
        <w:spacing w:line="400" w:lineRule="exact"/>
        <w:ind w:firstLine="480" w:firstLineChars="200"/>
        <w:textAlignment w:val="auto"/>
        <w:outlineLvl w:val="0"/>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（一）建设地点、规模、主要建设内容</w:t>
      </w:r>
    </w:p>
    <w:p>
      <w:pPr>
        <w:keepNext w:val="0"/>
        <w:keepLines w:val="0"/>
        <w:pageBreakBefore w:val="0"/>
        <w:widowControl w:val="0"/>
        <w:kinsoku/>
        <w:wordWrap/>
        <w:overflowPunct/>
        <w:topLinePunct w:val="0"/>
        <w:autoSpaceDE/>
        <w:autoSpaceDN/>
        <w:bidi w:val="0"/>
        <w:spacing w:line="400" w:lineRule="exact"/>
        <w:ind w:firstLine="470" w:firstLineChars="196"/>
        <w:textAlignment w:val="auto"/>
        <w:rPr>
          <w:rFonts w:hint="eastAsia" w:ascii="Times New Roman" w:hAnsi="Times New Roman" w:eastAsia="仿宋" w:cs="Times New Roman"/>
          <w:b w:val="0"/>
          <w:bCs/>
          <w:color w:val="auto"/>
          <w:spacing w:val="0"/>
          <w:kern w:val="2"/>
          <w:sz w:val="24"/>
          <w:szCs w:val="24"/>
          <w:lang w:val="en-US" w:eastAsia="zh-CN" w:bidi="ar-SA"/>
        </w:rPr>
      </w:pPr>
      <w:r>
        <w:rPr>
          <w:rFonts w:hint="eastAsia" w:ascii="Times New Roman" w:hAnsi="Times New Roman" w:eastAsia="仿宋" w:cs="Times New Roman"/>
          <w:b w:val="0"/>
          <w:bCs/>
          <w:color w:val="auto"/>
          <w:spacing w:val="0"/>
          <w:kern w:val="2"/>
          <w:sz w:val="24"/>
          <w:szCs w:val="24"/>
          <w:lang w:val="en-US" w:eastAsia="zh-CN" w:bidi="ar-SA"/>
        </w:rPr>
        <w:t>安徽常宇门窗有限公司年产7.5万m</w:t>
      </w:r>
      <w:r>
        <w:rPr>
          <w:rFonts w:hint="eastAsia" w:ascii="Times New Roman" w:hAnsi="Times New Roman" w:eastAsia="仿宋" w:cs="Times New Roman"/>
          <w:b w:val="0"/>
          <w:bCs/>
          <w:color w:val="auto"/>
          <w:spacing w:val="0"/>
          <w:kern w:val="2"/>
          <w:sz w:val="24"/>
          <w:szCs w:val="24"/>
          <w:vertAlign w:val="superscript"/>
          <w:lang w:val="en-US" w:eastAsia="zh-CN" w:bidi="ar-SA"/>
        </w:rPr>
        <w:t>2</w:t>
      </w:r>
      <w:r>
        <w:rPr>
          <w:rFonts w:hint="eastAsia" w:ascii="Times New Roman" w:hAnsi="Times New Roman" w:eastAsia="仿宋" w:cs="Times New Roman"/>
          <w:b w:val="0"/>
          <w:bCs/>
          <w:color w:val="auto"/>
          <w:spacing w:val="0"/>
          <w:kern w:val="2"/>
          <w:sz w:val="24"/>
          <w:szCs w:val="24"/>
          <w:lang w:val="en-US" w:eastAsia="zh-CN" w:bidi="ar-SA"/>
        </w:rPr>
        <w:t>铝合金门窗加工生产项目位于合肥市肥西县桃花工业园繁华大道与方兴大道交口东南侧综合楼（北纬31.777134东经117.106287），本项目建筑面积约为600m</w:t>
      </w:r>
      <w:r>
        <w:rPr>
          <w:rFonts w:hint="eastAsia" w:ascii="Times New Roman" w:hAnsi="Times New Roman" w:eastAsia="仿宋" w:cs="Times New Roman"/>
          <w:b w:val="0"/>
          <w:bCs/>
          <w:color w:val="auto"/>
          <w:spacing w:val="0"/>
          <w:kern w:val="2"/>
          <w:sz w:val="24"/>
          <w:szCs w:val="24"/>
          <w:vertAlign w:val="superscript"/>
          <w:lang w:val="en-US" w:eastAsia="zh-CN" w:bidi="ar-SA"/>
        </w:rPr>
        <w:t>2</w:t>
      </w:r>
      <w:r>
        <w:rPr>
          <w:rFonts w:hint="eastAsia" w:ascii="Times New Roman" w:hAnsi="Times New Roman" w:eastAsia="仿宋" w:cs="Times New Roman"/>
          <w:b w:val="0"/>
          <w:bCs/>
          <w:color w:val="auto"/>
          <w:spacing w:val="0"/>
          <w:kern w:val="2"/>
          <w:sz w:val="24"/>
          <w:szCs w:val="24"/>
          <w:lang w:val="en-US" w:eastAsia="zh-CN" w:bidi="ar-SA"/>
        </w:rPr>
        <w:t>，项目建成后可生产年产7.5万m</w:t>
      </w:r>
      <w:r>
        <w:rPr>
          <w:rFonts w:hint="eastAsia" w:ascii="Times New Roman" w:hAnsi="Times New Roman" w:eastAsia="仿宋" w:cs="Times New Roman"/>
          <w:b w:val="0"/>
          <w:bCs/>
          <w:color w:val="auto"/>
          <w:spacing w:val="0"/>
          <w:kern w:val="2"/>
          <w:sz w:val="24"/>
          <w:szCs w:val="24"/>
          <w:vertAlign w:val="superscript"/>
          <w:lang w:val="en-US" w:eastAsia="zh-CN" w:bidi="ar-SA"/>
        </w:rPr>
        <w:t>2</w:t>
      </w:r>
      <w:r>
        <w:rPr>
          <w:rFonts w:hint="eastAsia" w:ascii="Times New Roman" w:hAnsi="Times New Roman" w:eastAsia="仿宋" w:cs="Times New Roman"/>
          <w:b w:val="0"/>
          <w:bCs/>
          <w:color w:val="auto"/>
          <w:spacing w:val="0"/>
          <w:kern w:val="2"/>
          <w:sz w:val="24"/>
          <w:szCs w:val="24"/>
          <w:lang w:val="en-US" w:eastAsia="zh-CN" w:bidi="ar-SA"/>
        </w:rPr>
        <w:t>铝合金门窗。实际总投资500万元，其中环保投资7万元，占总投资的1.4%。</w:t>
      </w:r>
    </w:p>
    <w:p>
      <w:pPr>
        <w:keepNext w:val="0"/>
        <w:keepLines w:val="0"/>
        <w:pageBreakBefore w:val="0"/>
        <w:widowControl w:val="0"/>
        <w:kinsoku/>
        <w:wordWrap/>
        <w:overflowPunct/>
        <w:topLinePunct w:val="0"/>
        <w:autoSpaceDE/>
        <w:autoSpaceDN/>
        <w:bidi w:val="0"/>
        <w:spacing w:line="400" w:lineRule="exact"/>
        <w:ind w:firstLine="470" w:firstLineChars="196"/>
        <w:textAlignment w:val="auto"/>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（二）建设过程及环保审批情况</w:t>
      </w:r>
    </w:p>
    <w:p>
      <w:pPr>
        <w:keepNext w:val="0"/>
        <w:keepLines w:val="0"/>
        <w:pageBreakBefore w:val="0"/>
        <w:tabs>
          <w:tab w:val="left" w:pos="6720"/>
        </w:tabs>
        <w:kinsoku/>
        <w:wordWrap/>
        <w:overflowPunct/>
        <w:topLinePunct w:val="0"/>
        <w:autoSpaceDE/>
        <w:autoSpaceDN/>
        <w:bidi w:val="0"/>
        <w:spacing w:line="400" w:lineRule="exact"/>
        <w:ind w:firstLine="487"/>
        <w:textAlignment w:val="auto"/>
        <w:rPr>
          <w:rFonts w:hint="default" w:ascii="Times New Roman" w:hAnsi="Times New Roman" w:eastAsia="仿宋" w:cs="Times New Roman"/>
          <w:b w:val="0"/>
          <w:bCs/>
          <w:color w:val="auto"/>
          <w:spacing w:val="0"/>
          <w:kern w:val="2"/>
          <w:sz w:val="24"/>
          <w:szCs w:val="24"/>
          <w:lang w:val="en-US" w:eastAsia="zh-CN" w:bidi="ar-SA"/>
        </w:rPr>
      </w:pPr>
      <w:r>
        <w:rPr>
          <w:rFonts w:hint="default" w:ascii="Times New Roman" w:hAnsi="Times New Roman" w:eastAsia="仿宋" w:cs="Times New Roman"/>
          <w:b w:val="0"/>
          <w:bCs/>
          <w:color w:val="auto"/>
          <w:spacing w:val="0"/>
          <w:kern w:val="2"/>
          <w:sz w:val="24"/>
          <w:szCs w:val="24"/>
          <w:lang w:val="en-US" w:eastAsia="zh-CN" w:bidi="ar-SA"/>
        </w:rPr>
        <w:t>项目前期已办理环评审批手续，</w:t>
      </w:r>
      <w:r>
        <w:rPr>
          <w:rFonts w:hint="eastAsia" w:ascii="Times New Roman" w:hAnsi="Times New Roman" w:eastAsia="仿宋" w:cs="Times New Roman"/>
          <w:b w:val="0"/>
          <w:bCs/>
          <w:color w:val="auto"/>
          <w:spacing w:val="0"/>
          <w:kern w:val="2"/>
          <w:sz w:val="24"/>
          <w:szCs w:val="24"/>
          <w:lang w:val="en-US" w:eastAsia="zh-CN" w:bidi="ar-SA"/>
        </w:rPr>
        <w:t>2019年7月由江苏苏辰勘察设计研究院有限公司编写《安徽常宇门窗有限公司年产7.5万m</w:t>
      </w:r>
      <w:r>
        <w:rPr>
          <w:rFonts w:hint="eastAsia" w:ascii="Times New Roman" w:hAnsi="Times New Roman" w:eastAsia="仿宋" w:cs="Times New Roman"/>
          <w:b w:val="0"/>
          <w:bCs/>
          <w:color w:val="auto"/>
          <w:spacing w:val="0"/>
          <w:kern w:val="2"/>
          <w:sz w:val="24"/>
          <w:szCs w:val="24"/>
          <w:vertAlign w:val="superscript"/>
          <w:lang w:val="en-US" w:eastAsia="zh-CN" w:bidi="ar-SA"/>
        </w:rPr>
        <w:t>2</w:t>
      </w:r>
      <w:r>
        <w:rPr>
          <w:rFonts w:hint="eastAsia" w:ascii="Times New Roman" w:hAnsi="Times New Roman" w:eastAsia="仿宋" w:cs="Times New Roman"/>
          <w:b w:val="0"/>
          <w:bCs/>
          <w:color w:val="auto"/>
          <w:spacing w:val="0"/>
          <w:kern w:val="2"/>
          <w:sz w:val="24"/>
          <w:szCs w:val="24"/>
          <w:lang w:val="en-US" w:eastAsia="zh-CN" w:bidi="ar-SA"/>
        </w:rPr>
        <w:t>铝合金门窗加工生产项目环境影响报告表》，2019年8月20日取得批复（肥环建审字[2019] 128号）</w:t>
      </w:r>
      <w:r>
        <w:rPr>
          <w:rFonts w:hint="default" w:ascii="Times New Roman" w:hAnsi="Times New Roman" w:eastAsia="仿宋" w:cs="Times New Roman"/>
          <w:b w:val="0"/>
          <w:bCs/>
          <w:color w:val="auto"/>
          <w:spacing w:val="0"/>
          <w:kern w:val="2"/>
          <w:sz w:val="24"/>
          <w:szCs w:val="24"/>
          <w:lang w:val="en-US" w:eastAsia="zh-CN" w:bidi="ar-SA"/>
        </w:rPr>
        <w:t>。项目于201</w:t>
      </w:r>
      <w:r>
        <w:rPr>
          <w:rFonts w:hint="eastAsia" w:eastAsia="仿宋" w:cs="Times New Roman"/>
          <w:b w:val="0"/>
          <w:bCs/>
          <w:color w:val="auto"/>
          <w:spacing w:val="0"/>
          <w:kern w:val="2"/>
          <w:sz w:val="24"/>
          <w:szCs w:val="24"/>
          <w:lang w:val="en-US" w:eastAsia="zh-CN" w:bidi="ar-SA"/>
        </w:rPr>
        <w:t>9</w:t>
      </w:r>
      <w:r>
        <w:rPr>
          <w:rFonts w:hint="default" w:ascii="Times New Roman" w:hAnsi="Times New Roman" w:eastAsia="仿宋" w:cs="Times New Roman"/>
          <w:b w:val="0"/>
          <w:bCs/>
          <w:color w:val="auto"/>
          <w:spacing w:val="0"/>
          <w:kern w:val="2"/>
          <w:sz w:val="24"/>
          <w:szCs w:val="24"/>
          <w:lang w:val="en-US" w:eastAsia="zh-CN" w:bidi="ar-SA"/>
        </w:rPr>
        <w:t>年</w:t>
      </w:r>
      <w:r>
        <w:rPr>
          <w:rFonts w:hint="eastAsia" w:ascii="Times New Roman" w:hAnsi="Times New Roman" w:eastAsia="仿宋" w:cs="Times New Roman"/>
          <w:b w:val="0"/>
          <w:bCs/>
          <w:color w:val="auto"/>
          <w:spacing w:val="0"/>
          <w:kern w:val="2"/>
          <w:sz w:val="24"/>
          <w:szCs w:val="24"/>
          <w:lang w:val="en-US" w:eastAsia="zh-CN" w:bidi="ar-SA"/>
        </w:rPr>
        <w:t>1</w:t>
      </w:r>
      <w:r>
        <w:rPr>
          <w:rFonts w:hint="eastAsia" w:eastAsia="仿宋" w:cs="Times New Roman"/>
          <w:b w:val="0"/>
          <w:bCs/>
          <w:color w:val="auto"/>
          <w:spacing w:val="0"/>
          <w:kern w:val="2"/>
          <w:sz w:val="24"/>
          <w:szCs w:val="24"/>
          <w:lang w:val="en-US" w:eastAsia="zh-CN" w:bidi="ar-SA"/>
        </w:rPr>
        <w:t>0</w:t>
      </w:r>
      <w:r>
        <w:rPr>
          <w:rFonts w:hint="default" w:ascii="Times New Roman" w:hAnsi="Times New Roman" w:eastAsia="仿宋" w:cs="Times New Roman"/>
          <w:b w:val="0"/>
          <w:bCs/>
          <w:color w:val="auto"/>
          <w:spacing w:val="0"/>
          <w:kern w:val="2"/>
          <w:sz w:val="24"/>
          <w:szCs w:val="24"/>
          <w:lang w:val="en-US" w:eastAsia="zh-CN" w:bidi="ar-SA"/>
        </w:rPr>
        <w:t>月开工建设，20</w:t>
      </w:r>
      <w:r>
        <w:rPr>
          <w:rFonts w:hint="eastAsia" w:ascii="Times New Roman" w:hAnsi="Times New Roman" w:eastAsia="仿宋" w:cs="Times New Roman"/>
          <w:b w:val="0"/>
          <w:bCs/>
          <w:color w:val="auto"/>
          <w:spacing w:val="0"/>
          <w:kern w:val="2"/>
          <w:sz w:val="24"/>
          <w:szCs w:val="24"/>
          <w:lang w:val="en-US" w:eastAsia="zh-CN" w:bidi="ar-SA"/>
        </w:rPr>
        <w:t>20</w:t>
      </w:r>
      <w:r>
        <w:rPr>
          <w:rFonts w:hint="default" w:ascii="Times New Roman" w:hAnsi="Times New Roman" w:eastAsia="仿宋" w:cs="Times New Roman"/>
          <w:b w:val="0"/>
          <w:bCs/>
          <w:color w:val="auto"/>
          <w:spacing w:val="0"/>
          <w:kern w:val="2"/>
          <w:sz w:val="24"/>
          <w:szCs w:val="24"/>
          <w:lang w:val="en-US" w:eastAsia="zh-CN" w:bidi="ar-SA"/>
        </w:rPr>
        <w:t>年</w:t>
      </w:r>
      <w:r>
        <w:rPr>
          <w:rFonts w:hint="eastAsia" w:eastAsia="仿宋" w:cs="Times New Roman"/>
          <w:b w:val="0"/>
          <w:bCs/>
          <w:color w:val="auto"/>
          <w:spacing w:val="0"/>
          <w:kern w:val="2"/>
          <w:sz w:val="24"/>
          <w:szCs w:val="24"/>
          <w:lang w:val="en-US" w:eastAsia="zh-CN" w:bidi="ar-SA"/>
        </w:rPr>
        <w:t>3</w:t>
      </w:r>
      <w:r>
        <w:rPr>
          <w:rFonts w:hint="default" w:ascii="Times New Roman" w:hAnsi="Times New Roman" w:eastAsia="仿宋" w:cs="Times New Roman"/>
          <w:b w:val="0"/>
          <w:bCs/>
          <w:color w:val="auto"/>
          <w:spacing w:val="0"/>
          <w:kern w:val="2"/>
          <w:sz w:val="24"/>
          <w:szCs w:val="24"/>
          <w:lang w:val="en-US" w:eastAsia="zh-CN" w:bidi="ar-SA"/>
        </w:rPr>
        <w:t>月建成并投入运行。</w:t>
      </w:r>
    </w:p>
    <w:p>
      <w:pPr>
        <w:keepNext w:val="0"/>
        <w:keepLines w:val="0"/>
        <w:pageBreakBefore w:val="0"/>
        <w:widowControl w:val="0"/>
        <w:kinsoku/>
        <w:wordWrap/>
        <w:overflowPunct/>
        <w:topLinePunct w:val="0"/>
        <w:autoSpaceDE/>
        <w:autoSpaceDN/>
        <w:bidi w:val="0"/>
        <w:spacing w:line="400" w:lineRule="exact"/>
        <w:ind w:firstLine="470" w:firstLineChars="196"/>
        <w:textAlignment w:val="auto"/>
        <w:rPr>
          <w:rFonts w:hint="default" w:ascii="Times New Roman" w:hAnsi="Times New Roman" w:eastAsia="仿宋" w:cs="Times New Roman"/>
          <w:color w:val="000000"/>
          <w:sz w:val="24"/>
          <w:lang w:val="en-US" w:eastAsia="zh-CN"/>
        </w:rPr>
      </w:pPr>
      <w:r>
        <w:rPr>
          <w:rFonts w:hint="default" w:ascii="Times New Roman" w:hAnsi="Times New Roman" w:eastAsia="仿宋" w:cs="Times New Roman"/>
          <w:color w:val="000000"/>
          <w:sz w:val="24"/>
          <w:lang w:val="en-US" w:eastAsia="zh-CN"/>
        </w:rPr>
        <w:t>（三）验收范围</w:t>
      </w:r>
    </w:p>
    <w:p>
      <w:pPr>
        <w:keepNext w:val="0"/>
        <w:keepLines w:val="0"/>
        <w:pageBreakBefore w:val="0"/>
        <w:widowControl w:val="0"/>
        <w:kinsoku/>
        <w:wordWrap/>
        <w:overflowPunct/>
        <w:topLinePunct w:val="0"/>
        <w:autoSpaceDE/>
        <w:autoSpaceDN/>
        <w:bidi w:val="0"/>
        <w:spacing w:line="400" w:lineRule="exact"/>
        <w:ind w:firstLine="470" w:firstLineChars="196"/>
        <w:textAlignment w:val="auto"/>
        <w:rPr>
          <w:rFonts w:hint="default" w:ascii="Times New Roman" w:hAnsi="Times New Roman" w:eastAsia="仿宋" w:cs="Times New Roman"/>
          <w:color w:val="000000"/>
          <w:sz w:val="24"/>
          <w:lang w:val="en-US" w:eastAsia="zh-CN"/>
        </w:rPr>
      </w:pPr>
      <w:r>
        <w:rPr>
          <w:rFonts w:hint="eastAsia" w:ascii="Times New Roman" w:hAnsi="Times New Roman" w:eastAsia="仿宋" w:cs="Times New Roman"/>
          <w:b w:val="0"/>
          <w:bCs/>
          <w:color w:val="auto"/>
          <w:spacing w:val="0"/>
          <w:kern w:val="2"/>
          <w:sz w:val="24"/>
          <w:szCs w:val="24"/>
          <w:lang w:val="en-US" w:eastAsia="zh-CN" w:bidi="ar-SA"/>
        </w:rPr>
        <w:t>安徽常宇门窗有限公司年产7.5万m</w:t>
      </w:r>
      <w:r>
        <w:rPr>
          <w:rFonts w:hint="eastAsia" w:ascii="Times New Roman" w:hAnsi="Times New Roman" w:eastAsia="仿宋" w:cs="Times New Roman"/>
          <w:b w:val="0"/>
          <w:bCs/>
          <w:color w:val="auto"/>
          <w:spacing w:val="0"/>
          <w:kern w:val="2"/>
          <w:sz w:val="24"/>
          <w:szCs w:val="24"/>
          <w:vertAlign w:val="superscript"/>
          <w:lang w:val="en-US" w:eastAsia="zh-CN" w:bidi="ar-SA"/>
        </w:rPr>
        <w:t>2</w:t>
      </w:r>
      <w:r>
        <w:rPr>
          <w:rFonts w:hint="eastAsia" w:ascii="Times New Roman" w:hAnsi="Times New Roman" w:eastAsia="仿宋" w:cs="Times New Roman"/>
          <w:b w:val="0"/>
          <w:bCs/>
          <w:color w:val="auto"/>
          <w:spacing w:val="0"/>
          <w:kern w:val="2"/>
          <w:sz w:val="24"/>
          <w:szCs w:val="24"/>
          <w:lang w:val="en-US" w:eastAsia="zh-CN" w:bidi="ar-SA"/>
        </w:rPr>
        <w:t>铝合金门窗加工生产项目</w:t>
      </w:r>
      <w:r>
        <w:rPr>
          <w:rFonts w:hint="eastAsia" w:ascii="Times New Roman" w:hAnsi="Times New Roman" w:eastAsia="仿宋" w:cs="Times New Roman"/>
          <w:color w:val="000000"/>
          <w:sz w:val="24"/>
          <w:lang w:val="en-US" w:eastAsia="zh-CN"/>
        </w:rPr>
        <w:t>整体验收</w:t>
      </w:r>
      <w:r>
        <w:rPr>
          <w:rFonts w:hint="default" w:ascii="Times New Roman" w:hAnsi="Times New Roman" w:eastAsia="仿宋" w:cs="Times New Roman"/>
          <w:color w:val="000000"/>
          <w:sz w:val="24"/>
          <w:lang w:val="en-US" w:eastAsia="zh-CN"/>
        </w:rPr>
        <w:t>。</w:t>
      </w:r>
    </w:p>
    <w:p>
      <w:pPr>
        <w:keepNext w:val="0"/>
        <w:keepLines w:val="0"/>
        <w:pageBreakBefore w:val="0"/>
        <w:widowControl w:val="0"/>
        <w:numPr>
          <w:ilvl w:val="0"/>
          <w:numId w:val="4"/>
        </w:numPr>
        <w:kinsoku/>
        <w:wordWrap/>
        <w:overflowPunct/>
        <w:topLinePunct w:val="0"/>
        <w:autoSpaceDE/>
        <w:autoSpaceDN/>
        <w:bidi w:val="0"/>
        <w:spacing w:line="400" w:lineRule="exact"/>
        <w:ind w:right="0" w:rightChars="0"/>
        <w:textAlignment w:val="auto"/>
        <w:rPr>
          <w:rFonts w:hint="default" w:ascii="Times New Roman" w:hAnsi="Times New Roman" w:eastAsia="仿宋" w:cs="Times New Roman"/>
          <w:b/>
          <w:bCs w:val="0"/>
          <w:color w:val="auto"/>
          <w:spacing w:val="0"/>
          <w:kern w:val="2"/>
          <w:sz w:val="24"/>
          <w:szCs w:val="24"/>
          <w:lang w:val="en-US" w:eastAsia="zh-CN" w:bidi="ar-SA"/>
        </w:rPr>
      </w:pPr>
      <w:r>
        <w:rPr>
          <w:rFonts w:hint="default" w:ascii="Times New Roman" w:hAnsi="Times New Roman" w:eastAsia="仿宋" w:cs="Times New Roman"/>
          <w:b/>
          <w:bCs w:val="0"/>
          <w:color w:val="auto"/>
          <w:spacing w:val="0"/>
          <w:kern w:val="2"/>
          <w:sz w:val="24"/>
          <w:szCs w:val="24"/>
          <w:lang w:val="en-US" w:eastAsia="zh-CN" w:bidi="ar-SA"/>
        </w:rPr>
        <w:t>工程变动情况</w:t>
      </w:r>
    </w:p>
    <w:p>
      <w:pPr>
        <w:keepNext w:val="0"/>
        <w:keepLines w:val="0"/>
        <w:pageBreakBefore w:val="0"/>
        <w:tabs>
          <w:tab w:val="left" w:pos="6720"/>
        </w:tabs>
        <w:kinsoku/>
        <w:wordWrap/>
        <w:overflowPunct/>
        <w:topLinePunct w:val="0"/>
        <w:autoSpaceDE/>
        <w:autoSpaceDN/>
        <w:bidi w:val="0"/>
        <w:spacing w:line="400" w:lineRule="exact"/>
        <w:ind w:firstLine="487"/>
        <w:textAlignment w:val="auto"/>
        <w:rPr>
          <w:rFonts w:hint="eastAsia" w:ascii="Times New Roman" w:hAnsi="Times New Roman" w:eastAsia="仿宋" w:cs="Times New Roman"/>
          <w:b w:val="0"/>
          <w:bCs/>
          <w:color w:val="auto"/>
          <w:spacing w:val="0"/>
          <w:kern w:val="2"/>
          <w:sz w:val="24"/>
          <w:szCs w:val="24"/>
          <w:lang w:val="en-US" w:eastAsia="zh-CN" w:bidi="ar-SA"/>
        </w:rPr>
      </w:pPr>
      <w:r>
        <w:rPr>
          <w:rFonts w:hint="eastAsia" w:ascii="Times New Roman" w:hAnsi="Times New Roman" w:eastAsia="仿宋" w:cs="Times New Roman"/>
          <w:b w:val="0"/>
          <w:bCs/>
          <w:color w:val="auto"/>
          <w:spacing w:val="0"/>
          <w:kern w:val="2"/>
          <w:sz w:val="24"/>
          <w:szCs w:val="24"/>
          <w:lang w:val="en-US" w:eastAsia="zh-CN" w:bidi="ar-SA"/>
        </w:rPr>
        <w:t>环评中设计，打胶、晾干工序产生的非甲烷总烃，经活性炭+UV光解装置处理达标后，15m高排气筒高空排放，实际未建设，打胶、晾干工序外协。</w:t>
      </w:r>
    </w:p>
    <w:p>
      <w:pPr>
        <w:keepNext w:val="0"/>
        <w:keepLines w:val="0"/>
        <w:pageBreakBefore w:val="0"/>
        <w:tabs>
          <w:tab w:val="left" w:pos="6720"/>
        </w:tabs>
        <w:kinsoku/>
        <w:wordWrap/>
        <w:overflowPunct/>
        <w:topLinePunct w:val="0"/>
        <w:autoSpaceDE/>
        <w:autoSpaceDN/>
        <w:bidi w:val="0"/>
        <w:spacing w:line="400" w:lineRule="exact"/>
        <w:ind w:firstLine="487"/>
        <w:textAlignment w:val="auto"/>
        <w:rPr>
          <w:rFonts w:hint="eastAsia" w:ascii="Times New Roman" w:hAnsi="Times New Roman" w:eastAsia="仿宋" w:cs="Times New Roman"/>
          <w:b w:val="0"/>
          <w:bCs/>
          <w:color w:val="auto"/>
          <w:spacing w:val="0"/>
          <w:kern w:val="2"/>
          <w:sz w:val="24"/>
          <w:szCs w:val="24"/>
          <w:lang w:val="en-US" w:eastAsia="zh-CN" w:bidi="ar-SA"/>
        </w:rPr>
      </w:pPr>
      <w:r>
        <w:rPr>
          <w:rFonts w:hint="eastAsia" w:ascii="Times New Roman" w:hAnsi="Times New Roman" w:eastAsia="仿宋" w:cs="Times New Roman"/>
          <w:b w:val="0"/>
          <w:bCs/>
          <w:color w:val="auto"/>
          <w:spacing w:val="0"/>
          <w:kern w:val="2"/>
          <w:sz w:val="24"/>
          <w:szCs w:val="24"/>
          <w:lang w:val="en-US" w:eastAsia="zh-CN" w:bidi="ar-SA"/>
        </w:rPr>
        <w:t>建设项目的性质、规模、地点、采用的生产工艺或者防治污染、防止生态破坏的措施未发生重大变化，本项目无重大变动。</w:t>
      </w:r>
    </w:p>
    <w:p>
      <w:pPr>
        <w:keepNext w:val="0"/>
        <w:keepLines w:val="0"/>
        <w:pageBreakBefore w:val="0"/>
        <w:widowControl w:val="0"/>
        <w:kinsoku/>
        <w:wordWrap/>
        <w:overflowPunct/>
        <w:topLinePunct w:val="0"/>
        <w:autoSpaceDE/>
        <w:autoSpaceDN/>
        <w:bidi w:val="0"/>
        <w:snapToGrid/>
        <w:spacing w:line="400" w:lineRule="exact"/>
        <w:ind w:right="0" w:rightChars="0" w:firstLine="0" w:firstLineChars="0"/>
        <w:textAlignment w:val="auto"/>
        <w:rPr>
          <w:rFonts w:hint="eastAsia" w:ascii="Times New Roman" w:hAnsi="Times New Roman" w:eastAsia="宋体" w:cs="Times New Roman"/>
          <w:color w:val="000000"/>
          <w:sz w:val="24"/>
          <w:lang w:val="en-US" w:eastAsia="zh-CN"/>
        </w:rPr>
      </w:pPr>
      <w:r>
        <w:rPr>
          <w:rFonts w:hint="default" w:ascii="Times New Roman" w:hAnsi="Times New Roman" w:eastAsia="仿宋" w:cs="Times New Roman"/>
          <w:b/>
          <w:bCs w:val="0"/>
          <w:color w:val="auto"/>
          <w:kern w:val="2"/>
          <w:sz w:val="24"/>
          <w:szCs w:val="24"/>
          <w:lang w:eastAsia="zh-CN"/>
        </w:rPr>
        <w:t>三、</w:t>
      </w:r>
      <w:r>
        <w:rPr>
          <w:rFonts w:hint="default" w:ascii="Times New Roman" w:hAnsi="Times New Roman" w:eastAsia="仿宋" w:cs="Times New Roman"/>
          <w:b/>
          <w:bCs w:val="0"/>
          <w:color w:val="auto"/>
          <w:kern w:val="2"/>
          <w:sz w:val="24"/>
          <w:szCs w:val="24"/>
        </w:rPr>
        <w:t>环</w:t>
      </w:r>
      <w:r>
        <w:rPr>
          <w:rFonts w:hint="default" w:ascii="Times New Roman" w:hAnsi="Times New Roman" w:eastAsia="仿宋" w:cs="Times New Roman"/>
          <w:b/>
          <w:bCs w:val="0"/>
          <w:color w:val="auto"/>
          <w:sz w:val="24"/>
          <w:szCs w:val="24"/>
          <w:highlight w:val="none"/>
          <w:lang w:val="en-US" w:eastAsia="zh-CN"/>
        </w:rPr>
        <w:t>境保护设施建设情况</w:t>
      </w:r>
      <w:r>
        <w:rPr>
          <w:rFonts w:hint="default" w:ascii="Times New Roman" w:hAnsi="Times New Roman" w:eastAsia="仿宋" w:cs="Times New Roman"/>
          <w:b/>
          <w:bCs w:val="0"/>
          <w:color w:val="auto"/>
          <w:sz w:val="24"/>
          <w:szCs w:val="24"/>
          <w:highlight w:val="none"/>
          <w:lang w:val="en-US" w:eastAsia="zh-CN"/>
        </w:rPr>
        <w:br w:type="textWrapping"/>
      </w:r>
      <w:r>
        <w:rPr>
          <w:rFonts w:hint="default" w:ascii="Times New Roman" w:hAnsi="Times New Roman" w:eastAsia="仿宋" w:cs="Times New Roman"/>
          <w:color w:val="auto"/>
          <w:sz w:val="24"/>
          <w:szCs w:val="24"/>
          <w:highlight w:val="none"/>
          <w:lang w:val="en-US" w:eastAsia="zh-CN"/>
        </w:rPr>
        <w:t xml:space="preserve">    1、废</w:t>
      </w:r>
      <w:r>
        <w:rPr>
          <w:rFonts w:hint="default" w:ascii="Times New Roman" w:hAnsi="Times New Roman" w:eastAsia="仿宋" w:cs="Times New Roman"/>
          <w:color w:val="auto"/>
          <w:sz w:val="24"/>
          <w:szCs w:val="24"/>
          <w:highlight w:val="none"/>
          <w:lang w:val="zh-CN" w:eastAsia="zh-CN"/>
        </w:rPr>
        <w:t>水：</w:t>
      </w:r>
      <w:r>
        <w:rPr>
          <w:rFonts w:hint="default" w:ascii="Times New Roman" w:hAnsi="Times New Roman" w:eastAsia="仿宋" w:cs="Times New Roman"/>
          <w:color w:val="auto"/>
          <w:sz w:val="24"/>
          <w:szCs w:val="24"/>
          <w:highlight w:val="none"/>
          <w:lang w:val="en-US" w:eastAsia="zh-CN"/>
        </w:rPr>
        <w:t>项目产生的废水主要为生活污水、保洁废水</w:t>
      </w:r>
      <w:r>
        <w:rPr>
          <w:rFonts w:hint="eastAsia"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生活污水、保洁废水经化粪池处理后，满足西部组团污水处理厂接管标准，未规定的执行《污水综合排放标准》（GB8978-1996）中的三级标准，通过市政污水管网排入西部组团污水处理厂处理后排入派河</w:t>
      </w:r>
      <w:r>
        <w:rPr>
          <w:rFonts w:hint="eastAsia" w:ascii="Times New Roman" w:hAnsi="Times New Roman" w:eastAsia="仿宋"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sz w:val="24"/>
          <w:szCs w:val="24"/>
          <w:highlight w:val="none"/>
          <w:lang w:val="zh-CN" w:eastAsia="zh-CN"/>
        </w:rPr>
        <w:t>噪声：</w:t>
      </w:r>
      <w:r>
        <w:rPr>
          <w:rFonts w:hint="default" w:ascii="Times New Roman" w:hAnsi="Times New Roman" w:eastAsia="仿宋" w:cs="Times New Roman"/>
          <w:sz w:val="24"/>
          <w:szCs w:val="24"/>
          <w:highlight w:val="none"/>
          <w:lang w:val="en-US" w:eastAsia="zh-CN"/>
        </w:rPr>
        <w:t>项目噪声主要来源于各生产车间的各类机加工设备等设备运行噪声。通过设备加装消音器、基础减振处理、厂房隔声等措施降低运营期对周围声环境的影响。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rPr>
          <w:rFonts w:hint="default" w:ascii="Times New Roman" w:hAnsi="Times New Roman" w:eastAsia="仿宋" w:cs="Times New Roman"/>
          <w:sz w:val="24"/>
          <w:szCs w:val="24"/>
          <w:highlight w:val="none"/>
          <w:lang w:val="en-US" w:eastAsia="zh-CN"/>
        </w:rPr>
      </w:pPr>
      <w:r>
        <w:rPr>
          <w:rFonts w:hint="eastAsia" w:eastAsia="仿宋" w:cs="Times New Roman"/>
          <w:sz w:val="24"/>
          <w:szCs w:val="24"/>
          <w:highlight w:val="none"/>
          <w:lang w:val="en-US" w:eastAsia="zh-CN"/>
        </w:rPr>
        <w:t>3</w:t>
      </w:r>
      <w:r>
        <w:rPr>
          <w:rFonts w:hint="default" w:ascii="Times New Roman" w:hAnsi="Times New Roman" w:eastAsia="仿宋" w:cs="Times New Roman"/>
          <w:sz w:val="24"/>
          <w:szCs w:val="24"/>
          <w:highlight w:val="none"/>
          <w:lang w:val="zh-CN" w:eastAsia="zh-CN"/>
        </w:rPr>
        <w:t>、固体废物：</w:t>
      </w:r>
      <w:r>
        <w:rPr>
          <w:rFonts w:hint="eastAsia" w:ascii="Times New Roman" w:hAnsi="Times New Roman" w:eastAsia="仿宋" w:cs="Times New Roman"/>
          <w:sz w:val="24"/>
          <w:szCs w:val="24"/>
          <w:highlight w:val="none"/>
          <w:lang w:val="en-US" w:eastAsia="zh-CN"/>
        </w:rPr>
        <w:t>本项目产生的固体废弃物主要是生活垃圾、废边角料。生活垃圾和包装废料由环卫部门统一收集后处理；废边角料定期外售废品收购站。</w:t>
      </w:r>
    </w:p>
    <w:p>
      <w:pPr>
        <w:keepNext w:val="0"/>
        <w:keepLines w:val="0"/>
        <w:pageBreakBefore w:val="0"/>
        <w:widowControl w:val="0"/>
        <w:tabs>
          <w:tab w:val="left" w:pos="5560"/>
        </w:tabs>
        <w:kinsoku/>
        <w:wordWrap/>
        <w:overflowPunct/>
        <w:topLinePunct w:val="0"/>
        <w:autoSpaceDE/>
        <w:autoSpaceDN/>
        <w:bidi w:val="0"/>
        <w:adjustRightInd/>
        <w:snapToGrid/>
        <w:spacing w:line="400" w:lineRule="exact"/>
        <w:ind w:firstLine="0" w:firstLineChars="0"/>
        <w:textAlignment w:val="auto"/>
        <w:rPr>
          <w:rFonts w:hint="default" w:ascii="Times New Roman" w:hAnsi="Times New Roman" w:eastAsia="仿宋" w:cs="Times New Roman"/>
          <w:b/>
          <w:bCs w:val="0"/>
          <w:color w:val="333333"/>
          <w:sz w:val="24"/>
          <w:szCs w:val="24"/>
        </w:rPr>
      </w:pPr>
      <w:r>
        <w:rPr>
          <w:rFonts w:hint="default" w:ascii="Times New Roman" w:hAnsi="Times New Roman" w:eastAsia="仿宋" w:cs="Times New Roman"/>
          <w:b/>
          <w:bCs w:val="0"/>
          <w:sz w:val="24"/>
          <w:szCs w:val="24"/>
        </w:rPr>
        <w:t>四、环境保护设施调试效果</w:t>
      </w:r>
    </w:p>
    <w:p>
      <w:pPr>
        <w:pStyle w:val="6"/>
        <w:keepNext w:val="0"/>
        <w:keepLines w:val="0"/>
        <w:pageBreakBefore w:val="0"/>
        <w:widowControl w:val="0"/>
        <w:kinsoku/>
        <w:wordWrap/>
        <w:overflowPunct/>
        <w:topLinePunct w:val="0"/>
        <w:autoSpaceDE/>
        <w:autoSpaceDN/>
        <w:bidi w:val="0"/>
        <w:adjustRightInd/>
        <w:snapToGrid/>
        <w:spacing w:after="0" w:line="400" w:lineRule="exact"/>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根据</w:t>
      </w:r>
      <w:r>
        <w:rPr>
          <w:rFonts w:hint="eastAsia" w:ascii="Times New Roman" w:hAnsi="Times New Roman" w:eastAsia="仿宋" w:cs="Times New Roman"/>
          <w:b w:val="0"/>
          <w:bCs/>
          <w:color w:val="auto"/>
          <w:spacing w:val="0"/>
          <w:kern w:val="2"/>
          <w:sz w:val="24"/>
          <w:szCs w:val="24"/>
          <w:lang w:val="en-US" w:eastAsia="zh-CN" w:bidi="ar-SA"/>
        </w:rPr>
        <w:t>安徽常宇门窗有限公司</w:t>
      </w:r>
      <w:r>
        <w:rPr>
          <w:rFonts w:hint="default" w:ascii="Times New Roman" w:hAnsi="Times New Roman" w:eastAsia="仿宋" w:cs="Times New Roman"/>
          <w:color w:val="auto"/>
          <w:kern w:val="2"/>
          <w:sz w:val="24"/>
          <w:szCs w:val="24"/>
          <w:lang w:val="en-US" w:eastAsia="zh-CN" w:bidi="ar-SA"/>
        </w:rPr>
        <w:t>编制的建设项目竣工环保验收监测报告表，验收监测结果表明：</w:t>
      </w:r>
    </w:p>
    <w:p>
      <w:pPr>
        <w:pStyle w:val="6"/>
        <w:keepNext w:val="0"/>
        <w:keepLines w:val="0"/>
        <w:pageBreakBefore w:val="0"/>
        <w:numPr>
          <w:ilvl w:val="0"/>
          <w:numId w:val="0"/>
        </w:numPr>
        <w:kinsoku/>
        <w:wordWrap/>
        <w:overflowPunct/>
        <w:topLinePunct w:val="0"/>
        <w:autoSpaceDE/>
        <w:autoSpaceDN/>
        <w:bidi w:val="0"/>
        <w:snapToGrid/>
        <w:spacing w:after="0" w:line="400" w:lineRule="exact"/>
        <w:ind w:firstLine="480" w:firstLineChars="200"/>
        <w:jc w:val="both"/>
        <w:textAlignment w:val="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1、废水：</w:t>
      </w:r>
      <w:r>
        <w:rPr>
          <w:rFonts w:hint="default" w:ascii="Times New Roman" w:hAnsi="Times New Roman" w:eastAsia="仿宋" w:cs="Times New Roman"/>
          <w:color w:val="000000"/>
          <w:sz w:val="24"/>
        </w:rPr>
        <w:t>厂区总排口废水污染物中pH范围、SS、COD、BOD</w:t>
      </w:r>
      <w:r>
        <w:rPr>
          <w:rFonts w:hint="default" w:ascii="Times New Roman" w:hAnsi="Times New Roman" w:eastAsia="仿宋" w:cs="Times New Roman"/>
          <w:color w:val="000000"/>
          <w:sz w:val="24"/>
          <w:vertAlign w:val="subscript"/>
        </w:rPr>
        <w:t>5</w:t>
      </w:r>
      <w:r>
        <w:rPr>
          <w:rFonts w:hint="eastAsia" w:ascii="Times New Roman" w:hAnsi="Times New Roman" w:eastAsia="仿宋" w:cs="Times New Roman"/>
          <w:color w:val="000000"/>
          <w:sz w:val="24"/>
          <w:vertAlign w:val="baseline"/>
          <w:lang w:eastAsia="zh-CN"/>
        </w:rPr>
        <w:t>、</w:t>
      </w:r>
      <w:r>
        <w:rPr>
          <w:rFonts w:hint="default" w:ascii="Times New Roman" w:hAnsi="Times New Roman" w:eastAsia="仿宋" w:cs="Times New Roman"/>
          <w:color w:val="000000"/>
          <w:sz w:val="24"/>
        </w:rPr>
        <w:t>氨氮监测值满足</w:t>
      </w:r>
      <w:r>
        <w:rPr>
          <w:rFonts w:hint="eastAsia" w:eastAsia="仿宋" w:cs="Times New Roman"/>
          <w:color w:val="000000"/>
          <w:sz w:val="24"/>
          <w:lang w:val="en-US" w:eastAsia="zh-CN"/>
        </w:rPr>
        <w:t>西部组团</w:t>
      </w:r>
      <w:r>
        <w:rPr>
          <w:rFonts w:hint="default" w:ascii="Times New Roman" w:hAnsi="Times New Roman" w:eastAsia="仿宋" w:cs="Times New Roman"/>
          <w:color w:val="000000"/>
          <w:sz w:val="24"/>
        </w:rPr>
        <w:t>污水处理厂接管标准要求</w:t>
      </w:r>
      <w:r>
        <w:rPr>
          <w:rFonts w:hint="eastAsia" w:eastAsia="仿宋" w:cs="Times New Roman"/>
          <w:color w:val="000000"/>
          <w:sz w:val="24"/>
          <w:lang w:val="en-US" w:eastAsia="zh-CN"/>
        </w:rPr>
        <w:t>和</w:t>
      </w:r>
      <w:r>
        <w:rPr>
          <w:rFonts w:hint="default" w:ascii="Times New Roman" w:hAnsi="Times New Roman" w:eastAsia="仿宋" w:cs="Times New Roman"/>
          <w:color w:val="000000"/>
          <w:sz w:val="24"/>
        </w:rPr>
        <w:t>《污水综合排放标准》（GB8978-1996）三级标准限值。</w:t>
      </w:r>
    </w:p>
    <w:p>
      <w:pPr>
        <w:keepNext w:val="0"/>
        <w:keepLines w:val="0"/>
        <w:pageBreakBefore w:val="0"/>
        <w:kinsoku/>
        <w:wordWrap/>
        <w:overflowPunct/>
        <w:topLinePunct w:val="0"/>
        <w:autoSpaceDE/>
        <w:autoSpaceDN/>
        <w:bidi w:val="0"/>
        <w:spacing w:line="400" w:lineRule="exact"/>
        <w:ind w:firstLine="480" w:firstLineChars="200"/>
        <w:textAlignment w:val="auto"/>
        <w:rPr>
          <w:rFonts w:hint="default" w:ascii="Times New Roman" w:hAnsi="Times New Roman" w:eastAsia="仿宋" w:cs="Times New Roman"/>
          <w:sz w:val="24"/>
          <w:szCs w:val="24"/>
          <w:lang w:eastAsia="zh-CN"/>
        </w:rPr>
      </w:pPr>
      <w:r>
        <w:rPr>
          <w:rFonts w:hint="default" w:ascii="Times New Roman" w:hAnsi="Times New Roman" w:eastAsia="仿宋" w:cs="Times New Roman"/>
          <w:color w:val="auto"/>
          <w:kern w:val="2"/>
          <w:sz w:val="24"/>
          <w:szCs w:val="24"/>
          <w:lang w:val="en-US" w:eastAsia="zh-CN" w:bidi="ar-SA"/>
        </w:rPr>
        <w:t>2、</w:t>
      </w:r>
      <w:r>
        <w:rPr>
          <w:rFonts w:hint="default" w:ascii="Times New Roman" w:hAnsi="Times New Roman" w:eastAsia="仿宋" w:cs="Times New Roman"/>
          <w:b w:val="0"/>
          <w:bCs/>
          <w:color w:val="auto"/>
          <w:spacing w:val="0"/>
          <w:kern w:val="2"/>
          <w:sz w:val="24"/>
          <w:szCs w:val="24"/>
          <w:lang w:val="zh-CN" w:eastAsia="zh-CN" w:bidi="ar-SA"/>
        </w:rPr>
        <w:t>噪声：</w:t>
      </w:r>
      <w:r>
        <w:rPr>
          <w:rFonts w:hint="default" w:ascii="Times New Roman" w:hAnsi="Times New Roman" w:eastAsia="仿宋" w:cs="Times New Roman"/>
          <w:sz w:val="24"/>
        </w:rPr>
        <w:t>验收监测结果表明：验收监测期间，厂界昼间噪声均满足</w:t>
      </w:r>
      <w:r>
        <w:rPr>
          <w:rFonts w:hint="default" w:ascii="Times New Roman" w:hAnsi="Times New Roman" w:eastAsia="仿宋" w:cs="Times New Roman"/>
          <w:sz w:val="24"/>
          <w:szCs w:val="24"/>
        </w:rPr>
        <w:t>《工业企业厂界环境噪声排放标准》(GB12348-2008)中</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rPr>
        <w:t>类功能区标准</w:t>
      </w:r>
      <w:r>
        <w:rPr>
          <w:rFonts w:hint="default" w:ascii="Times New Roman" w:hAnsi="Times New Roman" w:eastAsia="仿宋"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rPr>
          <w:rFonts w:hint="default" w:ascii="Times New Roman" w:hAnsi="Times New Roman" w:eastAsia="仿宋" w:cs="Times New Roman"/>
          <w:color w:val="000000"/>
          <w:sz w:val="24"/>
          <w:szCs w:val="24"/>
          <w:highlight w:val="none"/>
          <w:lang w:val="en-US" w:eastAsia="zh-CN"/>
        </w:rPr>
      </w:pPr>
      <w:r>
        <w:rPr>
          <w:rFonts w:hint="eastAsia" w:eastAsia="仿宋" w:cs="Times New Roman"/>
          <w:b w:val="0"/>
          <w:bCs/>
          <w:color w:val="auto"/>
          <w:spacing w:val="0"/>
          <w:kern w:val="2"/>
          <w:sz w:val="24"/>
          <w:szCs w:val="24"/>
          <w:lang w:val="en-US" w:eastAsia="zh-CN" w:bidi="ar-SA"/>
        </w:rPr>
        <w:t>3</w:t>
      </w:r>
      <w:r>
        <w:rPr>
          <w:rFonts w:hint="default" w:ascii="Times New Roman" w:hAnsi="Times New Roman" w:eastAsia="仿宋" w:cs="Times New Roman"/>
          <w:b w:val="0"/>
          <w:bCs/>
          <w:color w:val="auto"/>
          <w:spacing w:val="0"/>
          <w:kern w:val="2"/>
          <w:sz w:val="24"/>
          <w:szCs w:val="24"/>
          <w:lang w:val="zh-CN" w:eastAsia="zh-CN" w:bidi="ar-SA"/>
        </w:rPr>
        <w:t>、固体废物：</w:t>
      </w:r>
      <w:r>
        <w:rPr>
          <w:rFonts w:hint="eastAsia" w:ascii="Times New Roman" w:hAnsi="Times New Roman" w:eastAsia="仿宋" w:cs="Times New Roman"/>
          <w:sz w:val="24"/>
          <w:szCs w:val="24"/>
          <w:highlight w:val="none"/>
          <w:lang w:val="en-US" w:eastAsia="zh-CN"/>
        </w:rPr>
        <w:t>本项目产生的固体废弃物主要是生活垃圾、废边角料。生活垃圾和包装废料由环卫部门统一收集后处理；废边角料定期外售废品收购站。</w:t>
      </w:r>
    </w:p>
    <w:p>
      <w:pPr>
        <w:keepNext w:val="0"/>
        <w:keepLines w:val="0"/>
        <w:pageBreakBefore w:val="0"/>
        <w:widowControl w:val="0"/>
        <w:kinsoku/>
        <w:wordWrap/>
        <w:overflowPunct/>
        <w:topLinePunct w:val="0"/>
        <w:autoSpaceDE/>
        <w:autoSpaceDN/>
        <w:bidi w:val="0"/>
        <w:adjustRightInd/>
        <w:snapToGrid/>
        <w:spacing w:line="400" w:lineRule="exact"/>
        <w:ind w:right="-275" w:rightChars="-131"/>
        <w:textAlignment w:val="auto"/>
        <w:outlineLvl w:val="0"/>
        <w:rPr>
          <w:rFonts w:hint="default" w:ascii="Times New Roman" w:hAnsi="Times New Roman" w:eastAsia="仿宋" w:cs="Times New Roman"/>
          <w:b/>
          <w:bCs w:val="0"/>
          <w:sz w:val="24"/>
          <w:szCs w:val="24"/>
        </w:rPr>
      </w:pPr>
      <w:r>
        <w:rPr>
          <w:rFonts w:hint="default" w:ascii="Times New Roman" w:hAnsi="Times New Roman" w:eastAsia="仿宋" w:cs="Times New Roman"/>
          <w:b/>
          <w:bCs w:val="0"/>
          <w:sz w:val="24"/>
          <w:szCs w:val="24"/>
        </w:rPr>
        <w:t>五、验收结论</w:t>
      </w:r>
    </w:p>
    <w:p>
      <w:pPr>
        <w:pStyle w:val="14"/>
        <w:keepNext w:val="0"/>
        <w:keepLines w:val="0"/>
        <w:pageBreakBefore w:val="0"/>
        <w:kinsoku/>
        <w:wordWrap/>
        <w:overflowPunct/>
        <w:topLinePunct w:val="0"/>
        <w:autoSpaceDE/>
        <w:autoSpaceDN/>
        <w:bidi w:val="0"/>
        <w:spacing w:before="0" w:beforeAutospacing="0" w:after="0" w:afterAutospacing="0" w:line="400" w:lineRule="exact"/>
        <w:ind w:firstLine="480" w:firstLineChars="200"/>
        <w:jc w:val="both"/>
        <w:textAlignment w:val="auto"/>
        <w:rPr>
          <w:rFonts w:hint="eastAsia" w:ascii="Times New Roman" w:hAnsi="Times New Roman" w:eastAsia="仿宋" w:cs="Times New Roman"/>
          <w:b w:val="0"/>
          <w:bCs w:val="0"/>
          <w:color w:val="auto"/>
          <w:sz w:val="24"/>
          <w:szCs w:val="24"/>
          <w:lang w:eastAsia="zh-CN"/>
        </w:rPr>
      </w:pPr>
      <w:r>
        <w:rPr>
          <w:rFonts w:hint="default" w:ascii="Times New Roman" w:hAnsi="Times New Roman" w:eastAsia="仿宋" w:cs="Times New Roman"/>
          <w:b w:val="0"/>
          <w:bCs/>
          <w:sz w:val="24"/>
          <w:szCs w:val="24"/>
        </w:rPr>
        <w:t>验收组经现场检查并审阅有关资料，经认真讨论，认为</w:t>
      </w:r>
      <w:r>
        <w:rPr>
          <w:rFonts w:hint="eastAsia" w:ascii="Times New Roman" w:hAnsi="Times New Roman" w:eastAsia="仿宋" w:cs="Times New Roman"/>
          <w:b w:val="0"/>
          <w:bCs/>
          <w:color w:val="auto"/>
          <w:spacing w:val="0"/>
          <w:kern w:val="2"/>
          <w:sz w:val="24"/>
          <w:szCs w:val="24"/>
          <w:lang w:val="en-US" w:eastAsia="zh-CN" w:bidi="ar-SA"/>
        </w:rPr>
        <w:t>安徽常宇门窗有限公司年产7.5万m</w:t>
      </w:r>
      <w:r>
        <w:rPr>
          <w:rFonts w:hint="eastAsia" w:ascii="Times New Roman" w:hAnsi="Times New Roman" w:eastAsia="仿宋" w:cs="Times New Roman"/>
          <w:b w:val="0"/>
          <w:bCs/>
          <w:color w:val="auto"/>
          <w:spacing w:val="0"/>
          <w:kern w:val="2"/>
          <w:sz w:val="24"/>
          <w:szCs w:val="24"/>
          <w:vertAlign w:val="superscript"/>
          <w:lang w:val="en-US" w:eastAsia="zh-CN" w:bidi="ar-SA"/>
        </w:rPr>
        <w:t>2</w:t>
      </w:r>
      <w:r>
        <w:rPr>
          <w:rFonts w:hint="eastAsia" w:ascii="Times New Roman" w:hAnsi="Times New Roman" w:eastAsia="仿宋" w:cs="Times New Roman"/>
          <w:b w:val="0"/>
          <w:bCs/>
          <w:color w:val="auto"/>
          <w:spacing w:val="0"/>
          <w:kern w:val="2"/>
          <w:sz w:val="24"/>
          <w:szCs w:val="24"/>
          <w:lang w:val="en-US" w:eastAsia="zh-CN" w:bidi="ar-SA"/>
        </w:rPr>
        <w:t>铝合金门窗加工生产项目</w:t>
      </w:r>
      <w:r>
        <w:rPr>
          <w:rFonts w:hint="default" w:ascii="Times New Roman" w:hAnsi="Times New Roman" w:eastAsia="仿宋" w:cs="Times New Roman"/>
          <w:b w:val="0"/>
          <w:bCs/>
          <w:sz w:val="24"/>
          <w:szCs w:val="24"/>
          <w:lang w:val="en-US" w:eastAsia="zh-CN"/>
        </w:rPr>
        <w:t>环评</w:t>
      </w:r>
      <w:r>
        <w:rPr>
          <w:rFonts w:hint="default" w:ascii="Times New Roman" w:hAnsi="Times New Roman" w:eastAsia="仿宋" w:cs="Times New Roman"/>
          <w:b w:val="0"/>
          <w:bCs/>
          <w:sz w:val="24"/>
          <w:szCs w:val="24"/>
        </w:rPr>
        <w:t>审批手续齐全，主要污染防治设施已建成，均能实现达标排放，具备竣工环保验收条件，通过竣工环保验收。</w:t>
      </w:r>
      <w:r>
        <w:rPr>
          <w:rFonts w:hint="default" w:ascii="Times New Roman" w:hAnsi="Times New Roman" w:eastAsia="仿宋" w:cs="Times New Roman"/>
          <w:b w:val="0"/>
          <w:bCs/>
          <w:sz w:val="24"/>
          <w:szCs w:val="24"/>
        </w:rPr>
        <w:br w:type="textWrapping"/>
      </w:r>
      <w:r>
        <w:rPr>
          <w:rFonts w:hint="default" w:ascii="Times New Roman" w:hAnsi="Times New Roman" w:eastAsia="仿宋" w:cs="Times New Roman"/>
          <w:b/>
          <w:bCs w:val="0"/>
          <w:sz w:val="24"/>
          <w:szCs w:val="24"/>
        </w:rPr>
        <w:t>六、后续要求</w:t>
      </w:r>
      <w:r>
        <w:rPr>
          <w:rFonts w:hint="default" w:ascii="Times New Roman" w:hAnsi="Times New Roman" w:eastAsia="仿宋" w:cs="Times New Roman"/>
          <w:b w:val="0"/>
          <w:bCs/>
          <w:sz w:val="24"/>
          <w:szCs w:val="24"/>
        </w:rPr>
        <w:br w:type="textWrapping"/>
      </w:r>
      <w:r>
        <w:rPr>
          <w:rFonts w:hint="default" w:ascii="Times New Roman" w:hAnsi="Times New Roman" w:eastAsia="仿宋" w:cs="Times New Roman"/>
          <w:b w:val="0"/>
          <w:bCs/>
          <w:sz w:val="24"/>
          <w:szCs w:val="24"/>
        </w:rPr>
        <w:t xml:space="preserve">   </w:t>
      </w:r>
      <w:r>
        <w:rPr>
          <w:rFonts w:hint="default" w:ascii="Times New Roman" w:hAnsi="Times New Roman" w:eastAsia="仿宋" w:cs="Times New Roman"/>
          <w:b w:val="0"/>
          <w:bCs/>
          <w:sz w:val="24"/>
          <w:szCs w:val="24"/>
          <w:lang w:eastAsia="zh-CN"/>
        </w:rPr>
        <w:t xml:space="preserve"> 加强全厂环境管理工作，确定专人负责操作和维护污染治理设施的正常运行，切实保证污染物排放稳定达标，健全运行管理记录。</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right"/>
        <w:textAlignment w:val="auto"/>
        <w:outlineLvl w:val="9"/>
        <w:rPr>
          <w:rFonts w:hint="eastAsia" w:ascii="Times New Roman" w:hAnsi="Times New Roman" w:eastAsia="仿宋"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right"/>
        <w:textAlignment w:val="auto"/>
        <w:outlineLvl w:val="9"/>
        <w:rPr>
          <w:rFonts w:hint="eastAsia" w:ascii="Times New Roman" w:hAnsi="Times New Roman" w:eastAsia="仿宋"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right"/>
        <w:textAlignment w:val="auto"/>
        <w:outlineLvl w:val="9"/>
        <w:rPr>
          <w:rFonts w:hint="eastAsia" w:ascii="Times New Roman" w:hAnsi="Times New Roman" w:eastAsia="仿宋"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right"/>
        <w:textAlignment w:val="auto"/>
        <w:outlineLvl w:val="9"/>
        <w:rPr>
          <w:rFonts w:hint="eastAsia" w:ascii="Times New Roman" w:hAnsi="Times New Roman" w:eastAsia="仿宋" w:cs="Times New Roman"/>
          <w:b w:val="0"/>
          <w:bCs/>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right="0" w:rightChars="0"/>
        <w:jc w:val="right"/>
        <w:textAlignment w:val="auto"/>
        <w:outlineLvl w:val="9"/>
        <w:rPr>
          <w:rFonts w:hint="eastAsia" w:ascii="Times New Roman" w:hAnsi="Times New Roman" w:eastAsia="仿宋" w:cs="Times New Roman"/>
          <w:b w:val="0"/>
          <w:bCs/>
          <w:color w:val="auto"/>
          <w:spacing w:val="0"/>
          <w:kern w:val="2"/>
          <w:sz w:val="24"/>
          <w:szCs w:val="24"/>
          <w:lang w:val="en-US" w:eastAsia="zh-CN" w:bidi="ar-SA"/>
        </w:rPr>
      </w:pPr>
      <w:r>
        <w:rPr>
          <w:rFonts w:hint="eastAsia" w:ascii="Times New Roman" w:hAnsi="Times New Roman" w:eastAsia="仿宋" w:cs="Times New Roman"/>
          <w:b w:val="0"/>
          <w:bCs/>
          <w:color w:val="auto"/>
          <w:spacing w:val="0"/>
          <w:kern w:val="2"/>
          <w:sz w:val="24"/>
          <w:szCs w:val="24"/>
          <w:lang w:val="en-US" w:eastAsia="zh-CN" w:bidi="ar-SA"/>
        </w:rPr>
        <w:t>安徽常宇门窗有限公司</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right"/>
        <w:textAlignment w:val="auto"/>
        <w:outlineLvl w:val="9"/>
        <w:rPr>
          <w:rFonts w:hint="eastAsia" w:ascii="Times New Roman" w:hAnsi="Times New Roman" w:eastAsia="仿宋" w:cs="Times New Roman"/>
          <w:b w:val="0"/>
          <w:bCs/>
          <w:color w:val="0070C0"/>
          <w:sz w:val="24"/>
          <w:szCs w:val="24"/>
          <w:lang w:eastAsia="zh-CN"/>
        </w:rPr>
      </w:pPr>
      <w:r>
        <w:rPr>
          <w:rFonts w:hint="default" w:ascii="Times New Roman" w:hAnsi="Times New Roman" w:eastAsia="仿宋" w:cs="Times New Roman"/>
          <w:b w:val="0"/>
          <w:bCs/>
          <w:sz w:val="24"/>
          <w:szCs w:val="24"/>
        </w:rPr>
        <w:t>20</w:t>
      </w:r>
      <w:r>
        <w:rPr>
          <w:rFonts w:hint="eastAsia" w:ascii="Times New Roman" w:hAnsi="Times New Roman" w:eastAsia="仿宋" w:cs="Times New Roman"/>
          <w:b w:val="0"/>
          <w:bCs/>
          <w:sz w:val="24"/>
          <w:szCs w:val="24"/>
          <w:lang w:val="en-US" w:eastAsia="zh-CN"/>
        </w:rPr>
        <w:t>20</w:t>
      </w:r>
      <w:r>
        <w:rPr>
          <w:rFonts w:hint="default" w:ascii="Times New Roman" w:hAnsi="Times New Roman" w:eastAsia="仿宋" w:cs="Times New Roman"/>
          <w:b w:val="0"/>
          <w:bCs/>
          <w:sz w:val="24"/>
          <w:szCs w:val="24"/>
        </w:rPr>
        <w:t>年</w:t>
      </w:r>
      <w:r>
        <w:rPr>
          <w:rFonts w:hint="eastAsia" w:eastAsia="仿宋" w:cs="Times New Roman"/>
          <w:b w:val="0"/>
          <w:bCs/>
          <w:sz w:val="24"/>
          <w:szCs w:val="24"/>
          <w:lang w:val="en-US" w:eastAsia="zh-CN"/>
        </w:rPr>
        <w:t>8</w:t>
      </w:r>
      <w:r>
        <w:rPr>
          <w:rFonts w:hint="default" w:ascii="Times New Roman" w:hAnsi="Times New Roman" w:eastAsia="仿宋" w:cs="Times New Roman"/>
          <w:b w:val="0"/>
          <w:bCs/>
          <w:sz w:val="24"/>
          <w:szCs w:val="24"/>
        </w:rPr>
        <w:t>月</w:t>
      </w:r>
      <w:r>
        <w:rPr>
          <w:rFonts w:hint="eastAsia" w:eastAsia="仿宋" w:cs="Times New Roman"/>
          <w:b w:val="0"/>
          <w:bCs/>
          <w:sz w:val="24"/>
          <w:szCs w:val="24"/>
          <w:lang w:val="en-US" w:eastAsia="zh-CN"/>
        </w:rPr>
        <w:t>23</w:t>
      </w:r>
      <w:r>
        <w:rPr>
          <w:rFonts w:hint="default" w:ascii="Times New Roman" w:hAnsi="Times New Roman" w:eastAsia="仿宋" w:cs="Times New Roman"/>
          <w:b w:val="0"/>
          <w:bCs/>
          <w:sz w:val="24"/>
          <w:szCs w:val="24"/>
        </w:rPr>
        <w:t>日</w:t>
      </w:r>
    </w:p>
    <w:p>
      <w:pPr>
        <w:jc w:val="center"/>
        <w:rPr>
          <w:rFonts w:hint="default" w:ascii="Times New Roman" w:hAnsi="Times New Roman" w:eastAsia="宋体" w:cs="Times New Roman"/>
          <w:b/>
          <w:spacing w:val="20"/>
          <w:sz w:val="52"/>
          <w:szCs w:val="52"/>
        </w:rPr>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drawing>
          <wp:inline distT="0" distB="0" distL="114300" distR="114300">
            <wp:extent cx="5385435" cy="7561580"/>
            <wp:effectExtent l="0" t="0" r="5715"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5385435" cy="7561580"/>
                    </a:xfrm>
                    <a:prstGeom prst="rect">
                      <a:avLst/>
                    </a:prstGeom>
                    <a:noFill/>
                    <a:ln>
                      <a:noFill/>
                    </a:ln>
                  </pic:spPr>
                </pic:pic>
              </a:graphicData>
            </a:graphic>
          </wp:inline>
        </w:drawing>
      </w: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52"/>
          <w:szCs w:val="52"/>
        </w:rPr>
        <w:t>第三部分</w:t>
      </w: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p>
      <w:pPr>
        <w:jc w:val="center"/>
        <w:rPr>
          <w:rFonts w:hint="default" w:ascii="Times New Roman" w:hAnsi="Times New Roman" w:eastAsia="宋体" w:cs="Times New Roman"/>
          <w:b/>
          <w:spacing w:val="20"/>
          <w:sz w:val="72"/>
          <w:szCs w:val="72"/>
        </w:rPr>
      </w:pPr>
    </w:p>
    <w:tbl>
      <w:tblPr>
        <w:tblStyle w:val="15"/>
        <w:tblW w:w="8625" w:type="dxa"/>
        <w:jc w:val="center"/>
        <w:tblLayout w:type="fixed"/>
        <w:tblCellMar>
          <w:top w:w="0" w:type="dxa"/>
          <w:left w:w="108" w:type="dxa"/>
          <w:bottom w:w="0" w:type="dxa"/>
          <w:right w:w="108" w:type="dxa"/>
        </w:tblCellMar>
      </w:tblPr>
      <w:tblGrid>
        <w:gridCol w:w="8625"/>
      </w:tblGrid>
      <w:tr>
        <w:tblPrEx>
          <w:tblCellMar>
            <w:top w:w="0" w:type="dxa"/>
            <w:left w:w="108" w:type="dxa"/>
            <w:bottom w:w="0" w:type="dxa"/>
            <w:right w:w="108" w:type="dxa"/>
          </w:tblCellMar>
        </w:tblPrEx>
        <w:trPr>
          <w:trHeight w:val="1339" w:hRule="atLeast"/>
          <w:jc w:val="center"/>
        </w:trPr>
        <w:tc>
          <w:tcPr>
            <w:tcW w:w="8625" w:type="dxa"/>
            <w:noWrap w:val="0"/>
            <w:vAlign w:val="top"/>
          </w:tcPr>
          <w:p>
            <w:pPr>
              <w:jc w:val="both"/>
              <w:rPr>
                <w:rFonts w:hint="default" w:ascii="Times New Roman" w:hAnsi="Times New Roman" w:eastAsia="宋体" w:cs="Times New Roman"/>
                <w:b/>
                <w:spacing w:val="6"/>
                <w:w w:val="94"/>
                <w:kern w:val="0"/>
                <w:sz w:val="52"/>
                <w:szCs w:val="52"/>
              </w:rPr>
            </w:pPr>
          </w:p>
          <w:p>
            <w:pPr>
              <w:jc w:val="center"/>
              <w:rPr>
                <w:rFonts w:hint="default" w:ascii="Times New Roman" w:hAnsi="Times New Roman" w:eastAsia="宋体" w:cs="Times New Roman"/>
                <w:b/>
                <w:spacing w:val="20"/>
                <w:sz w:val="52"/>
                <w:szCs w:val="52"/>
              </w:rPr>
            </w:pPr>
            <w:r>
              <w:rPr>
                <w:rFonts w:hint="default" w:ascii="Times New Roman" w:hAnsi="Times New Roman" w:eastAsia="宋体" w:cs="Times New Roman"/>
                <w:b/>
                <w:spacing w:val="20"/>
                <w:sz w:val="48"/>
                <w:szCs w:val="48"/>
              </w:rPr>
              <w:t>其他需要说明的事项</w:t>
            </w:r>
          </w:p>
        </w:tc>
      </w:tr>
    </w:tbl>
    <w:p>
      <w:pPr>
        <w:keepNext w:val="0"/>
        <w:keepLines w:val="0"/>
        <w:pageBreakBefore w:val="0"/>
        <w:widowControl w:val="0"/>
        <w:kinsoku/>
        <w:wordWrap/>
        <w:overflowPunct/>
        <w:topLinePunct w:val="0"/>
        <w:autoSpaceDE/>
        <w:autoSpaceDN/>
        <w:bidi w:val="0"/>
        <w:spacing w:line="360" w:lineRule="auto"/>
        <w:jc w:val="center"/>
        <w:textAlignment w:val="auto"/>
        <w:rPr>
          <w:rFonts w:hint="eastAsia"/>
          <w:sz w:val="36"/>
          <w:szCs w:val="36"/>
          <w:lang w:eastAsia="zh-CN"/>
        </w:rPr>
      </w:pPr>
      <w:r>
        <w:rPr>
          <w:rFonts w:hint="default" w:ascii="Times New Roman" w:hAnsi="Times New Roman" w:eastAsia="宋体" w:cs="Times New Roman"/>
        </w:rPr>
        <w:br w:type="page"/>
      </w:r>
      <w:r>
        <w:rPr>
          <w:rFonts w:hint="eastAsia"/>
          <w:sz w:val="36"/>
          <w:szCs w:val="36"/>
          <w:lang w:eastAsia="zh-CN"/>
        </w:rPr>
        <w:t>其他需要说明的事项</w:t>
      </w:r>
    </w:p>
    <w:p>
      <w:pPr>
        <w:pStyle w:val="5"/>
        <w:keepNext w:val="0"/>
        <w:keepLines w:val="0"/>
        <w:pageBreakBefore w:val="0"/>
        <w:widowControl w:val="0"/>
        <w:numPr>
          <w:ilvl w:val="0"/>
          <w:numId w:val="0"/>
        </w:numPr>
        <w:kinsoku/>
        <w:wordWrap/>
        <w:overflowPunct/>
        <w:topLinePunct w:val="0"/>
        <w:autoSpaceDE/>
        <w:autoSpaceDN/>
        <w:bidi w:val="0"/>
        <w:spacing w:line="360" w:lineRule="auto"/>
        <w:jc w:val="left"/>
        <w:textAlignment w:val="auto"/>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一、环境保护设施设计、施工和验收过程简况</w:t>
      </w:r>
    </w:p>
    <w:p>
      <w:pPr>
        <w:pStyle w:val="5"/>
        <w:keepNext w:val="0"/>
        <w:keepLines w:val="0"/>
        <w:pageBreakBefore w:val="0"/>
        <w:widowControl w:val="0"/>
        <w:numPr>
          <w:ilvl w:val="0"/>
          <w:numId w:val="0"/>
        </w:numPr>
        <w:kinsoku/>
        <w:wordWrap/>
        <w:overflowPunct/>
        <w:topLinePunct w:val="0"/>
        <w:autoSpaceDE/>
        <w:autoSpaceDN/>
        <w:bidi w:val="0"/>
        <w:spacing w:line="360" w:lineRule="auto"/>
        <w:textAlignment w:val="auto"/>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 xml:space="preserve"> 1.1设计简况</w:t>
      </w:r>
    </w:p>
    <w:p>
      <w:pPr>
        <w:pStyle w:val="5"/>
        <w:numPr>
          <w:ilvl w:val="0"/>
          <w:numId w:val="0"/>
        </w:numPr>
        <w:spacing w:line="360" w:lineRule="auto"/>
        <w:ind w:firstLine="560"/>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建设项目环境保护设施纳入初步设计，环保设施设计符合环保设计规范要求，未编制环境保护篇章，落实了防治污染和生态破坏的措施以及环境保护设施投资概算。</w:t>
      </w:r>
    </w:p>
    <w:p>
      <w:pPr>
        <w:pStyle w:val="5"/>
        <w:numPr>
          <w:ilvl w:val="0"/>
          <w:numId w:val="0"/>
        </w:numPr>
        <w:spacing w:line="360" w:lineRule="auto"/>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 xml:space="preserve"> 1.2施工简况</w:t>
      </w:r>
    </w:p>
    <w:p>
      <w:pPr>
        <w:pStyle w:val="5"/>
        <w:numPr>
          <w:ilvl w:val="0"/>
          <w:numId w:val="0"/>
        </w:numPr>
        <w:spacing w:line="360" w:lineRule="auto"/>
        <w:ind w:firstLine="560"/>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环保设施纳入施工合同，环境保护设施的进度和资金得到了保证，项目建设过程中组织实施了环境影响报告</w:t>
      </w:r>
      <w:r>
        <w:rPr>
          <w:rFonts w:hint="eastAsia" w:ascii="Times New Roman" w:hAnsi="Times New Roman" w:cs="Times New Roman"/>
          <w:b w:val="0"/>
          <w:bCs/>
          <w:color w:val="000000"/>
          <w:spacing w:val="0"/>
          <w:kern w:val="2"/>
          <w:sz w:val="24"/>
          <w:szCs w:val="24"/>
          <w:lang w:val="en-US" w:eastAsia="zh-CN" w:bidi="ar-SA"/>
        </w:rPr>
        <w:t>表</w:t>
      </w:r>
      <w:r>
        <w:rPr>
          <w:rFonts w:hint="default" w:ascii="Times New Roman" w:hAnsi="Times New Roman" w:cs="Times New Roman" w:eastAsiaTheme="minorEastAsia"/>
          <w:b w:val="0"/>
          <w:bCs/>
          <w:color w:val="000000"/>
          <w:spacing w:val="0"/>
          <w:kern w:val="2"/>
          <w:sz w:val="24"/>
          <w:szCs w:val="24"/>
          <w:lang w:val="en-US" w:eastAsia="zh-CN" w:bidi="ar-SA"/>
        </w:rPr>
        <w:t>及其审批部门审批决定中提出的环境保护对策措施。</w:t>
      </w:r>
    </w:p>
    <w:p>
      <w:pPr>
        <w:pStyle w:val="5"/>
        <w:numPr>
          <w:ilvl w:val="0"/>
          <w:numId w:val="0"/>
        </w:numPr>
        <w:spacing w:line="360" w:lineRule="auto"/>
        <w:ind w:firstLine="240" w:firstLineChars="100"/>
        <w:outlineLvl w:val="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1.3验收过程简况</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建设项目投产时间为</w:t>
      </w:r>
      <w:r>
        <w:rPr>
          <w:rFonts w:hint="eastAsia" w:ascii="Times New Roman" w:hAnsi="Times New Roman" w:cs="Times New Roman" w:eastAsiaTheme="minorEastAsia"/>
          <w:b w:val="0"/>
          <w:bCs/>
          <w:color w:val="000000"/>
          <w:spacing w:val="0"/>
          <w:kern w:val="2"/>
          <w:sz w:val="24"/>
          <w:szCs w:val="24"/>
          <w:lang w:val="en-US" w:eastAsia="zh-CN" w:bidi="ar-SA"/>
        </w:rPr>
        <w:t>2020</w:t>
      </w:r>
      <w:r>
        <w:rPr>
          <w:rFonts w:hint="default" w:ascii="Times New Roman" w:hAnsi="Times New Roman" w:cs="Times New Roman" w:eastAsiaTheme="minorEastAsia"/>
          <w:b w:val="0"/>
          <w:bCs/>
          <w:color w:val="000000"/>
          <w:spacing w:val="0"/>
          <w:kern w:val="2"/>
          <w:sz w:val="24"/>
          <w:szCs w:val="24"/>
          <w:lang w:val="en-US" w:eastAsia="zh-CN" w:bidi="ar-SA"/>
        </w:rPr>
        <w:t>年</w:t>
      </w:r>
      <w:r>
        <w:rPr>
          <w:rFonts w:hint="eastAsia" w:cs="Times New Roman" w:eastAsiaTheme="minorEastAsia"/>
          <w:b w:val="0"/>
          <w:bCs/>
          <w:color w:val="000000"/>
          <w:spacing w:val="0"/>
          <w:kern w:val="2"/>
          <w:sz w:val="24"/>
          <w:szCs w:val="24"/>
          <w:lang w:val="en-US" w:eastAsia="zh-CN" w:bidi="ar-SA"/>
        </w:rPr>
        <w:t>3</w:t>
      </w:r>
      <w:r>
        <w:rPr>
          <w:rFonts w:hint="default" w:ascii="Times New Roman" w:hAnsi="Times New Roman" w:cs="Times New Roman" w:eastAsiaTheme="minorEastAsia"/>
          <w:b w:val="0"/>
          <w:bCs/>
          <w:color w:val="000000"/>
          <w:spacing w:val="0"/>
          <w:kern w:val="2"/>
          <w:sz w:val="24"/>
          <w:szCs w:val="24"/>
          <w:lang w:val="en-US" w:eastAsia="zh-CN" w:bidi="ar-SA"/>
        </w:rPr>
        <w:t>月，验收工作正式启动时间为2020年</w:t>
      </w:r>
      <w:r>
        <w:rPr>
          <w:rFonts w:hint="eastAsia" w:cs="Times New Roman" w:eastAsiaTheme="minorEastAsia"/>
          <w:b w:val="0"/>
          <w:bCs/>
          <w:color w:val="000000"/>
          <w:spacing w:val="0"/>
          <w:kern w:val="2"/>
          <w:sz w:val="24"/>
          <w:szCs w:val="24"/>
          <w:lang w:val="en-US" w:eastAsia="zh-CN" w:bidi="ar-SA"/>
        </w:rPr>
        <w:t>8</w:t>
      </w:r>
      <w:r>
        <w:rPr>
          <w:rFonts w:hint="default" w:ascii="Times New Roman" w:hAnsi="Times New Roman" w:cs="Times New Roman" w:eastAsiaTheme="minorEastAsia"/>
          <w:b w:val="0"/>
          <w:bCs/>
          <w:color w:val="000000"/>
          <w:spacing w:val="0"/>
          <w:kern w:val="2"/>
          <w:sz w:val="24"/>
          <w:szCs w:val="24"/>
          <w:lang w:val="en-US" w:eastAsia="zh-CN" w:bidi="ar-SA"/>
        </w:rPr>
        <w:t>月，自主验收方式，验收报告完成时间为2020年</w:t>
      </w:r>
      <w:r>
        <w:rPr>
          <w:rFonts w:hint="eastAsia" w:cs="Times New Roman" w:eastAsiaTheme="minorEastAsia"/>
          <w:b w:val="0"/>
          <w:bCs/>
          <w:color w:val="000000"/>
          <w:spacing w:val="0"/>
          <w:kern w:val="2"/>
          <w:sz w:val="24"/>
          <w:szCs w:val="24"/>
          <w:lang w:val="en-US" w:eastAsia="zh-CN" w:bidi="ar-SA"/>
        </w:rPr>
        <w:t>8</w:t>
      </w:r>
      <w:r>
        <w:rPr>
          <w:rFonts w:hint="default" w:ascii="Times New Roman" w:hAnsi="Times New Roman" w:cs="Times New Roman" w:eastAsiaTheme="minorEastAsia"/>
          <w:b w:val="0"/>
          <w:bCs/>
          <w:color w:val="000000"/>
          <w:spacing w:val="0"/>
          <w:kern w:val="2"/>
          <w:sz w:val="24"/>
          <w:szCs w:val="24"/>
          <w:lang w:val="en-US" w:eastAsia="zh-CN" w:bidi="ar-SA"/>
        </w:rPr>
        <w:t>月，安徽常宇门窗有限公司在公司组织召开了安徽常宇门窗有限公司年产7.5万m</w:t>
      </w:r>
      <w:r>
        <w:rPr>
          <w:rFonts w:hint="default" w:ascii="Times New Roman" w:hAnsi="Times New Roman" w:cs="Times New Roman" w:eastAsiaTheme="minorEastAsia"/>
          <w:b w:val="0"/>
          <w:bCs/>
          <w:color w:val="000000"/>
          <w:spacing w:val="0"/>
          <w:kern w:val="2"/>
          <w:sz w:val="24"/>
          <w:szCs w:val="24"/>
          <w:vertAlign w:val="superscript"/>
          <w:lang w:val="en-US" w:eastAsia="zh-CN" w:bidi="ar-SA"/>
        </w:rPr>
        <w:t>2</w:t>
      </w:r>
      <w:r>
        <w:rPr>
          <w:rFonts w:hint="default" w:ascii="Times New Roman" w:hAnsi="Times New Roman" w:cs="Times New Roman" w:eastAsiaTheme="minorEastAsia"/>
          <w:b w:val="0"/>
          <w:bCs/>
          <w:color w:val="000000"/>
          <w:spacing w:val="0"/>
          <w:kern w:val="2"/>
          <w:sz w:val="24"/>
          <w:szCs w:val="24"/>
          <w:lang w:val="en-US" w:eastAsia="zh-CN" w:bidi="ar-SA"/>
        </w:rPr>
        <w:t>铝合金门窗加工生产项目竣工环境保护验收会。参加会议的有安徽常宇门窗有限公司（验收监测报告表编制单位）、</w:t>
      </w:r>
      <w:r>
        <w:rPr>
          <w:rFonts w:hint="eastAsia" w:ascii="Times New Roman" w:hAnsi="Times New Roman" w:cs="Times New Roman" w:eastAsiaTheme="minorEastAsia"/>
          <w:b w:val="0"/>
          <w:bCs/>
          <w:color w:val="000000"/>
          <w:spacing w:val="0"/>
          <w:kern w:val="2"/>
          <w:sz w:val="24"/>
          <w:szCs w:val="24"/>
          <w:lang w:val="en-US" w:eastAsia="zh-CN" w:bidi="ar-SA"/>
        </w:rPr>
        <w:t>安徽尚德谱检测技术有限责任公司</w:t>
      </w:r>
      <w:r>
        <w:rPr>
          <w:rFonts w:hint="default" w:ascii="Times New Roman" w:hAnsi="Times New Roman" w:cs="Times New Roman" w:eastAsiaTheme="minorEastAsia"/>
          <w:b w:val="0"/>
          <w:bCs/>
          <w:color w:val="000000"/>
          <w:spacing w:val="0"/>
          <w:kern w:val="2"/>
          <w:sz w:val="24"/>
          <w:szCs w:val="24"/>
          <w:lang w:val="en-US" w:eastAsia="zh-CN" w:bidi="ar-SA"/>
        </w:rPr>
        <w:t>（监测单位）等单位的代表及</w:t>
      </w:r>
      <w:bookmarkStart w:id="105" w:name="_GoBack"/>
      <w:r>
        <w:rPr>
          <w:rFonts w:hint="default" w:ascii="Times New Roman" w:hAnsi="Times New Roman" w:cs="Times New Roman" w:eastAsiaTheme="minorEastAsia"/>
          <w:b w:val="0"/>
          <w:bCs/>
          <w:color w:val="auto"/>
          <w:spacing w:val="0"/>
          <w:kern w:val="2"/>
          <w:sz w:val="24"/>
          <w:szCs w:val="24"/>
          <w:lang w:val="en-US" w:eastAsia="zh-CN" w:bidi="ar-SA"/>
        </w:rPr>
        <w:t>专家共</w:t>
      </w:r>
      <w:r>
        <w:rPr>
          <w:rFonts w:hint="eastAsia" w:cs="Times New Roman" w:eastAsiaTheme="minorEastAsia"/>
          <w:b w:val="0"/>
          <w:bCs/>
          <w:color w:val="auto"/>
          <w:spacing w:val="0"/>
          <w:kern w:val="2"/>
          <w:sz w:val="24"/>
          <w:szCs w:val="24"/>
          <w:lang w:val="en-US" w:eastAsia="zh-CN" w:bidi="ar-SA"/>
        </w:rPr>
        <w:t>5</w:t>
      </w:r>
      <w:r>
        <w:rPr>
          <w:rFonts w:hint="default" w:ascii="Times New Roman" w:hAnsi="Times New Roman" w:cs="Times New Roman" w:eastAsiaTheme="minorEastAsia"/>
          <w:b w:val="0"/>
          <w:bCs/>
          <w:color w:val="auto"/>
          <w:spacing w:val="0"/>
          <w:kern w:val="2"/>
          <w:sz w:val="24"/>
          <w:szCs w:val="24"/>
          <w:lang w:val="en-US" w:eastAsia="zh-CN" w:bidi="ar-SA"/>
        </w:rPr>
        <w:t>位组成验收工作组</w:t>
      </w:r>
      <w:r>
        <w:rPr>
          <w:rFonts w:hint="eastAsia" w:ascii="Times New Roman" w:hAnsi="Times New Roman" w:cs="Times New Roman" w:eastAsiaTheme="minorEastAsia"/>
          <w:b w:val="0"/>
          <w:bCs/>
          <w:color w:val="auto"/>
          <w:spacing w:val="0"/>
          <w:kern w:val="2"/>
          <w:sz w:val="24"/>
          <w:szCs w:val="24"/>
          <w:lang w:val="en-US" w:eastAsia="zh-CN" w:bidi="ar-SA"/>
        </w:rPr>
        <w:t>，</w:t>
      </w:r>
      <w:r>
        <w:rPr>
          <w:rFonts w:hint="default" w:ascii="Times New Roman" w:hAnsi="Times New Roman" w:cs="Times New Roman" w:eastAsiaTheme="minorEastAsia"/>
          <w:b w:val="0"/>
          <w:bCs/>
          <w:color w:val="auto"/>
          <w:spacing w:val="0"/>
          <w:kern w:val="2"/>
          <w:sz w:val="24"/>
          <w:szCs w:val="24"/>
          <w:lang w:val="en-US" w:eastAsia="zh-CN" w:bidi="ar-SA"/>
        </w:rPr>
        <w:t>验收组及代表对建设项目进行了现场察看，听取了建设单位关</w:t>
      </w:r>
      <w:bookmarkEnd w:id="105"/>
      <w:r>
        <w:rPr>
          <w:rFonts w:hint="default" w:ascii="Times New Roman" w:hAnsi="Times New Roman" w:cs="Times New Roman" w:eastAsiaTheme="minorEastAsia"/>
          <w:b w:val="0"/>
          <w:bCs/>
          <w:color w:val="000000"/>
          <w:spacing w:val="0"/>
          <w:kern w:val="2"/>
          <w:sz w:val="24"/>
          <w:szCs w:val="24"/>
          <w:lang w:val="en-US" w:eastAsia="zh-CN" w:bidi="ar-SA"/>
        </w:rPr>
        <w:t>于项目环境保护“三同时"执行情况和验收监测报告表编制单位关于项目竣工环境保护验收调查及监测情况的汇报，审阅并核实有关资料，经认真讨论，认为安徽常宇门窗有限公司年产7.5万m</w:t>
      </w:r>
      <w:r>
        <w:rPr>
          <w:rFonts w:hint="default" w:ascii="Times New Roman" w:hAnsi="Times New Roman" w:cs="Times New Roman" w:eastAsiaTheme="minorEastAsia"/>
          <w:b w:val="0"/>
          <w:bCs/>
          <w:color w:val="000000"/>
          <w:spacing w:val="0"/>
          <w:kern w:val="2"/>
          <w:sz w:val="24"/>
          <w:szCs w:val="24"/>
          <w:vertAlign w:val="superscript"/>
          <w:lang w:val="en-US" w:eastAsia="zh-CN" w:bidi="ar-SA"/>
        </w:rPr>
        <w:t>2</w:t>
      </w:r>
      <w:r>
        <w:rPr>
          <w:rFonts w:hint="default" w:ascii="Times New Roman" w:hAnsi="Times New Roman" w:cs="Times New Roman" w:eastAsiaTheme="minorEastAsia"/>
          <w:b w:val="0"/>
          <w:bCs/>
          <w:color w:val="000000"/>
          <w:spacing w:val="0"/>
          <w:kern w:val="2"/>
          <w:sz w:val="24"/>
          <w:szCs w:val="24"/>
          <w:lang w:val="en-US" w:eastAsia="zh-CN" w:bidi="ar-SA"/>
        </w:rPr>
        <w:t>铝合金门窗加工生产项目环评审批手续齐全，主要污染防治设施已建成，均能实现达标排放，具备竣工环保验收条件，通过竣工环保验收。</w:t>
      </w:r>
      <w:r>
        <w:rPr>
          <w:rFonts w:hint="default" w:ascii="Times New Roman" w:hAnsi="Times New Roman" w:cs="Times New Roman" w:eastAsiaTheme="minorEastAsia"/>
          <w:b w:val="0"/>
          <w:bCs/>
          <w:color w:val="000000"/>
          <w:spacing w:val="0"/>
          <w:kern w:val="2"/>
          <w:sz w:val="24"/>
          <w:szCs w:val="24"/>
          <w:lang w:val="en-US" w:eastAsia="zh-CN" w:bidi="ar-SA"/>
        </w:rPr>
        <w:br w:type="textWrapping"/>
      </w:r>
      <w:r>
        <w:rPr>
          <w:rFonts w:hint="default" w:ascii="Times New Roman" w:hAnsi="Times New Roman" w:cs="Times New Roman" w:eastAsiaTheme="minorEastAsia"/>
          <w:b w:val="0"/>
          <w:bCs/>
          <w:color w:val="000000"/>
          <w:spacing w:val="0"/>
          <w:kern w:val="2"/>
          <w:sz w:val="24"/>
          <w:szCs w:val="24"/>
          <w:lang w:val="en-US" w:eastAsia="zh-CN" w:bidi="ar-SA"/>
        </w:rPr>
        <w:t>二、其他环境保护措施实施情况</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环境影响报告表及其审批部门审批决定中提出的除环保设施外的其他环境保护措施主要包括制度措施和配套措施等，现将需要说明的措施内容和要求梳理如下：</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2.1制度措施落实情况</w:t>
      </w:r>
    </w:p>
    <w:p>
      <w:pPr>
        <w:numPr>
          <w:ilvl w:val="0"/>
          <w:numId w:val="5"/>
        </w:num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环保组织机构及规章制度</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项目由企业主要负责人负责环境管理，包括对废气、废水和固体废弃物的管理，确保各项环保工作的正常开展；保管项目的所有设备、工艺及各项技术资料，方便日常使用和查询。建立相关环境管理制度。</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（2）环境风险防范措施</w:t>
      </w:r>
    </w:p>
    <w:p>
      <w:pPr>
        <w:pStyle w:val="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无。</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（3）环境监测计划</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项目未设置专门环境监测实验室，目前委托第三方进行日常监测。</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2.2配套措施落实情况</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（1）区域削减及淘汰落后产能</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无</w:t>
      </w:r>
    </w:p>
    <w:p>
      <w:pPr>
        <w:spacing w:line="360" w:lineRule="auto"/>
        <w:ind w:firstLine="560"/>
        <w:jc w:val="left"/>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环境防护距离</w:t>
      </w:r>
    </w:p>
    <w:p>
      <w:pPr>
        <w:spacing w:line="360" w:lineRule="auto"/>
        <w:ind w:firstLine="560"/>
        <w:jc w:val="left"/>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项目以厂界设置50m环境防护距离，根据现场查看，项目厂界</w:t>
      </w:r>
      <w:r>
        <w:rPr>
          <w:rFonts w:hint="default" w:ascii="Times New Roman" w:hAnsi="Times New Roman" w:cs="Times New Roman"/>
          <w:sz w:val="24"/>
          <w:szCs w:val="24"/>
          <w:lang w:eastAsia="zh-CN"/>
        </w:rPr>
        <w:t>50m</w:t>
      </w:r>
      <w:r>
        <w:rPr>
          <w:rFonts w:hint="default" w:ascii="Times New Roman" w:hAnsi="Times New Roman" w:cs="Times New Roman"/>
          <w:sz w:val="24"/>
          <w:szCs w:val="24"/>
          <w:lang w:val="en-US" w:eastAsia="zh-CN"/>
        </w:rPr>
        <w:t>环境</w:t>
      </w:r>
      <w:r>
        <w:rPr>
          <w:rFonts w:hint="default" w:ascii="Times New Roman" w:hAnsi="Times New Roman" w:cs="Times New Roman"/>
          <w:sz w:val="24"/>
          <w:szCs w:val="24"/>
          <w:lang w:eastAsia="zh-CN"/>
        </w:rPr>
        <w:t>防护距离范围内目前无居民点以及其他环境空气敏感保护点，今后在此范围内也不得建设居民点、学校、医院等环境敏感项目</w:t>
      </w:r>
      <w:r>
        <w:rPr>
          <w:rFonts w:hint="default" w:ascii="Times New Roman" w:hAnsi="Times New Roman" w:cs="Times New Roman"/>
          <w:sz w:val="24"/>
          <w:szCs w:val="24"/>
          <w:lang w:val="en-US" w:eastAsia="zh-CN"/>
        </w:rPr>
        <w:t>。</w:t>
      </w:r>
    </w:p>
    <w:p>
      <w:pPr>
        <w:spacing w:line="360" w:lineRule="auto"/>
        <w:ind w:firstLine="720" w:firstLineChars="30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2.3其他措施落实情况</w:t>
      </w:r>
    </w:p>
    <w:p>
      <w:pPr>
        <w:spacing w:line="360" w:lineRule="auto"/>
        <w:ind w:firstLine="720" w:firstLineChars="30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无</w:t>
      </w:r>
    </w:p>
    <w:p>
      <w:pPr>
        <w:numPr>
          <w:ilvl w:val="0"/>
          <w:numId w:val="6"/>
        </w:numPr>
        <w:spacing w:line="360" w:lineRule="auto"/>
        <w:ind w:firstLine="480" w:firstLineChars="200"/>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整改工作情况</w:t>
      </w:r>
    </w:p>
    <w:p>
      <w:pPr>
        <w:spacing w:line="360" w:lineRule="auto"/>
        <w:ind w:firstLine="480" w:firstLineChars="200"/>
        <w:rPr>
          <w:rFonts w:hint="default" w:ascii="Times New Roman" w:hAnsi="Times New Roman" w:cs="Times New Roman" w:eastAsiaTheme="minorEastAsia"/>
          <w:b w:val="0"/>
          <w:bCs/>
          <w:color w:val="000000"/>
          <w:spacing w:val="0"/>
          <w:kern w:val="2"/>
          <w:sz w:val="24"/>
          <w:szCs w:val="24"/>
          <w:lang w:val="en-US" w:eastAsia="zh-CN" w:bidi="ar-SA"/>
        </w:rPr>
      </w:pPr>
      <w:r>
        <w:rPr>
          <w:rFonts w:hint="eastAsia" w:ascii="Times New Roman" w:hAnsi="Times New Roman" w:cs="Times New Roman"/>
          <w:b w:val="0"/>
          <w:bCs/>
          <w:color w:val="000000"/>
          <w:spacing w:val="0"/>
          <w:kern w:val="2"/>
          <w:sz w:val="24"/>
          <w:szCs w:val="24"/>
          <w:lang w:val="en-US" w:eastAsia="zh-CN" w:bidi="ar-SA"/>
        </w:rPr>
        <w:t>项目建设过程中未进行整改，</w:t>
      </w:r>
      <w:r>
        <w:rPr>
          <w:rFonts w:hint="default" w:ascii="Times New Roman" w:hAnsi="Times New Roman" w:cs="Times New Roman" w:eastAsiaTheme="minorEastAsia"/>
          <w:b w:val="0"/>
          <w:bCs/>
          <w:color w:val="000000"/>
          <w:spacing w:val="0"/>
          <w:kern w:val="2"/>
          <w:sz w:val="24"/>
          <w:szCs w:val="24"/>
          <w:lang w:val="en-US" w:eastAsia="zh-CN" w:bidi="ar-SA"/>
        </w:rPr>
        <w:t>验收监测期间</w:t>
      </w:r>
      <w:r>
        <w:rPr>
          <w:rFonts w:hint="eastAsia" w:ascii="Times New Roman" w:hAnsi="Times New Roman" w:cs="Times New Roman"/>
          <w:b w:val="0"/>
          <w:bCs/>
          <w:color w:val="000000"/>
          <w:spacing w:val="0"/>
          <w:kern w:val="2"/>
          <w:sz w:val="24"/>
          <w:szCs w:val="24"/>
          <w:lang w:val="en-US" w:eastAsia="zh-CN" w:bidi="ar-SA"/>
        </w:rPr>
        <w:t>未</w:t>
      </w:r>
      <w:r>
        <w:rPr>
          <w:rFonts w:hint="default" w:ascii="Times New Roman" w:hAnsi="Times New Roman" w:cs="Times New Roman" w:eastAsiaTheme="minorEastAsia"/>
          <w:b w:val="0"/>
          <w:bCs/>
          <w:color w:val="000000"/>
          <w:spacing w:val="0"/>
          <w:kern w:val="2"/>
          <w:sz w:val="24"/>
          <w:szCs w:val="24"/>
          <w:lang w:val="en-US" w:eastAsia="zh-CN" w:bidi="ar-SA"/>
        </w:rPr>
        <w:t>进行整改，基本符合竣工验收监测条件。验收监测意见提出后，我方积极落实。</w:t>
      </w:r>
    </w:p>
    <w:p>
      <w:pPr>
        <w:numPr>
          <w:ilvl w:val="0"/>
          <w:numId w:val="0"/>
        </w:numPr>
        <w:spacing w:line="360" w:lineRule="auto"/>
        <w:ind w:firstLine="480" w:firstLineChars="200"/>
        <w:jc w:val="right"/>
        <w:rPr>
          <w:rFonts w:hint="default" w:ascii="Times New Roman" w:hAnsi="Times New Roman" w:cs="Times New Roman" w:eastAsiaTheme="minorEastAsia"/>
          <w:b w:val="0"/>
          <w:bCs/>
          <w:color w:val="000000"/>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cs="Times New Roman" w:eastAsiaTheme="minorEastAsia"/>
          <w:b w:val="0"/>
          <w:bCs/>
          <w:color w:val="000000"/>
          <w:spacing w:val="0"/>
          <w:kern w:val="2"/>
          <w:sz w:val="24"/>
          <w:szCs w:val="24"/>
          <w:lang w:val="en-US" w:eastAsia="zh-CN" w:bidi="ar-SA"/>
        </w:rPr>
      </w:pPr>
      <w:r>
        <w:rPr>
          <w:rFonts w:hint="default" w:ascii="Times New Roman" w:hAnsi="Times New Roman" w:cs="Times New Roman" w:eastAsiaTheme="minorEastAsia"/>
          <w:b w:val="0"/>
          <w:bCs/>
          <w:color w:val="000000"/>
          <w:spacing w:val="0"/>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outlineLvl w:val="9"/>
        <w:rPr>
          <w:rFonts w:hint="default" w:ascii="Times New Roman" w:hAnsi="Times New Roman" w:cs="Times New Roman" w:eastAsiaTheme="minorEastAsia"/>
          <w:b w:val="0"/>
          <w:bCs/>
          <w:color w:val="000000"/>
          <w:spacing w:val="0"/>
          <w:kern w:val="2"/>
          <w:sz w:val="24"/>
          <w:szCs w:val="24"/>
          <w:lang w:val="en-US" w:eastAsia="zh-CN" w:bidi="ar-SA"/>
        </w:rPr>
      </w:pPr>
    </w:p>
    <w:p>
      <w:pPr>
        <w:spacing w:line="360" w:lineRule="auto"/>
        <w:ind w:firstLine="480" w:firstLineChars="200"/>
        <w:jc w:val="right"/>
        <w:rPr>
          <w:rFonts w:hint="eastAsia" w:ascii="Times New Roman" w:hAnsi="Times New Roman" w:cs="Times New Roman" w:eastAsiaTheme="minorEastAsia"/>
          <w:b w:val="0"/>
          <w:bCs/>
          <w:color w:val="000000"/>
          <w:spacing w:val="0"/>
          <w:kern w:val="2"/>
          <w:sz w:val="24"/>
          <w:szCs w:val="24"/>
          <w:lang w:val="en-US" w:eastAsia="zh-CN" w:bidi="ar-SA"/>
        </w:rPr>
      </w:pPr>
      <w:r>
        <w:rPr>
          <w:rFonts w:hint="eastAsia" w:ascii="Times New Roman" w:hAnsi="Times New Roman" w:cs="Times New Roman" w:eastAsiaTheme="minorEastAsia"/>
          <w:b w:val="0"/>
          <w:bCs/>
          <w:color w:val="000000"/>
          <w:spacing w:val="0"/>
          <w:kern w:val="2"/>
          <w:sz w:val="24"/>
          <w:szCs w:val="24"/>
          <w:lang w:val="en-US" w:eastAsia="zh-CN" w:bidi="ar-SA"/>
        </w:rPr>
        <w:t>安徽常宇门窗有限公司</w:t>
      </w:r>
    </w:p>
    <w:p>
      <w:pPr>
        <w:spacing w:line="360" w:lineRule="auto"/>
        <w:ind w:firstLine="480" w:firstLineChars="200"/>
        <w:jc w:val="right"/>
        <w:rPr>
          <w:rFonts w:hint="eastAsia" w:ascii="Times New Roman" w:hAnsi="Times New Roman" w:eastAsia="宋体" w:cs="Times New Roman"/>
          <w:lang w:eastAsia="zh-CN"/>
        </w:rPr>
        <w:sectPr>
          <w:pgSz w:w="11906" w:h="16838"/>
          <w:pgMar w:top="1440" w:right="1627" w:bottom="1440" w:left="1797"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Times New Roman" w:hAnsi="Times New Roman" w:cs="Times New Roman" w:eastAsiaTheme="minorEastAsia"/>
          <w:b w:val="0"/>
          <w:bCs/>
          <w:color w:val="000000"/>
          <w:spacing w:val="0"/>
          <w:kern w:val="2"/>
          <w:sz w:val="24"/>
          <w:szCs w:val="24"/>
          <w:lang w:val="en-US" w:eastAsia="zh-CN" w:bidi="ar-SA"/>
        </w:rPr>
        <w:t>20</w:t>
      </w:r>
      <w:r>
        <w:rPr>
          <w:rFonts w:hint="eastAsia" w:ascii="Times New Roman" w:hAnsi="Times New Roman" w:cs="Times New Roman" w:eastAsiaTheme="minorEastAsia"/>
          <w:b w:val="0"/>
          <w:bCs/>
          <w:color w:val="000000"/>
          <w:spacing w:val="0"/>
          <w:kern w:val="2"/>
          <w:sz w:val="24"/>
          <w:szCs w:val="24"/>
          <w:lang w:val="en-US" w:eastAsia="zh-CN" w:bidi="ar-SA"/>
        </w:rPr>
        <w:t>20</w:t>
      </w:r>
      <w:r>
        <w:rPr>
          <w:rFonts w:hint="default" w:ascii="Times New Roman" w:hAnsi="Times New Roman" w:cs="Times New Roman" w:eastAsiaTheme="minorEastAsia"/>
          <w:b w:val="0"/>
          <w:bCs/>
          <w:color w:val="000000"/>
          <w:spacing w:val="0"/>
          <w:kern w:val="2"/>
          <w:sz w:val="24"/>
          <w:szCs w:val="24"/>
          <w:lang w:val="en-US" w:eastAsia="zh-CN" w:bidi="ar-SA"/>
        </w:rPr>
        <w:t>年</w:t>
      </w:r>
      <w:r>
        <w:rPr>
          <w:rFonts w:hint="eastAsia" w:cs="Times New Roman" w:eastAsiaTheme="minorEastAsia"/>
          <w:b w:val="0"/>
          <w:bCs/>
          <w:color w:val="000000"/>
          <w:spacing w:val="0"/>
          <w:kern w:val="2"/>
          <w:sz w:val="24"/>
          <w:szCs w:val="24"/>
          <w:lang w:val="en-US" w:eastAsia="zh-CN" w:bidi="ar-SA"/>
        </w:rPr>
        <w:t>8</w:t>
      </w:r>
      <w:r>
        <w:rPr>
          <w:rFonts w:hint="default" w:ascii="Times New Roman" w:hAnsi="Times New Roman" w:cs="Times New Roman" w:eastAsiaTheme="minorEastAsia"/>
          <w:b w:val="0"/>
          <w:bCs/>
          <w:color w:val="000000"/>
          <w:spacing w:val="0"/>
          <w:kern w:val="2"/>
          <w:sz w:val="24"/>
          <w:szCs w:val="24"/>
          <w:lang w:val="en-US" w:eastAsia="zh-CN" w:bidi="ar-SA"/>
        </w:rPr>
        <w:t>月</w:t>
      </w:r>
      <w:r>
        <w:rPr>
          <w:rFonts w:hint="eastAsia" w:cs="Times New Roman" w:eastAsiaTheme="minorEastAsia"/>
          <w:b w:val="0"/>
          <w:bCs/>
          <w:color w:val="000000"/>
          <w:spacing w:val="0"/>
          <w:kern w:val="2"/>
          <w:sz w:val="24"/>
          <w:szCs w:val="24"/>
          <w:lang w:val="en-US" w:eastAsia="zh-CN" w:bidi="ar-SA"/>
        </w:rPr>
        <w:t>23</w:t>
      </w:r>
      <w:r>
        <w:rPr>
          <w:rFonts w:hint="default" w:ascii="Times New Roman" w:hAnsi="Times New Roman" w:cs="Times New Roman" w:eastAsiaTheme="minorEastAsia"/>
          <w:b w:val="0"/>
          <w:bCs/>
          <w:color w:val="000000"/>
          <w:spacing w:val="0"/>
          <w:kern w:val="2"/>
          <w:sz w:val="24"/>
          <w:szCs w:val="24"/>
          <w:lang w:val="en-US" w:eastAsia="zh-CN" w:bidi="ar-SA"/>
        </w:rPr>
        <w:t>日</w:t>
      </w:r>
    </w:p>
    <w:p>
      <w:pPr>
        <w:pStyle w:val="22"/>
        <w:jc w:val="both"/>
        <w:rPr>
          <w:rFonts w:hint="eastAsia" w:ascii="Times New Roman" w:hAnsi="Times New Roman" w:eastAsia="宋体" w:cs="Times New Roman"/>
          <w:lang w:eastAsia="zh-CN"/>
        </w:rPr>
      </w:pPr>
    </w:p>
    <w:sectPr>
      <w:pgSz w:w="16838" w:h="11906" w:orient="landscape"/>
      <w:pgMar w:top="1797" w:right="1440" w:bottom="1627"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6979"/>
        <w:tab w:val="clear" w:pos="4153"/>
      </w:tabs>
      <w:jc w:val="both"/>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adFrarIB&#10;AABKAwAADgAAAAAAAAABACAAAAAeAQAAZHJzL2Uyb0RvYy54bWxQSwUGAAAAAAYABgBZAQAAQgUA&#10;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697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C4e/YywAQAA&#10;SAMAAA4AAAAAAAAAAQAgAAAAHgEAAGRycy9lMm9Eb2MueG1sUEsFBgAAAAAGAAYAWQEAAEAFAAAA&#10;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19</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j9mGLrIB&#10;AABKAwAADgAAAAAAAAABACAAAAAeAQAAZHJzL2Uyb0RvYy54bWxQSwUGAAAAAAYABgBZAQAAQgUA&#10;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35</w:t>
                    </w:r>
                    <w:r>
                      <w:fldChar w:fldCharType="end"/>
                    </w:r>
                  </w:p>
                </w:txbxContent>
              </v:textbox>
            </v:shape>
          </w:pict>
        </mc:Fallback>
      </mc:AlternateContent>
    </w:r>
  </w:p>
  <w:p>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p>
    <w:pP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AE5F7E"/>
    <w:multiLevelType w:val="singleLevel"/>
    <w:tmpl w:val="8AAE5F7E"/>
    <w:lvl w:ilvl="0" w:tentative="0">
      <w:start w:val="3"/>
      <w:numFmt w:val="decimal"/>
      <w:suff w:val="nothing"/>
      <w:lvlText w:val="%1、"/>
      <w:lvlJc w:val="left"/>
    </w:lvl>
  </w:abstractNum>
  <w:abstractNum w:abstractNumId="1">
    <w:nsid w:val="BBC88C98"/>
    <w:multiLevelType w:val="singleLevel"/>
    <w:tmpl w:val="BBC88C98"/>
    <w:lvl w:ilvl="0" w:tentative="0">
      <w:start w:val="1"/>
      <w:numFmt w:val="decimal"/>
      <w:suff w:val="nothing"/>
      <w:lvlText w:val="%1、"/>
      <w:lvlJc w:val="left"/>
    </w:lvl>
  </w:abstractNum>
  <w:abstractNum w:abstractNumId="2">
    <w:nsid w:val="3692C2D1"/>
    <w:multiLevelType w:val="singleLevel"/>
    <w:tmpl w:val="3692C2D1"/>
    <w:lvl w:ilvl="0" w:tentative="0">
      <w:start w:val="2"/>
      <w:numFmt w:val="chineseCounting"/>
      <w:suff w:val="nothing"/>
      <w:lvlText w:val="%1、"/>
      <w:lvlJc w:val="left"/>
      <w:rPr>
        <w:rFonts w:hint="eastAsia"/>
      </w:rPr>
    </w:lvl>
  </w:abstractNum>
  <w:abstractNum w:abstractNumId="3">
    <w:nsid w:val="5A4CFB1C"/>
    <w:multiLevelType w:val="singleLevel"/>
    <w:tmpl w:val="5A4CFB1C"/>
    <w:lvl w:ilvl="0" w:tentative="0">
      <w:start w:val="1"/>
      <w:numFmt w:val="decimal"/>
      <w:suff w:val="nothing"/>
      <w:lvlText w:val="（%1）"/>
      <w:lvlJc w:val="left"/>
    </w:lvl>
  </w:abstractNum>
  <w:abstractNum w:abstractNumId="4">
    <w:nsid w:val="5A4CFF1C"/>
    <w:multiLevelType w:val="singleLevel"/>
    <w:tmpl w:val="5A4CFF1C"/>
    <w:lvl w:ilvl="0" w:tentative="0">
      <w:start w:val="3"/>
      <w:numFmt w:val="chineseCounting"/>
      <w:suff w:val="nothing"/>
      <w:lvlText w:val="%1、"/>
      <w:lvlJc w:val="left"/>
    </w:lvl>
  </w:abstractNum>
  <w:abstractNum w:abstractNumId="5">
    <w:nsid w:val="5F185E8F"/>
    <w:multiLevelType w:val="multilevel"/>
    <w:tmpl w:val="5F185E8F"/>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4"/>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C21260"/>
    <w:rsid w:val="00023BF9"/>
    <w:rsid w:val="0005472E"/>
    <w:rsid w:val="00056FC1"/>
    <w:rsid w:val="00057FAE"/>
    <w:rsid w:val="000A4913"/>
    <w:rsid w:val="000B1591"/>
    <w:rsid w:val="000C306B"/>
    <w:rsid w:val="00100D3D"/>
    <w:rsid w:val="00107AE5"/>
    <w:rsid w:val="001445F0"/>
    <w:rsid w:val="00156170"/>
    <w:rsid w:val="00161573"/>
    <w:rsid w:val="0018072A"/>
    <w:rsid w:val="00197F90"/>
    <w:rsid w:val="001B65D1"/>
    <w:rsid w:val="001B7830"/>
    <w:rsid w:val="002011CB"/>
    <w:rsid w:val="00277E32"/>
    <w:rsid w:val="00291739"/>
    <w:rsid w:val="002D32F4"/>
    <w:rsid w:val="00336A13"/>
    <w:rsid w:val="00350AC7"/>
    <w:rsid w:val="003722D0"/>
    <w:rsid w:val="003803E0"/>
    <w:rsid w:val="003912C4"/>
    <w:rsid w:val="003A0CFB"/>
    <w:rsid w:val="003B1750"/>
    <w:rsid w:val="003F411D"/>
    <w:rsid w:val="00414B4C"/>
    <w:rsid w:val="00417E4B"/>
    <w:rsid w:val="00424970"/>
    <w:rsid w:val="00434534"/>
    <w:rsid w:val="00447D50"/>
    <w:rsid w:val="00456991"/>
    <w:rsid w:val="00480BF7"/>
    <w:rsid w:val="0048164E"/>
    <w:rsid w:val="004B5B14"/>
    <w:rsid w:val="004E04BC"/>
    <w:rsid w:val="00512E95"/>
    <w:rsid w:val="0055164D"/>
    <w:rsid w:val="00563AA9"/>
    <w:rsid w:val="005B0402"/>
    <w:rsid w:val="005D29D1"/>
    <w:rsid w:val="005F2CE7"/>
    <w:rsid w:val="00614F4E"/>
    <w:rsid w:val="00617BEC"/>
    <w:rsid w:val="00631A17"/>
    <w:rsid w:val="006578E2"/>
    <w:rsid w:val="006708B3"/>
    <w:rsid w:val="006A4046"/>
    <w:rsid w:val="006B5493"/>
    <w:rsid w:val="006E06A7"/>
    <w:rsid w:val="006E2B83"/>
    <w:rsid w:val="00700CDF"/>
    <w:rsid w:val="00701FEF"/>
    <w:rsid w:val="00704CDD"/>
    <w:rsid w:val="007A441A"/>
    <w:rsid w:val="007C4A6E"/>
    <w:rsid w:val="007D3FD1"/>
    <w:rsid w:val="007D6FCA"/>
    <w:rsid w:val="00841012"/>
    <w:rsid w:val="00842A6C"/>
    <w:rsid w:val="00850D41"/>
    <w:rsid w:val="00850F36"/>
    <w:rsid w:val="00863FAD"/>
    <w:rsid w:val="008A3C1B"/>
    <w:rsid w:val="008D63C4"/>
    <w:rsid w:val="00924947"/>
    <w:rsid w:val="0096135C"/>
    <w:rsid w:val="00982C5E"/>
    <w:rsid w:val="009B4CE1"/>
    <w:rsid w:val="009C4CA4"/>
    <w:rsid w:val="009F53DE"/>
    <w:rsid w:val="00A1118D"/>
    <w:rsid w:val="00A12405"/>
    <w:rsid w:val="00A41C8C"/>
    <w:rsid w:val="00A43F02"/>
    <w:rsid w:val="00A56DE7"/>
    <w:rsid w:val="00A97A36"/>
    <w:rsid w:val="00AA75D5"/>
    <w:rsid w:val="00AB43B0"/>
    <w:rsid w:val="00AC33BC"/>
    <w:rsid w:val="00AC3734"/>
    <w:rsid w:val="00B34AA5"/>
    <w:rsid w:val="00B53D44"/>
    <w:rsid w:val="00B63CDC"/>
    <w:rsid w:val="00B748C5"/>
    <w:rsid w:val="00B8195C"/>
    <w:rsid w:val="00BA08B5"/>
    <w:rsid w:val="00BE76EA"/>
    <w:rsid w:val="00BF4DBB"/>
    <w:rsid w:val="00C5014D"/>
    <w:rsid w:val="00C53FB1"/>
    <w:rsid w:val="00C54C08"/>
    <w:rsid w:val="00C601D4"/>
    <w:rsid w:val="00C65BD6"/>
    <w:rsid w:val="00C861C0"/>
    <w:rsid w:val="00CA1816"/>
    <w:rsid w:val="00CC0943"/>
    <w:rsid w:val="00CC708D"/>
    <w:rsid w:val="00CD430B"/>
    <w:rsid w:val="00D87CFE"/>
    <w:rsid w:val="00D925D1"/>
    <w:rsid w:val="00E14DAA"/>
    <w:rsid w:val="00E57D63"/>
    <w:rsid w:val="00E75729"/>
    <w:rsid w:val="00E84CAF"/>
    <w:rsid w:val="00EB14C7"/>
    <w:rsid w:val="00EB18A1"/>
    <w:rsid w:val="00ED5D32"/>
    <w:rsid w:val="00F4063B"/>
    <w:rsid w:val="00F74BB5"/>
    <w:rsid w:val="00FB76D4"/>
    <w:rsid w:val="00FE5B4C"/>
    <w:rsid w:val="00FF279C"/>
    <w:rsid w:val="015265D4"/>
    <w:rsid w:val="01882CFE"/>
    <w:rsid w:val="01BA57CA"/>
    <w:rsid w:val="01D92276"/>
    <w:rsid w:val="02240A48"/>
    <w:rsid w:val="0240541E"/>
    <w:rsid w:val="02744EFF"/>
    <w:rsid w:val="02B34173"/>
    <w:rsid w:val="02D9558F"/>
    <w:rsid w:val="02E45B54"/>
    <w:rsid w:val="031E052A"/>
    <w:rsid w:val="032350D0"/>
    <w:rsid w:val="032917C9"/>
    <w:rsid w:val="033A2369"/>
    <w:rsid w:val="036C0637"/>
    <w:rsid w:val="0387690A"/>
    <w:rsid w:val="038B1C6A"/>
    <w:rsid w:val="038B1F25"/>
    <w:rsid w:val="039E494C"/>
    <w:rsid w:val="039F627B"/>
    <w:rsid w:val="03F838F7"/>
    <w:rsid w:val="04034214"/>
    <w:rsid w:val="042F02E3"/>
    <w:rsid w:val="04373B6D"/>
    <w:rsid w:val="045D39D4"/>
    <w:rsid w:val="045E2D94"/>
    <w:rsid w:val="046474DF"/>
    <w:rsid w:val="048E5C30"/>
    <w:rsid w:val="04E80E34"/>
    <w:rsid w:val="052F5917"/>
    <w:rsid w:val="05450D99"/>
    <w:rsid w:val="05763A56"/>
    <w:rsid w:val="058B214E"/>
    <w:rsid w:val="05AD7CB0"/>
    <w:rsid w:val="05B069A3"/>
    <w:rsid w:val="05BE2557"/>
    <w:rsid w:val="05D93C64"/>
    <w:rsid w:val="06223490"/>
    <w:rsid w:val="06596A55"/>
    <w:rsid w:val="07003644"/>
    <w:rsid w:val="07350C5B"/>
    <w:rsid w:val="076340A7"/>
    <w:rsid w:val="077B05CD"/>
    <w:rsid w:val="084E2DEB"/>
    <w:rsid w:val="086C7A40"/>
    <w:rsid w:val="08D70CDB"/>
    <w:rsid w:val="08F55EB3"/>
    <w:rsid w:val="08F73C12"/>
    <w:rsid w:val="09347F68"/>
    <w:rsid w:val="0966676F"/>
    <w:rsid w:val="09A936A1"/>
    <w:rsid w:val="09CC74AC"/>
    <w:rsid w:val="09EF5AC8"/>
    <w:rsid w:val="0A186FB7"/>
    <w:rsid w:val="0A217E35"/>
    <w:rsid w:val="0A401808"/>
    <w:rsid w:val="0A71558D"/>
    <w:rsid w:val="0A7761C2"/>
    <w:rsid w:val="0A834592"/>
    <w:rsid w:val="0AD905AB"/>
    <w:rsid w:val="0AEF406E"/>
    <w:rsid w:val="0AFC4C0F"/>
    <w:rsid w:val="0B342855"/>
    <w:rsid w:val="0CC73869"/>
    <w:rsid w:val="0CCC4F4E"/>
    <w:rsid w:val="0D054058"/>
    <w:rsid w:val="0D0E3368"/>
    <w:rsid w:val="0D3174BD"/>
    <w:rsid w:val="0D3E3BE9"/>
    <w:rsid w:val="0DA515DB"/>
    <w:rsid w:val="0DB443AA"/>
    <w:rsid w:val="0DDD4AA3"/>
    <w:rsid w:val="0E036B73"/>
    <w:rsid w:val="0E06631D"/>
    <w:rsid w:val="0E0E6B03"/>
    <w:rsid w:val="0E43108D"/>
    <w:rsid w:val="0E472F7D"/>
    <w:rsid w:val="0E8B3C9B"/>
    <w:rsid w:val="0EA34C93"/>
    <w:rsid w:val="0EB81754"/>
    <w:rsid w:val="0ED55A54"/>
    <w:rsid w:val="0F051F19"/>
    <w:rsid w:val="0F0D3599"/>
    <w:rsid w:val="0F9A076E"/>
    <w:rsid w:val="0FC12646"/>
    <w:rsid w:val="0FC86AB2"/>
    <w:rsid w:val="0FDD4FBA"/>
    <w:rsid w:val="0FE40E3D"/>
    <w:rsid w:val="10486B53"/>
    <w:rsid w:val="10561563"/>
    <w:rsid w:val="105A42D4"/>
    <w:rsid w:val="10835CEC"/>
    <w:rsid w:val="10856122"/>
    <w:rsid w:val="109C604F"/>
    <w:rsid w:val="10B72B35"/>
    <w:rsid w:val="10BA1D05"/>
    <w:rsid w:val="10CC2C8E"/>
    <w:rsid w:val="111A3095"/>
    <w:rsid w:val="112B3C3C"/>
    <w:rsid w:val="11603920"/>
    <w:rsid w:val="11BD42EE"/>
    <w:rsid w:val="11E50FF3"/>
    <w:rsid w:val="126639B6"/>
    <w:rsid w:val="1266436C"/>
    <w:rsid w:val="128C55A3"/>
    <w:rsid w:val="12D53EFC"/>
    <w:rsid w:val="133C299F"/>
    <w:rsid w:val="13C46C58"/>
    <w:rsid w:val="13F52F59"/>
    <w:rsid w:val="14022314"/>
    <w:rsid w:val="143D2208"/>
    <w:rsid w:val="144253B6"/>
    <w:rsid w:val="14617E2C"/>
    <w:rsid w:val="14816CD7"/>
    <w:rsid w:val="14AC6B4E"/>
    <w:rsid w:val="15484DB8"/>
    <w:rsid w:val="15AC383E"/>
    <w:rsid w:val="15B83E16"/>
    <w:rsid w:val="15FF7631"/>
    <w:rsid w:val="16045965"/>
    <w:rsid w:val="16360524"/>
    <w:rsid w:val="16430037"/>
    <w:rsid w:val="167824C7"/>
    <w:rsid w:val="16A13E74"/>
    <w:rsid w:val="16B67020"/>
    <w:rsid w:val="16C1463A"/>
    <w:rsid w:val="16DB7D91"/>
    <w:rsid w:val="171B0FB3"/>
    <w:rsid w:val="179268A5"/>
    <w:rsid w:val="17A816A3"/>
    <w:rsid w:val="17EA53E5"/>
    <w:rsid w:val="18041F0F"/>
    <w:rsid w:val="18AC5505"/>
    <w:rsid w:val="18C76691"/>
    <w:rsid w:val="18EB08E7"/>
    <w:rsid w:val="18F11ED0"/>
    <w:rsid w:val="18F140E8"/>
    <w:rsid w:val="19000D5C"/>
    <w:rsid w:val="190D5434"/>
    <w:rsid w:val="19191223"/>
    <w:rsid w:val="191C1A66"/>
    <w:rsid w:val="19231602"/>
    <w:rsid w:val="19A040CE"/>
    <w:rsid w:val="19BC36D7"/>
    <w:rsid w:val="19D24975"/>
    <w:rsid w:val="1A2319D4"/>
    <w:rsid w:val="1A6D3500"/>
    <w:rsid w:val="1AA7146F"/>
    <w:rsid w:val="1B065408"/>
    <w:rsid w:val="1B1902DF"/>
    <w:rsid w:val="1B2D648D"/>
    <w:rsid w:val="1B5466AA"/>
    <w:rsid w:val="1B550F40"/>
    <w:rsid w:val="1B7379EA"/>
    <w:rsid w:val="1BA8198D"/>
    <w:rsid w:val="1BEC090B"/>
    <w:rsid w:val="1BF40C88"/>
    <w:rsid w:val="1C4E3BD9"/>
    <w:rsid w:val="1C556EA1"/>
    <w:rsid w:val="1C811CE8"/>
    <w:rsid w:val="1C85605E"/>
    <w:rsid w:val="1C9D35D8"/>
    <w:rsid w:val="1CA23A48"/>
    <w:rsid w:val="1CAC5CC8"/>
    <w:rsid w:val="1CDA76DF"/>
    <w:rsid w:val="1D3649DD"/>
    <w:rsid w:val="1D4A3C1F"/>
    <w:rsid w:val="1D75356D"/>
    <w:rsid w:val="1D9E7810"/>
    <w:rsid w:val="1DD85647"/>
    <w:rsid w:val="1DD91528"/>
    <w:rsid w:val="1DF075AF"/>
    <w:rsid w:val="1E3F4AF9"/>
    <w:rsid w:val="1E5277DE"/>
    <w:rsid w:val="1ED10D9F"/>
    <w:rsid w:val="1ED91FC5"/>
    <w:rsid w:val="1F1A2A80"/>
    <w:rsid w:val="1F384C6D"/>
    <w:rsid w:val="1F5C001A"/>
    <w:rsid w:val="1FA1504B"/>
    <w:rsid w:val="1FAD3D14"/>
    <w:rsid w:val="1FCD2CAD"/>
    <w:rsid w:val="1FD01533"/>
    <w:rsid w:val="1FE45288"/>
    <w:rsid w:val="1FFF1020"/>
    <w:rsid w:val="20044975"/>
    <w:rsid w:val="200570DE"/>
    <w:rsid w:val="20641647"/>
    <w:rsid w:val="20863DC6"/>
    <w:rsid w:val="20C77694"/>
    <w:rsid w:val="21133427"/>
    <w:rsid w:val="212702FF"/>
    <w:rsid w:val="21561BFC"/>
    <w:rsid w:val="21725DC5"/>
    <w:rsid w:val="218173AB"/>
    <w:rsid w:val="218B108D"/>
    <w:rsid w:val="21DA663D"/>
    <w:rsid w:val="21EC138B"/>
    <w:rsid w:val="21FA367E"/>
    <w:rsid w:val="2233611B"/>
    <w:rsid w:val="224204EF"/>
    <w:rsid w:val="22681A87"/>
    <w:rsid w:val="229B57C7"/>
    <w:rsid w:val="22D343F2"/>
    <w:rsid w:val="23383E4A"/>
    <w:rsid w:val="23495755"/>
    <w:rsid w:val="23810581"/>
    <w:rsid w:val="239E3095"/>
    <w:rsid w:val="23FE7923"/>
    <w:rsid w:val="241B7E9C"/>
    <w:rsid w:val="241E1E11"/>
    <w:rsid w:val="24496773"/>
    <w:rsid w:val="24A92FBB"/>
    <w:rsid w:val="24BB7ED7"/>
    <w:rsid w:val="252A7473"/>
    <w:rsid w:val="25F64098"/>
    <w:rsid w:val="2600239F"/>
    <w:rsid w:val="2603789E"/>
    <w:rsid w:val="260D28E7"/>
    <w:rsid w:val="269F4865"/>
    <w:rsid w:val="26D627B6"/>
    <w:rsid w:val="273E2FA9"/>
    <w:rsid w:val="276910D8"/>
    <w:rsid w:val="278F710C"/>
    <w:rsid w:val="27A9266E"/>
    <w:rsid w:val="27E1413D"/>
    <w:rsid w:val="280C1B57"/>
    <w:rsid w:val="282E250E"/>
    <w:rsid w:val="28AE5485"/>
    <w:rsid w:val="28CD54B3"/>
    <w:rsid w:val="29542B7B"/>
    <w:rsid w:val="29CF4A51"/>
    <w:rsid w:val="29ED659E"/>
    <w:rsid w:val="2A08295D"/>
    <w:rsid w:val="2A182129"/>
    <w:rsid w:val="2A5C7F2B"/>
    <w:rsid w:val="2A761F26"/>
    <w:rsid w:val="2AAF25FC"/>
    <w:rsid w:val="2AD330A0"/>
    <w:rsid w:val="2AFF1103"/>
    <w:rsid w:val="2B5A2750"/>
    <w:rsid w:val="2B6846FB"/>
    <w:rsid w:val="2BB010D9"/>
    <w:rsid w:val="2BED3492"/>
    <w:rsid w:val="2BF2658E"/>
    <w:rsid w:val="2BF80D70"/>
    <w:rsid w:val="2C4100F3"/>
    <w:rsid w:val="2C462160"/>
    <w:rsid w:val="2C5C0466"/>
    <w:rsid w:val="2CE348A9"/>
    <w:rsid w:val="2CF61245"/>
    <w:rsid w:val="2D4C4916"/>
    <w:rsid w:val="2DC42CAF"/>
    <w:rsid w:val="2DF540A5"/>
    <w:rsid w:val="2E7056D8"/>
    <w:rsid w:val="2F071CBA"/>
    <w:rsid w:val="2F701503"/>
    <w:rsid w:val="2F8F7D3F"/>
    <w:rsid w:val="2FE1366E"/>
    <w:rsid w:val="30316359"/>
    <w:rsid w:val="30390E16"/>
    <w:rsid w:val="303D3CD2"/>
    <w:rsid w:val="304467FD"/>
    <w:rsid w:val="3065047D"/>
    <w:rsid w:val="3092158C"/>
    <w:rsid w:val="30E0471E"/>
    <w:rsid w:val="315577D5"/>
    <w:rsid w:val="31712528"/>
    <w:rsid w:val="31870EB3"/>
    <w:rsid w:val="31B26FCD"/>
    <w:rsid w:val="32096035"/>
    <w:rsid w:val="32127A97"/>
    <w:rsid w:val="321D63F8"/>
    <w:rsid w:val="324E5E49"/>
    <w:rsid w:val="325A1827"/>
    <w:rsid w:val="327B1DEA"/>
    <w:rsid w:val="32834769"/>
    <w:rsid w:val="32991C3D"/>
    <w:rsid w:val="32C330BE"/>
    <w:rsid w:val="32F729B4"/>
    <w:rsid w:val="332513B2"/>
    <w:rsid w:val="333319E0"/>
    <w:rsid w:val="334F3571"/>
    <w:rsid w:val="338945C8"/>
    <w:rsid w:val="33BA03A1"/>
    <w:rsid w:val="33BA4A0A"/>
    <w:rsid w:val="34B77A2E"/>
    <w:rsid w:val="34D07D86"/>
    <w:rsid w:val="35030BEB"/>
    <w:rsid w:val="35575582"/>
    <w:rsid w:val="35CC6D82"/>
    <w:rsid w:val="35F84D1A"/>
    <w:rsid w:val="35FC44DF"/>
    <w:rsid w:val="366B036C"/>
    <w:rsid w:val="36C67300"/>
    <w:rsid w:val="36D926FE"/>
    <w:rsid w:val="3713238E"/>
    <w:rsid w:val="373C1CD0"/>
    <w:rsid w:val="376130DF"/>
    <w:rsid w:val="376B4D58"/>
    <w:rsid w:val="37953D45"/>
    <w:rsid w:val="37EB1560"/>
    <w:rsid w:val="37ED3B31"/>
    <w:rsid w:val="383C382C"/>
    <w:rsid w:val="384601A7"/>
    <w:rsid w:val="38897E8C"/>
    <w:rsid w:val="38F96096"/>
    <w:rsid w:val="39082BA4"/>
    <w:rsid w:val="398C4BE9"/>
    <w:rsid w:val="39BC0469"/>
    <w:rsid w:val="39C15900"/>
    <w:rsid w:val="39DF4EF5"/>
    <w:rsid w:val="39FB6CDB"/>
    <w:rsid w:val="3A0132B0"/>
    <w:rsid w:val="3A05313C"/>
    <w:rsid w:val="3A1D6B21"/>
    <w:rsid w:val="3A8158F4"/>
    <w:rsid w:val="3A99669F"/>
    <w:rsid w:val="3A9C5201"/>
    <w:rsid w:val="3AA14B2C"/>
    <w:rsid w:val="3AB134A1"/>
    <w:rsid w:val="3AC82AE3"/>
    <w:rsid w:val="3B161498"/>
    <w:rsid w:val="3B2567D9"/>
    <w:rsid w:val="3B3645DE"/>
    <w:rsid w:val="3B557D32"/>
    <w:rsid w:val="3BCE5C63"/>
    <w:rsid w:val="3BCE5F60"/>
    <w:rsid w:val="3BD67897"/>
    <w:rsid w:val="3BE96551"/>
    <w:rsid w:val="3BF5087D"/>
    <w:rsid w:val="3BF55C16"/>
    <w:rsid w:val="3C6A6270"/>
    <w:rsid w:val="3C7162B1"/>
    <w:rsid w:val="3C79451A"/>
    <w:rsid w:val="3C901AB4"/>
    <w:rsid w:val="3D2E0412"/>
    <w:rsid w:val="3D404A6F"/>
    <w:rsid w:val="3D950158"/>
    <w:rsid w:val="3DA6381D"/>
    <w:rsid w:val="3DAD31B3"/>
    <w:rsid w:val="3DDA4024"/>
    <w:rsid w:val="3DE14D08"/>
    <w:rsid w:val="3DEF7894"/>
    <w:rsid w:val="3DFA7E11"/>
    <w:rsid w:val="3E0C5628"/>
    <w:rsid w:val="3E2535A5"/>
    <w:rsid w:val="3E2C21C5"/>
    <w:rsid w:val="3E3F7757"/>
    <w:rsid w:val="3E8F07EF"/>
    <w:rsid w:val="3EA635F1"/>
    <w:rsid w:val="3EC71C77"/>
    <w:rsid w:val="3EE607B9"/>
    <w:rsid w:val="3EF024D8"/>
    <w:rsid w:val="3F645D5D"/>
    <w:rsid w:val="3F7C0BF3"/>
    <w:rsid w:val="3F9D1186"/>
    <w:rsid w:val="3FA661D5"/>
    <w:rsid w:val="3FE6681B"/>
    <w:rsid w:val="3FFE663F"/>
    <w:rsid w:val="40274F73"/>
    <w:rsid w:val="40301DA3"/>
    <w:rsid w:val="40645881"/>
    <w:rsid w:val="40A70D4F"/>
    <w:rsid w:val="40A74086"/>
    <w:rsid w:val="40D62665"/>
    <w:rsid w:val="40EB22AD"/>
    <w:rsid w:val="41722F95"/>
    <w:rsid w:val="41807C80"/>
    <w:rsid w:val="41856478"/>
    <w:rsid w:val="419D427D"/>
    <w:rsid w:val="41AA430F"/>
    <w:rsid w:val="41B072C3"/>
    <w:rsid w:val="41C47894"/>
    <w:rsid w:val="424D0D76"/>
    <w:rsid w:val="42D10958"/>
    <w:rsid w:val="42E7152C"/>
    <w:rsid w:val="42F242EB"/>
    <w:rsid w:val="43511A74"/>
    <w:rsid w:val="439049E8"/>
    <w:rsid w:val="43917835"/>
    <w:rsid w:val="445E0B38"/>
    <w:rsid w:val="44627D1C"/>
    <w:rsid w:val="44630E74"/>
    <w:rsid w:val="44DF3C51"/>
    <w:rsid w:val="45C44E70"/>
    <w:rsid w:val="45DF007F"/>
    <w:rsid w:val="4616273F"/>
    <w:rsid w:val="46206CCF"/>
    <w:rsid w:val="46303E71"/>
    <w:rsid w:val="46DA4293"/>
    <w:rsid w:val="46DC57AC"/>
    <w:rsid w:val="47303379"/>
    <w:rsid w:val="47367493"/>
    <w:rsid w:val="47743BD0"/>
    <w:rsid w:val="47E76E96"/>
    <w:rsid w:val="47F20D2E"/>
    <w:rsid w:val="47F923F0"/>
    <w:rsid w:val="47FA2FF2"/>
    <w:rsid w:val="483A3E56"/>
    <w:rsid w:val="486E7709"/>
    <w:rsid w:val="48BD3C47"/>
    <w:rsid w:val="48E74B77"/>
    <w:rsid w:val="49775341"/>
    <w:rsid w:val="49D73CE0"/>
    <w:rsid w:val="49E2620A"/>
    <w:rsid w:val="49E727E2"/>
    <w:rsid w:val="4A4E5577"/>
    <w:rsid w:val="4A5268E8"/>
    <w:rsid w:val="4A9C7376"/>
    <w:rsid w:val="4AA04A51"/>
    <w:rsid w:val="4AB65A3F"/>
    <w:rsid w:val="4AE32636"/>
    <w:rsid w:val="4B08479A"/>
    <w:rsid w:val="4B32625D"/>
    <w:rsid w:val="4B3A419B"/>
    <w:rsid w:val="4B703FF4"/>
    <w:rsid w:val="4B737D6B"/>
    <w:rsid w:val="4B7C38AB"/>
    <w:rsid w:val="4B832238"/>
    <w:rsid w:val="4B8B5883"/>
    <w:rsid w:val="4BF358D2"/>
    <w:rsid w:val="4C0972AC"/>
    <w:rsid w:val="4C18305E"/>
    <w:rsid w:val="4C1C68E9"/>
    <w:rsid w:val="4C3859B5"/>
    <w:rsid w:val="4C3A1C4A"/>
    <w:rsid w:val="4C445022"/>
    <w:rsid w:val="4C44597F"/>
    <w:rsid w:val="4C452A4E"/>
    <w:rsid w:val="4C461B05"/>
    <w:rsid w:val="4C654485"/>
    <w:rsid w:val="4CCA4850"/>
    <w:rsid w:val="4CCA4E7D"/>
    <w:rsid w:val="4CD62AA1"/>
    <w:rsid w:val="4D3B28D8"/>
    <w:rsid w:val="4D4C2EF3"/>
    <w:rsid w:val="4D5E7EC9"/>
    <w:rsid w:val="4D8F2B71"/>
    <w:rsid w:val="4DC74179"/>
    <w:rsid w:val="4DCE53FD"/>
    <w:rsid w:val="4E0A2C76"/>
    <w:rsid w:val="4E1516A0"/>
    <w:rsid w:val="4E277828"/>
    <w:rsid w:val="4E3743AF"/>
    <w:rsid w:val="4E3F078D"/>
    <w:rsid w:val="4EA31A91"/>
    <w:rsid w:val="4F8803CF"/>
    <w:rsid w:val="4F895C68"/>
    <w:rsid w:val="4F8E36FF"/>
    <w:rsid w:val="4F9501E7"/>
    <w:rsid w:val="4FB67367"/>
    <w:rsid w:val="5043315B"/>
    <w:rsid w:val="504D3E26"/>
    <w:rsid w:val="50BB3C4E"/>
    <w:rsid w:val="50FB421C"/>
    <w:rsid w:val="517009E6"/>
    <w:rsid w:val="518E5CFC"/>
    <w:rsid w:val="51A514AE"/>
    <w:rsid w:val="51DB67E0"/>
    <w:rsid w:val="520B173A"/>
    <w:rsid w:val="521B28FA"/>
    <w:rsid w:val="521B40E8"/>
    <w:rsid w:val="524365BD"/>
    <w:rsid w:val="527025F6"/>
    <w:rsid w:val="52E148AF"/>
    <w:rsid w:val="53263825"/>
    <w:rsid w:val="532B52D0"/>
    <w:rsid w:val="53786549"/>
    <w:rsid w:val="538D2AB6"/>
    <w:rsid w:val="53A26CD7"/>
    <w:rsid w:val="54195BC0"/>
    <w:rsid w:val="542C1712"/>
    <w:rsid w:val="543A36C8"/>
    <w:rsid w:val="544B7492"/>
    <w:rsid w:val="5477363F"/>
    <w:rsid w:val="548E7DF6"/>
    <w:rsid w:val="54A47ED6"/>
    <w:rsid w:val="54B264DF"/>
    <w:rsid w:val="54B36759"/>
    <w:rsid w:val="54C2216C"/>
    <w:rsid w:val="54EC2ADC"/>
    <w:rsid w:val="54F070F8"/>
    <w:rsid w:val="54F80904"/>
    <w:rsid w:val="552A7D23"/>
    <w:rsid w:val="553E1CD0"/>
    <w:rsid w:val="55510938"/>
    <w:rsid w:val="557F09AF"/>
    <w:rsid w:val="55C64392"/>
    <w:rsid w:val="55C6595D"/>
    <w:rsid w:val="55FC3EB2"/>
    <w:rsid w:val="561B3C33"/>
    <w:rsid w:val="561F6EB2"/>
    <w:rsid w:val="562C3293"/>
    <w:rsid w:val="565E1888"/>
    <w:rsid w:val="567E250A"/>
    <w:rsid w:val="56803957"/>
    <w:rsid w:val="56D44BEE"/>
    <w:rsid w:val="56FE5B53"/>
    <w:rsid w:val="57325D32"/>
    <w:rsid w:val="57347AAF"/>
    <w:rsid w:val="57815C2F"/>
    <w:rsid w:val="57D5666E"/>
    <w:rsid w:val="580B2031"/>
    <w:rsid w:val="584B7B26"/>
    <w:rsid w:val="5885316D"/>
    <w:rsid w:val="58BC4E42"/>
    <w:rsid w:val="58DB7870"/>
    <w:rsid w:val="58F94A91"/>
    <w:rsid w:val="5920089A"/>
    <w:rsid w:val="592210F2"/>
    <w:rsid w:val="592D4638"/>
    <w:rsid w:val="597B31CF"/>
    <w:rsid w:val="59BF2DA1"/>
    <w:rsid w:val="59D70CE1"/>
    <w:rsid w:val="5A495941"/>
    <w:rsid w:val="5A693254"/>
    <w:rsid w:val="5A7E0666"/>
    <w:rsid w:val="5A865EEE"/>
    <w:rsid w:val="5AAD0957"/>
    <w:rsid w:val="5AF00CB4"/>
    <w:rsid w:val="5B073A19"/>
    <w:rsid w:val="5B0A155D"/>
    <w:rsid w:val="5B431FF4"/>
    <w:rsid w:val="5B5F26F0"/>
    <w:rsid w:val="5B8E1995"/>
    <w:rsid w:val="5BA36646"/>
    <w:rsid w:val="5BAF26F8"/>
    <w:rsid w:val="5BE53721"/>
    <w:rsid w:val="5C0C1F92"/>
    <w:rsid w:val="5C244AF3"/>
    <w:rsid w:val="5C2E47C5"/>
    <w:rsid w:val="5C625D1C"/>
    <w:rsid w:val="5C7E456F"/>
    <w:rsid w:val="5C815B63"/>
    <w:rsid w:val="5CB670F1"/>
    <w:rsid w:val="5CC56A77"/>
    <w:rsid w:val="5CF877BD"/>
    <w:rsid w:val="5D043761"/>
    <w:rsid w:val="5D37602E"/>
    <w:rsid w:val="5D3E0F19"/>
    <w:rsid w:val="5D421C87"/>
    <w:rsid w:val="5DEF4F8C"/>
    <w:rsid w:val="5DFB1C31"/>
    <w:rsid w:val="5E344161"/>
    <w:rsid w:val="5E4005EF"/>
    <w:rsid w:val="5E4D5F62"/>
    <w:rsid w:val="5E85432C"/>
    <w:rsid w:val="5EEF3572"/>
    <w:rsid w:val="5F0618F3"/>
    <w:rsid w:val="5F2915D9"/>
    <w:rsid w:val="5F306C88"/>
    <w:rsid w:val="5F6D4137"/>
    <w:rsid w:val="5FDC5586"/>
    <w:rsid w:val="601D532C"/>
    <w:rsid w:val="60341631"/>
    <w:rsid w:val="60617870"/>
    <w:rsid w:val="60744ECF"/>
    <w:rsid w:val="6110449A"/>
    <w:rsid w:val="611F6263"/>
    <w:rsid w:val="61200D40"/>
    <w:rsid w:val="612D4EB3"/>
    <w:rsid w:val="618823AA"/>
    <w:rsid w:val="61A07196"/>
    <w:rsid w:val="61F276A1"/>
    <w:rsid w:val="622A581A"/>
    <w:rsid w:val="62364C4C"/>
    <w:rsid w:val="6275688D"/>
    <w:rsid w:val="628B136F"/>
    <w:rsid w:val="62B4612D"/>
    <w:rsid w:val="62C74AB9"/>
    <w:rsid w:val="62D03EC6"/>
    <w:rsid w:val="630F0069"/>
    <w:rsid w:val="631D4C00"/>
    <w:rsid w:val="6349314A"/>
    <w:rsid w:val="63574725"/>
    <w:rsid w:val="63764124"/>
    <w:rsid w:val="6429224A"/>
    <w:rsid w:val="64365C8B"/>
    <w:rsid w:val="64684336"/>
    <w:rsid w:val="6495071E"/>
    <w:rsid w:val="64A676C2"/>
    <w:rsid w:val="64B07EE3"/>
    <w:rsid w:val="64BD7967"/>
    <w:rsid w:val="65392826"/>
    <w:rsid w:val="657A28EC"/>
    <w:rsid w:val="657A7302"/>
    <w:rsid w:val="65851C69"/>
    <w:rsid w:val="65874E47"/>
    <w:rsid w:val="65897C11"/>
    <w:rsid w:val="65A11542"/>
    <w:rsid w:val="65B26591"/>
    <w:rsid w:val="65BB779E"/>
    <w:rsid w:val="65D252D0"/>
    <w:rsid w:val="65FB0DF4"/>
    <w:rsid w:val="6608405A"/>
    <w:rsid w:val="66500028"/>
    <w:rsid w:val="669D4DF5"/>
    <w:rsid w:val="66A81352"/>
    <w:rsid w:val="66CD3F34"/>
    <w:rsid w:val="672F24E1"/>
    <w:rsid w:val="673B78AA"/>
    <w:rsid w:val="6789209F"/>
    <w:rsid w:val="67D20945"/>
    <w:rsid w:val="67DB3356"/>
    <w:rsid w:val="68580F86"/>
    <w:rsid w:val="685D5FF5"/>
    <w:rsid w:val="694F6535"/>
    <w:rsid w:val="696603F8"/>
    <w:rsid w:val="6979517A"/>
    <w:rsid w:val="69897DC6"/>
    <w:rsid w:val="69E25930"/>
    <w:rsid w:val="6A3D1615"/>
    <w:rsid w:val="6A7065EC"/>
    <w:rsid w:val="6AB52C6E"/>
    <w:rsid w:val="6B0622EC"/>
    <w:rsid w:val="6B2753C6"/>
    <w:rsid w:val="6B372F25"/>
    <w:rsid w:val="6B382EE5"/>
    <w:rsid w:val="6B54106B"/>
    <w:rsid w:val="6B656E00"/>
    <w:rsid w:val="6BAF7A2B"/>
    <w:rsid w:val="6BF94A1C"/>
    <w:rsid w:val="6C0F4AF7"/>
    <w:rsid w:val="6C416928"/>
    <w:rsid w:val="6C5A2E6B"/>
    <w:rsid w:val="6C653079"/>
    <w:rsid w:val="6C6757C6"/>
    <w:rsid w:val="6C6C7ECE"/>
    <w:rsid w:val="6CBB7579"/>
    <w:rsid w:val="6CD70E74"/>
    <w:rsid w:val="6D2B4C51"/>
    <w:rsid w:val="6D433312"/>
    <w:rsid w:val="6D535020"/>
    <w:rsid w:val="6D5B5B97"/>
    <w:rsid w:val="6D5E71BB"/>
    <w:rsid w:val="6D681865"/>
    <w:rsid w:val="6D8A2DCD"/>
    <w:rsid w:val="6DAA368E"/>
    <w:rsid w:val="6E2C7B5C"/>
    <w:rsid w:val="6E370959"/>
    <w:rsid w:val="6E5C7C32"/>
    <w:rsid w:val="6E88067C"/>
    <w:rsid w:val="6EC21260"/>
    <w:rsid w:val="6EF64EF3"/>
    <w:rsid w:val="6F0B201F"/>
    <w:rsid w:val="6F472007"/>
    <w:rsid w:val="6F50795F"/>
    <w:rsid w:val="6F9140FB"/>
    <w:rsid w:val="6FA927E6"/>
    <w:rsid w:val="6FC8271B"/>
    <w:rsid w:val="70510444"/>
    <w:rsid w:val="705C0D79"/>
    <w:rsid w:val="707F133C"/>
    <w:rsid w:val="708F473A"/>
    <w:rsid w:val="709E3971"/>
    <w:rsid w:val="70B6131E"/>
    <w:rsid w:val="70B72491"/>
    <w:rsid w:val="711F2B62"/>
    <w:rsid w:val="716027AE"/>
    <w:rsid w:val="7167765A"/>
    <w:rsid w:val="71D53CAD"/>
    <w:rsid w:val="723A191E"/>
    <w:rsid w:val="726319F0"/>
    <w:rsid w:val="72717E7A"/>
    <w:rsid w:val="72CD4D65"/>
    <w:rsid w:val="73201FAE"/>
    <w:rsid w:val="73355979"/>
    <w:rsid w:val="735E3E50"/>
    <w:rsid w:val="737140A0"/>
    <w:rsid w:val="7387660A"/>
    <w:rsid w:val="73BD5E62"/>
    <w:rsid w:val="745037BF"/>
    <w:rsid w:val="7454131F"/>
    <w:rsid w:val="747969A2"/>
    <w:rsid w:val="74A0513A"/>
    <w:rsid w:val="74C3403D"/>
    <w:rsid w:val="74DC710D"/>
    <w:rsid w:val="74EF42BA"/>
    <w:rsid w:val="750820FF"/>
    <w:rsid w:val="755338F5"/>
    <w:rsid w:val="7562587C"/>
    <w:rsid w:val="758315A3"/>
    <w:rsid w:val="75CD20EF"/>
    <w:rsid w:val="770E0983"/>
    <w:rsid w:val="771D525C"/>
    <w:rsid w:val="77955443"/>
    <w:rsid w:val="77F23067"/>
    <w:rsid w:val="782E28D3"/>
    <w:rsid w:val="78343E98"/>
    <w:rsid w:val="785721D6"/>
    <w:rsid w:val="785C4B44"/>
    <w:rsid w:val="786A3D72"/>
    <w:rsid w:val="788E42FD"/>
    <w:rsid w:val="78AD5268"/>
    <w:rsid w:val="78AF620C"/>
    <w:rsid w:val="78E940F8"/>
    <w:rsid w:val="79240BD8"/>
    <w:rsid w:val="79721637"/>
    <w:rsid w:val="798D78C1"/>
    <w:rsid w:val="7991240D"/>
    <w:rsid w:val="79B309D3"/>
    <w:rsid w:val="79FA4D5C"/>
    <w:rsid w:val="7A1022B7"/>
    <w:rsid w:val="7A4109E9"/>
    <w:rsid w:val="7A5B385A"/>
    <w:rsid w:val="7A74536E"/>
    <w:rsid w:val="7A7777D7"/>
    <w:rsid w:val="7A7A603B"/>
    <w:rsid w:val="7A9C7FC7"/>
    <w:rsid w:val="7B453A74"/>
    <w:rsid w:val="7BCD18BD"/>
    <w:rsid w:val="7BEE1D55"/>
    <w:rsid w:val="7C075938"/>
    <w:rsid w:val="7D050BF2"/>
    <w:rsid w:val="7D332204"/>
    <w:rsid w:val="7D597AC6"/>
    <w:rsid w:val="7D910986"/>
    <w:rsid w:val="7DBB64E5"/>
    <w:rsid w:val="7DDE450D"/>
    <w:rsid w:val="7DF0146D"/>
    <w:rsid w:val="7E2C1662"/>
    <w:rsid w:val="7E4C768D"/>
    <w:rsid w:val="7E6119E4"/>
    <w:rsid w:val="7E6B5CA6"/>
    <w:rsid w:val="7E714124"/>
    <w:rsid w:val="7EE908F1"/>
    <w:rsid w:val="7F135D94"/>
    <w:rsid w:val="7F2F222A"/>
    <w:rsid w:val="7F4B15FA"/>
    <w:rsid w:val="7FA775DD"/>
    <w:rsid w:val="7FBB2FA0"/>
    <w:rsid w:val="7FCC1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tabs>
        <w:tab w:val="left" w:pos="746"/>
      </w:tabs>
      <w:adjustRightInd w:val="0"/>
      <w:snapToGrid w:val="0"/>
      <w:spacing w:after="120" w:line="360" w:lineRule="auto"/>
      <w:ind w:left="11"/>
      <w:jc w:val="center"/>
      <w:textAlignment w:val="baseline"/>
      <w:outlineLvl w:val="1"/>
    </w:pPr>
    <w:rPr>
      <w:rFonts w:ascii="Arial" w:hAnsi="Arial"/>
      <w:kern w:val="0"/>
      <w:sz w:val="24"/>
    </w:rPr>
  </w:style>
  <w:style w:type="paragraph" w:styleId="4">
    <w:name w:val="heading 3"/>
    <w:basedOn w:val="1"/>
    <w:next w:val="1"/>
    <w:qFormat/>
    <w:uiPriority w:val="0"/>
    <w:pPr>
      <w:numPr>
        <w:ilvl w:val="2"/>
        <w:numId w:val="1"/>
      </w:numPr>
      <w:overflowPunct w:val="0"/>
      <w:topLinePunct/>
      <w:adjustRightInd w:val="0"/>
      <w:snapToGrid w:val="0"/>
      <w:spacing w:before="120" w:after="120" w:line="300" w:lineRule="auto"/>
      <w:ind w:firstLine="200" w:firstLineChars="200"/>
      <w:textAlignment w:val="baseline"/>
      <w:outlineLvl w:val="2"/>
    </w:pPr>
    <w:rPr>
      <w:rFonts w:ascii="Arial" w:hAnsi="Arial" w:cs="Arial"/>
      <w:b/>
      <w:iCs/>
      <w:kern w:val="0"/>
      <w:sz w:val="28"/>
      <w:szCs w:val="20"/>
    </w:rPr>
  </w:style>
  <w:style w:type="paragraph" w:styleId="2">
    <w:name w:val="heading 4"/>
    <w:basedOn w:val="1"/>
    <w:next w:val="1"/>
    <w:qFormat/>
    <w:uiPriority w:val="9"/>
    <w:pPr>
      <w:keepNext/>
      <w:keepLines/>
      <w:spacing w:before="280" w:beforeLines="0" w:after="290" w:afterLines="0" w:line="376" w:lineRule="auto"/>
      <w:outlineLvl w:val="3"/>
    </w:pPr>
    <w:rPr>
      <w:rFonts w:ascii="Cambria" w:hAnsi="Cambria"/>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adjustRightInd w:val="0"/>
      <w:snapToGrid w:val="0"/>
      <w:spacing w:line="480" w:lineRule="atLeast"/>
      <w:ind w:firstLine="420"/>
    </w:pPr>
    <w:rPr>
      <w:rFonts w:ascii="宋体"/>
      <w:spacing w:val="6"/>
      <w:kern w:val="28"/>
      <w:szCs w:val="28"/>
    </w:rPr>
  </w:style>
  <w:style w:type="paragraph" w:styleId="6">
    <w:name w:val="Body Text"/>
    <w:basedOn w:val="1"/>
    <w:next w:val="1"/>
    <w:qFormat/>
    <w:uiPriority w:val="0"/>
    <w:pPr>
      <w:spacing w:after="120"/>
    </w:pPr>
  </w:style>
  <w:style w:type="paragraph" w:styleId="7">
    <w:name w:val="Body Text Indent"/>
    <w:basedOn w:val="1"/>
    <w:next w:val="8"/>
    <w:qFormat/>
    <w:uiPriority w:val="0"/>
    <w:pPr>
      <w:snapToGrid w:val="0"/>
      <w:spacing w:before="120" w:line="360" w:lineRule="atLeast"/>
      <w:ind w:firstLine="539"/>
    </w:pPr>
    <w:rPr>
      <w:sz w:val="24"/>
    </w:rPr>
  </w:style>
  <w:style w:type="paragraph" w:styleId="8">
    <w:name w:val="Body Text Indent 2"/>
    <w:basedOn w:val="1"/>
    <w:next w:val="9"/>
    <w:qFormat/>
    <w:uiPriority w:val="0"/>
    <w:pPr>
      <w:ind w:left="-108" w:firstLine="540"/>
    </w:pPr>
    <w:rPr>
      <w:rFonts w:ascii="宋体" w:hAnsi="宋体" w:eastAsia="宋体" w:cs="Times New Roman"/>
      <w:sz w:val="28"/>
      <w:szCs w:val="24"/>
    </w:rPr>
  </w:style>
  <w:style w:type="paragraph" w:styleId="9">
    <w:name w:val="Body Text First Indent 2"/>
    <w:basedOn w:val="7"/>
    <w:next w:val="1"/>
    <w:qFormat/>
    <w:uiPriority w:val="0"/>
    <w:pPr>
      <w:spacing w:after="120" w:line="240" w:lineRule="auto"/>
      <w:ind w:left="420" w:leftChars="200" w:firstLine="420" w:firstLineChars="200"/>
    </w:pPr>
    <w:rPr>
      <w:sz w:val="21"/>
    </w:rPr>
  </w:style>
  <w:style w:type="paragraph" w:styleId="10">
    <w:name w:val="Plain Text"/>
    <w:basedOn w:val="1"/>
    <w:qFormat/>
    <w:uiPriority w:val="0"/>
    <w:pPr>
      <w:adjustRightInd w:val="0"/>
      <w:spacing w:before="120" w:line="400" w:lineRule="exact"/>
      <w:textAlignment w:val="baseline"/>
    </w:pPr>
    <w:rPr>
      <w:rFonts w:hAnsi="Courier New"/>
      <w:spacing w:val="-2"/>
      <w:kern w:val="28"/>
      <w:szCs w:val="20"/>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0"/>
    <w:pPr>
      <w:ind w:left="200" w:hanging="200" w:hanging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bCs/>
    </w:rPr>
  </w:style>
  <w:style w:type="character" w:styleId="19">
    <w:name w:val="page number"/>
    <w:basedOn w:val="17"/>
    <w:qFormat/>
    <w:uiPriority w:val="0"/>
  </w:style>
  <w:style w:type="character" w:styleId="20">
    <w:name w:val="Hyperlink"/>
    <w:qFormat/>
    <w:uiPriority w:val="99"/>
    <w:rPr>
      <w:color w:val="0000FF"/>
      <w:u w:val="single"/>
    </w:rPr>
  </w:style>
  <w:style w:type="character" w:styleId="21">
    <w:name w:val="annotation reference"/>
    <w:qFormat/>
    <w:uiPriority w:val="0"/>
    <w:rPr>
      <w:sz w:val="21"/>
      <w:szCs w:val="21"/>
    </w:rPr>
  </w:style>
  <w:style w:type="paragraph" w:customStyle="1" w:styleId="22">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23">
    <w:name w:val="日期1"/>
    <w:basedOn w:val="1"/>
    <w:next w:val="1"/>
    <w:qFormat/>
    <w:uiPriority w:val="0"/>
    <w:pPr>
      <w:adjustRightInd w:val="0"/>
      <w:spacing w:line="312" w:lineRule="atLeast"/>
      <w:textAlignment w:val="baseline"/>
    </w:pPr>
    <w:rPr>
      <w:rFonts w:eastAsia="楷体_GB2312"/>
      <w:kern w:val="0"/>
      <w:sz w:val="28"/>
      <w:szCs w:val="20"/>
    </w:rPr>
  </w:style>
  <w:style w:type="character" w:customStyle="1" w:styleId="24">
    <w:name w:val="font01"/>
    <w:basedOn w:val="17"/>
    <w:qFormat/>
    <w:uiPriority w:val="0"/>
    <w:rPr>
      <w:rFonts w:hint="eastAsia" w:ascii="宋体" w:hAnsi="宋体" w:eastAsia="宋体" w:cs="宋体"/>
      <w:color w:val="000000"/>
      <w:sz w:val="21"/>
      <w:szCs w:val="21"/>
      <w:u w:val="none"/>
    </w:rPr>
  </w:style>
  <w:style w:type="paragraph" w:customStyle="1" w:styleId="25">
    <w:name w:val="Char Char Char Char"/>
    <w:basedOn w:val="1"/>
    <w:qFormat/>
    <w:uiPriority w:val="0"/>
    <w:rPr>
      <w:sz w:val="24"/>
    </w:rPr>
  </w:style>
  <w:style w:type="paragraph" w:customStyle="1" w:styleId="26">
    <w:name w:val="表格内文字"/>
    <w:basedOn w:val="1"/>
    <w:qFormat/>
    <w:uiPriority w:val="0"/>
    <w:pPr>
      <w:tabs>
        <w:tab w:val="left" w:pos="0"/>
      </w:tabs>
      <w:adjustRightInd w:val="0"/>
      <w:snapToGrid w:val="0"/>
      <w:jc w:val="center"/>
    </w:pPr>
    <w:rPr>
      <w:rFonts w:eastAsia="仿宋_GB2312"/>
    </w:rPr>
  </w:style>
  <w:style w:type="paragraph" w:customStyle="1" w:styleId="27">
    <w:name w:val="xl50"/>
    <w:basedOn w:val="1"/>
    <w:qFormat/>
    <w:uiPriority w:val="0"/>
    <w:pPr>
      <w:widowControl/>
      <w:pBdr>
        <w:left w:val="single" w:color="auto" w:sz="4" w:space="0"/>
        <w:right w:val="single" w:color="auto" w:sz="4" w:space="0"/>
      </w:pBdr>
      <w:spacing w:before="100" w:beforeLines="0" w:after="100" w:afterLines="0"/>
      <w:jc w:val="center"/>
      <w:textAlignment w:val="center"/>
    </w:pPr>
    <w:rPr>
      <w:rFonts w:ascii="宋体" w:hAnsi="宋体" w:eastAsia="宋体"/>
      <w:kern w:val="0"/>
      <w:sz w:val="24"/>
    </w:rPr>
  </w:style>
  <w:style w:type="paragraph" w:customStyle="1" w:styleId="28">
    <w:name w:val="Normal (Web)"/>
    <w:basedOn w:val="1"/>
    <w:qFormat/>
    <w:uiPriority w:val="0"/>
    <w:pPr>
      <w:widowControl/>
      <w:jc w:val="left"/>
    </w:pPr>
    <w:rPr>
      <w:rFonts w:ascii="宋体" w:hAnsi="宋体" w:cs="宋体"/>
      <w:kern w:val="0"/>
      <w:sz w:val="24"/>
    </w:rPr>
  </w:style>
  <w:style w:type="paragraph" w:customStyle="1" w:styleId="29">
    <w:name w:val="表"/>
    <w:basedOn w:val="1"/>
    <w:qFormat/>
    <w:uiPriority w:val="0"/>
    <w:pPr>
      <w:snapToGrid w:val="0"/>
      <w:jc w:val="center"/>
    </w:pPr>
    <w:rPr>
      <w:spacing w:val="2"/>
      <w:sz w:val="24"/>
      <w:szCs w:val="20"/>
    </w:rPr>
  </w:style>
  <w:style w:type="paragraph" w:customStyle="1" w:styleId="30">
    <w:name w:val="1正文段落"/>
    <w:basedOn w:val="1"/>
    <w:qFormat/>
    <w:uiPriority w:val="0"/>
    <w:pPr>
      <w:keepNext w:val="0"/>
      <w:keepLines w:val="0"/>
      <w:widowControl/>
      <w:suppressLineNumbers w:val="0"/>
      <w:snapToGrid w:val="0"/>
      <w:spacing w:before="0" w:beforeAutospacing="0" w:after="0" w:afterAutospacing="0" w:line="360" w:lineRule="auto"/>
      <w:ind w:left="0" w:right="0" w:firstLine="480" w:firstLineChars="200"/>
      <w:jc w:val="left"/>
    </w:pPr>
    <w:rPr>
      <w:rFonts w:hint="default" w:ascii="Times New Roman" w:hAnsi="Times New Roman" w:eastAsia="宋体" w:cs="Times New Roman"/>
      <w:kern w:val="0"/>
      <w:sz w:val="21"/>
      <w:szCs w:val="20"/>
      <w:lang w:val="en-US" w:eastAsia="zh-CN" w:bidi="ar"/>
    </w:rPr>
  </w:style>
  <w:style w:type="paragraph" w:customStyle="1" w:styleId="31">
    <w:name w:val="Table Paragraph"/>
    <w:basedOn w:val="1"/>
    <w:qFormat/>
    <w:uiPriority w:val="1"/>
    <w:rPr>
      <w:rFonts w:ascii="Times New Roman" w:hAnsi="Times New Roman" w:eastAsia="Times New Roman" w:cs="Times New Roman"/>
      <w:lang w:val="zh-CN" w:eastAsia="zh-CN" w:bidi="zh-CN"/>
    </w:rPr>
  </w:style>
  <w:style w:type="character" w:customStyle="1" w:styleId="32">
    <w:name w:val="font11"/>
    <w:basedOn w:val="17"/>
    <w:qFormat/>
    <w:uiPriority w:val="0"/>
    <w:rPr>
      <w:rFonts w:hint="eastAsia" w:ascii="宋体" w:hAnsi="宋体" w:eastAsia="宋体" w:cs="宋体"/>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85;&#26161;\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8F17D9-5D90-4CC0-9CB1-BBF7B1466E41}">
  <ds:schemaRefs/>
</ds:datastoreItem>
</file>

<file path=docProps/app.xml><?xml version="1.0" encoding="utf-8"?>
<Properties xmlns="http://schemas.openxmlformats.org/officeDocument/2006/extended-properties" xmlns:vt="http://schemas.openxmlformats.org/officeDocument/2006/docPropsVTypes">
  <Template>0.docx</Template>
  <Pages>60</Pages>
  <Words>3235</Words>
  <Characters>18441</Characters>
  <Lines>153</Lines>
  <Paragraphs>43</Paragraphs>
  <TotalTime>3</TotalTime>
  <ScaleCrop>false</ScaleCrop>
  <LinksUpToDate>false</LinksUpToDate>
  <CharactersWithSpaces>21633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2018-10-16T09:56:00Z</dcterms:created>
  <dc:creator>hylc</dc:creator>
  <cp:lastModifiedBy>残殇</cp:lastModifiedBy>
  <cp:lastPrinted>2019-01-10T07:00:00Z</cp:lastPrinted>
  <dcterms:modified xsi:type="dcterms:W3CDTF">2020-09-21T11:11:02Z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